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06"/>
        <w:rPr>
          <w:bCs/>
        </w:rPr>
      </w:pPr>
      <w:r>
        <w:rPr>
          <w:bCs/>
        </w:rPr>
        <w:t xml:space="preserve"> Государственный контракт № </w:t>
      </w:r>
      <w:r>
        <w:rPr>
          <w:bCs/>
        </w:rPr>
        <w:t xml:space="preserve">100201966126100130</w:t>
      </w:r>
      <w:r>
        <w:rPr>
          <w:bCs/>
        </w:rPr>
      </w:r>
      <w:r>
        <w:rPr>
          <w:bCs/>
        </w:rPr>
      </w:r>
    </w:p>
    <w:p>
      <w:pPr>
        <w:pStyle w:val="806"/>
      </w:pPr>
      <w:r>
        <w:t xml:space="preserve">на </w:t>
      </w:r>
      <w:r>
        <w:rPr>
          <w:sz w:val="24"/>
          <w:szCs w:val="24"/>
        </w:rPr>
        <w:t xml:space="preserve">поставку сетевых адаптеров взамен вышедших из строя</w:t>
      </w:r>
      <w:r>
        <w:rPr>
          <w:sz w:val="24"/>
          <w:szCs w:val="24"/>
        </w:rPr>
      </w:r>
      <w:r/>
    </w:p>
    <w:p>
      <w:r/>
      <w:r/>
    </w:p>
    <w:tbl>
      <w:tblPr>
        <w:tblStyle w:val="97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2026 г.</w:t>
            </w:r>
            <w:r/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</w:tbl>
    <w:p>
      <w:pPr>
        <w:rPr>
          <w:highlight w:val="none"/>
        </w:rPr>
      </w:pPr>
      <w:r>
        <w:rPr>
          <w:sz w:val="24"/>
          <w:szCs w:val="26"/>
        </w:rPr>
        <w:t xml:space="preserve">Министерство энергетики Российской Федерации (Минэнерго России), именуемое </w:t>
      </w:r>
      <w:r>
        <w:rPr>
          <w:sz w:val="24"/>
          <w:szCs w:val="26"/>
        </w:rPr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t xml:space="preserve">, с одной стороны, </w:t>
      </w:r>
      <w:r>
        <w:br/>
        <w:t xml:space="preserve">и общество с ограниченной ответственностью</w:t>
      </w:r>
      <w:r>
        <w:t xml:space="preserve"> «БИТБЛЭЙЗ ПРОЕКТЫ» (ООО «БИТПРОЕКТ»)</w:t>
      </w:r>
      <w:r>
        <w:t xml:space="preserve">, именуемое в дальнейшем «Поставщик», в лице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генер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ального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директора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t xml:space="preserve">, действующего на основании Устава, с другой стороны, в дальнейшем именуемые «Стороны», а по отдельности – «Сторона», в соответствии</w:t>
      </w:r>
      <w: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br/>
        <w:t xml:space="preserve">о контрактной системе) заключили настоящий государственный контракт (далее – Контракт)</w:t>
      </w:r>
      <w:r>
        <w:br/>
        <w:t xml:space="preserve">о нижеследующем: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07"/>
        <w:ind w:left="357" w:hanging="357"/>
        <w:spacing w:before="120" w:after="120"/>
      </w:pPr>
      <w:r>
        <w:t xml:space="preserve">Предмет Контракта</w:t>
      </w:r>
      <w:r/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t xml:space="preserve">Поставщик обязуется поставить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сетевые адаптеры взамен вышедших из строя </w:t>
      </w:r>
      <w:r>
        <w:t xml:space="preserve">(далее – Товар), а Заказчик принять и оплатить Товар.</w:t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lang w:eastAsia="ar-SA"/>
        </w:rPr>
        <w:br/>
        <w:t xml:space="preserve">в Техническом задании (</w:t>
      </w:r>
      <w:bookmarkStart w:id="0" w:name="_Hlk110243451"/>
      <w:r>
        <w:rPr>
          <w:lang w:eastAsia="ar-SA"/>
        </w:rPr>
        <w:t xml:space="preserve">приложение № 1 к настоящему Контракту</w:t>
      </w:r>
      <w:bookmarkEnd w:id="0"/>
      <w:r>
        <w:rPr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ИКЗ: </w:t>
      </w:r>
      <w:r>
        <w:rPr>
          <w:b w:val="0"/>
          <w:bCs w:val="0"/>
        </w:rPr>
        <w:t xml:space="preserve">261770584752977050100100360000000244</w:t>
      </w:r>
      <w:r>
        <w:rPr>
          <w:lang w:eastAsia="ar-SA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КМИ: </w:t>
      </w:r>
      <w:r>
        <w:rPr>
          <w:bCs/>
          <w:sz w:val="24"/>
          <w:szCs w:val="24"/>
        </w:rPr>
        <w:t xml:space="preserve">022.00100022.22.Э.50023.26</w:t>
      </w:r>
      <w:r>
        <w:rPr>
          <w:lang w:eastAsia="ar-SA"/>
        </w:rPr>
        <w:t xml:space="preserve">.      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t xml:space="preserve">Заказчиком установлено требование об отсутствии в предусмотренном Законом </w:t>
      </w:r>
      <w: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br/>
        <w:t xml:space="preserve">на участие в закупке в соответствии с подпунктом «в» пункта 1 части 1 статьи 43 </w:t>
      </w:r>
      <w:r>
        <w:t xml:space="preserve">Закон</w:t>
      </w:r>
      <w:r>
        <w:br/>
        <w:t xml:space="preserve">о контрактной системе</w:t>
      </w:r>
      <w:r>
        <w:t xml:space="preserve">, включенной в такой реестр в связи с отказом от исполнения</w:t>
      </w:r>
      <w:r>
        <w:t xml:space="preserve"> контракта</w:t>
      </w:r>
      <w:r>
        <w:t xml:space="preserve"> </w:t>
      </w:r>
      <w:r>
        <w:t xml:space="preserve">по причине введения </w:t>
      </w:r>
      <w: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lang w:eastAsia="ar-SA"/>
        </w:rPr>
      </w:r>
      <w:r>
        <w:rPr>
          <w:lang w:eastAsia="ar-SA"/>
        </w:rPr>
      </w:r>
    </w:p>
    <w:p>
      <w:pPr>
        <w:contextualSpacing/>
        <w:ind w:left="567" w:right="19" w:firstLine="0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highlight w:val="none"/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pStyle w:val="807"/>
        <w:ind w:left="357" w:hanging="357"/>
        <w:spacing w:before="120" w:after="120"/>
      </w:pPr>
      <w:r>
        <w:t xml:space="preserve">Цена Контракта и порядок оплаты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составляет</w:t>
      </w:r>
      <w:r>
        <w:t xml:space="preserve"> 305 000 (т</w:t>
      </w:r>
      <w:r>
        <w:t xml:space="preserve">риста пять тысяч</w:t>
      </w:r>
      <w:r>
        <w:t xml:space="preserve">) </w:t>
      </w:r>
      <w:r>
        <w:t xml:space="preserve">рублей 00 копеек, </w:t>
      </w:r>
      <w:r>
        <w:br/>
        <w:t xml:space="preserve">в том числе НДС 22%</w:t>
      </w:r>
      <w:r>
        <w:t xml:space="preserve"> 55 000 (</w:t>
      </w:r>
      <w:r>
        <w:t xml:space="preserve">пятьдесят пять тысяч</w:t>
      </w:r>
      <w:r>
        <w:t xml:space="preserve">) рублей 00 копеек и включает </w:t>
      </w:r>
      <w:r>
        <w:br/>
        <w:t xml:space="preserve">в себя расходы на уплату налогов, пошлин и иных обязательных платежей, в том числе, расходов </w:t>
      </w:r>
      <w:r>
        <w:br/>
        <w:t xml:space="preserve">за доставку, подъем и разгрузку Товара.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является твёрдой и определяется на весь срок исполнения Контракта </w:t>
      </w:r>
      <w:r>
        <w:br/>
        <w:t xml:space="preserve">и не подлежит изменению.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Оплата по настоящему Контракту осуществляется за фактически поставленный Товар </w:t>
      </w:r>
      <w:r>
        <w:br/>
        <w:t xml:space="preserve">на основании Акта приема-передачи товара (Приложение № 3 к настоящему Контракту) </w:t>
      </w:r>
      <w: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lang w:eastAsia="ar-SA"/>
        </w:rPr>
        <w:t xml:space="preserve">настоящему</w:t>
      </w:r>
      <w:r>
        <w:t xml:space="preserve"> Контракту).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Финансирование по настоящему Контракту осуществляется за счет средств федерального бюджета.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br/>
        <w:t xml:space="preserve">по перечислению неустойки (пени) в доход бюджетной системы Российской Федерации </w:t>
      </w:r>
      <w: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br/>
        <w:t xml:space="preserve">в доход соответствующего бюджета.</w:t>
      </w:r>
      <w:r/>
    </w:p>
    <w:p>
      <w:pPr>
        <w:contextualSpacing/>
        <w:ind w:left="567" w:firstLine="0"/>
        <w:spacing w:line="100" w:lineRule="atLeast"/>
        <w:tabs>
          <w:tab w:val="left" w:pos="993" w:leader="none"/>
        </w:tabs>
        <w:outlineLvl w:val="2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07"/>
        <w:ind w:left="357" w:hanging="357"/>
        <w:spacing w:before="120" w:after="120"/>
      </w:pPr>
      <w:r>
        <w:t xml:space="preserve">Условия поставки Товара</w:t>
      </w:r>
      <w:r/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color w:val="000000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lang w:eastAsia="ar-SA"/>
        </w:rPr>
        <w:t xml:space="preserve">адресу: г. Москва, ул. Щепкина, д. 42, </w:t>
      </w:r>
      <w:r>
        <w:t xml:space="preserve">стр. 1, кабинет 1808.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Срок поставки Товара: в </w:t>
      </w:r>
      <w:r>
        <w:rPr>
          <w:color w:val="000000"/>
          <w:lang w:eastAsia="ar-SA"/>
        </w:rPr>
        <w:t xml:space="preserve">течение 7 </w:t>
      </w:r>
      <w:r>
        <w:rPr>
          <w:color w:val="000000"/>
          <w:lang w:eastAsia="ar-SA"/>
        </w:rPr>
        <w:t xml:space="preserve">(семи</w:t>
      </w:r>
      <w:r>
        <w:rPr>
          <w:color w:val="000000"/>
          <w:lang w:eastAsia="ar-SA"/>
        </w:rPr>
        <w:t xml:space="preserve">) рабочих дней</w:t>
      </w:r>
      <w:r>
        <w:rPr>
          <w:color w:val="000000"/>
          <w:lang w:eastAsia="ar-SA"/>
        </w:rPr>
        <w:t xml:space="preserve"> </w:t>
      </w:r>
      <w:r>
        <w:rPr>
          <w:color w:val="000000"/>
          <w:lang w:eastAsia="ar-SA"/>
        </w:rPr>
        <w:t xml:space="preserve">с даты заключения</w:t>
      </w:r>
      <w:r>
        <w:rPr>
          <w:color w:val="000000"/>
          <w:lang w:eastAsia="ar-SA"/>
        </w:rPr>
        <w:t xml:space="preserve"> Контракта. 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color w:val="000000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color w:val="000000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color w:val="000000"/>
          <w:lang w:eastAsia="ar-SA"/>
        </w:rPr>
        <w:br/>
        <w:t xml:space="preserve">и </w:t>
      </w:r>
      <w:r>
        <w:rPr>
          <w:color w:val="000000"/>
          <w:lang w:eastAsia="ar-SA"/>
        </w:rPr>
        <w:t xml:space="preserve">комплектующих</w:t>
      </w:r>
      <w:r>
        <w:rPr>
          <w:color w:val="000000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color w:val="000000"/>
          <w:lang w:eastAsia="ar-SA"/>
        </w:rPr>
        <w:br/>
        <w:t xml:space="preserve">или листы).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color w:val="000000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color w:val="000000"/>
          <w:lang w:eastAsia="ar-SA"/>
        </w:rPr>
        <w:br/>
        <w:t xml:space="preserve">в настоящем Контракте.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07"/>
        <w:ind w:left="357" w:hanging="357"/>
        <w:spacing w:before="120" w:after="120"/>
      </w:pPr>
      <w:r>
        <w:t xml:space="preserve">Обязанности Сторон</w:t>
      </w:r>
      <w:r/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Поставщика: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Поставить Товар в офис Заказчика в сроки в соответствии с условиями настоящего Контракта.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Заказчика: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Обеспечить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07"/>
        <w:ind w:left="357" w:hanging="357"/>
        <w:spacing w:before="120" w:after="120"/>
      </w:pPr>
      <w:r>
        <w:t xml:space="preserve">Ответственность Сторон</w:t>
      </w:r>
      <w:r/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eastAsia="Arial Unicode MS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eastAsia="Arial Unicode MS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При недостижении дог</w:t>
      </w:r>
      <w:r>
        <w:rPr>
          <w:rFonts w:eastAsia="Arial Unicode MS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pStyle w:val="807"/>
        <w:ind w:left="357" w:hanging="357"/>
        <w:spacing w:before="120" w:after="120"/>
      </w:pPr>
      <w:r>
        <w:t xml:space="preserve">Срок действия Контракта</w:t>
      </w:r>
      <w:r/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spacing w:val="-2"/>
          <w:lang w:eastAsia="ar-SA"/>
        </w:rPr>
        <w:outlineLvl w:val="9"/>
      </w:pPr>
      <w:r>
        <w:rPr>
          <w:color w:val="000000"/>
          <w:spacing w:val="-2"/>
          <w:lang w:eastAsia="ar-SA"/>
        </w:rPr>
        <w:t xml:space="preserve">Настоящий Контра</w:t>
      </w:r>
      <w:r>
        <w:rPr>
          <w:color w:val="000000"/>
          <w:spacing w:val="-2"/>
          <w:lang w:eastAsia="ar-SA"/>
        </w:rPr>
        <w:t xml:space="preserve">кт вст</w:t>
      </w:r>
      <w:r>
        <w:rPr>
          <w:color w:val="000000"/>
          <w:spacing w:val="-2"/>
          <w:lang w:eastAsia="ar-SA"/>
        </w:rPr>
        <w:t xml:space="preserve">упает в силу с даты его заключения Сторонами и действует </w:t>
      </w:r>
      <w:r>
        <w:rPr>
          <w:color w:val="000000"/>
          <w:spacing w:val="-2"/>
          <w:lang w:eastAsia="ar-SA"/>
        </w:rPr>
        <w:br/>
        <w:t xml:space="preserve">до полного выполнения Сторонами свои</w:t>
      </w:r>
      <w:r>
        <w:rPr>
          <w:color w:val="000000"/>
          <w:spacing w:val="-2"/>
          <w:lang w:eastAsia="ar-SA"/>
        </w:rPr>
        <w:t xml:space="preserve">х обязательств, но не позднее 01</w:t>
      </w:r>
      <w:r>
        <w:rPr>
          <w:color w:val="000000"/>
          <w:spacing w:val="-2"/>
          <w:lang w:eastAsia="ar-SA"/>
        </w:rPr>
        <w:t xml:space="preserve">.10.2026.</w:t>
      </w:r>
      <w:r>
        <w:rPr>
          <w:spacing w:val="-2"/>
          <w:lang w:eastAsia="ar-SA"/>
        </w:rPr>
      </w:r>
      <w:r>
        <w:rPr>
          <w:spacing w:val="-2"/>
          <w:lang w:eastAsia="ar-SA"/>
        </w:rPr>
      </w:r>
    </w:p>
    <w:p>
      <w:pPr>
        <w:pStyle w:val="807"/>
        <w:ind w:left="357" w:hanging="357"/>
        <w:spacing w:before="120" w:after="120"/>
      </w:pPr>
      <w:r>
        <w:t xml:space="preserve">Досрочное прекращение Контракта</w:t>
      </w:r>
      <w:r/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color w:val="000000"/>
        </w:rPr>
        <w:br/>
        <w:t xml:space="preserve">с гражданским законодательством.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Заказчик вправе принять решение об одностороннем отказе от исполнения Контракта </w:t>
      </w:r>
      <w:r>
        <w:rPr>
          <w:color w:val="000000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t xml:space="preserve"> </w:t>
      </w:r>
      <w:r>
        <w:rPr>
          <w:color w:val="000000"/>
        </w:rPr>
        <w:t xml:space="preserve">предусмотренным Гражданским кодексом Российской Федерации</w:t>
      </w:r>
      <w:r>
        <w:rPr>
          <w:rFonts w:eastAsia="Arial Unicode MS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pStyle w:val="807"/>
        <w:ind w:left="357" w:hanging="357"/>
        <w:spacing w:before="120" w:after="120"/>
      </w:pPr>
      <w:r>
        <w:t xml:space="preserve">Обстоятельства непреодолимой силы (форс-мажор)</w:t>
      </w:r>
      <w:r/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О наступлении форс-мажорных обстоятельств, а также о предполагаемом сроке </w:t>
      </w:r>
      <w:r>
        <w:rPr>
          <w:color w:val="000000"/>
        </w:rPr>
        <w:br/>
        <w:t xml:space="preserve">их действия Сторона,</w:t>
      </w:r>
      <w:r>
        <w:rPr>
          <w:color w:val="000000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color w:val="000000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color w:val="000000"/>
        </w:rPr>
        <w:br/>
        <w:t xml:space="preserve">для урегулирования всех споров.</w:t>
      </w:r>
      <w:r>
        <w:rPr>
          <w:color w:val="000000"/>
        </w:rPr>
      </w:r>
      <w:r>
        <w:rPr>
          <w:color w:val="000000"/>
        </w:rPr>
      </w:r>
    </w:p>
    <w:p>
      <w:pPr>
        <w:pStyle w:val="807"/>
        <w:ind w:left="357" w:hanging="357"/>
        <w:spacing w:before="120" w:after="120"/>
      </w:pPr>
      <w:r>
        <w:t xml:space="preserve">Другие условия</w:t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Все споры и разногласия, которые могут возникнуть по настоящему Контракту </w:t>
      </w:r>
      <w:r>
        <w:rPr>
          <w:color w:val="000000"/>
          <w:lang w:eastAsia="ar-SA"/>
        </w:rPr>
        <w:br/>
        <w:t xml:space="preserve">или в связи с ним, Стороны будут стремиться разрешить путем переговоров.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 изменении места нахождения и банковских реквизитов Стороны обязаны в течение </w:t>
      </w:r>
      <w:r>
        <w:rPr>
          <w:color w:val="000000"/>
          <w:lang w:eastAsia="ar-SA"/>
        </w:rPr>
        <w:br/>
        <w:t xml:space="preserve">5 (пяти) рабочих дней письменно известить об этом друг друга.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Приложения к Контракту: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1 – Техническое задание;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 – Спецификация;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 – Форма акта приема-передачи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07"/>
        <w:ind w:left="357" w:hanging="357"/>
        <w:spacing w:before="120" w:after="120"/>
      </w:pPr>
      <w:r/>
      <w:bookmarkStart w:id="1" w:name="_Ref94177724"/>
      <w:r>
        <w:t xml:space="preserve">Реквизиты Сторон</w:t>
      </w:r>
      <w:bookmarkEnd w:id="1"/>
      <w:r/>
      <w:r/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ЗАКАЗЧИК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Министерство энергетики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Российской Федерации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России)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t xml:space="preserve">Общество с ограниченной ответственностью</w:t>
            </w:r>
            <w:r>
              <w:t xml:space="preserve"> «БИТБЛЭЙЗ ПРОЕКТЫ» </w:t>
            </w:r>
            <w:r>
              <w:rPr>
                <w:color w:val="000000"/>
                <w:lang w:val="en-US"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t xml:space="preserve">(ООО «БИТПРОЕКТ»)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109012,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Китайгородский пр-д, д. 7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Фактический адрес: 129110,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Щепкина ул., д. 42, стр. 1, 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7705847529, КПП 770501001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Межрегиональное операционное УФК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России, л/с 03951000220)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р/с 40102810045370000002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в Операционном департаменте Банка России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//Межрегиональное операционное УФК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г. Москва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к/с 03211643000000019503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БИК 024501901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ОКПО/ОКТМО  00083641/45381000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minchenkovyu</w:t>
            </w:r>
            <w:r>
              <w:rPr>
                <w:color w:val="000000"/>
                <w:lang w:eastAsia="ar-SA"/>
              </w:rPr>
              <w:t xml:space="preserve">@minenergo.gov.ru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631-89-18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</w:t>
            </w:r>
            <w:r>
              <w:t xml:space="preserve">644024, Омская область, г.о. город Омск, г. Омск, </w:t>
              <w:br/>
              <w:t xml:space="preserve">ул. Маршала Жукова, д. 21, помещ. 1 П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Почтовый адрес: </w:t>
            </w:r>
            <w:r>
              <w:rPr>
                <w:color w:val="000000"/>
                <w:lang w:eastAsia="ar-SA"/>
              </w:rPr>
              <w:t xml:space="preserve">644024, Омская область, </w:t>
            </w:r>
            <w:r>
              <w:t xml:space="preserve">г.о. город Омск, г. Омск, ул. Маршала Жукова, д. 21, помещ. 1 П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</w:t>
            </w:r>
            <w:r>
              <w:rPr>
                <w:color w:val="000000"/>
                <w:lang w:eastAsia="ar-SA"/>
              </w:rPr>
              <w:t xml:space="preserve">5504149841</w:t>
            </w:r>
            <w:r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КПП </w:t>
            </w:r>
            <w:r>
              <w:rPr>
                <w:color w:val="000000"/>
                <w:lang w:eastAsia="ar-SA"/>
              </w:rPr>
              <w:t xml:space="preserve">550401001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</w:t>
            </w:r>
            <w:r>
              <w:rPr>
                <w:color w:val="000000"/>
                <w:lang w:eastAsia="ar-SA"/>
              </w:rPr>
              <w:t xml:space="preserve"> 19150446</w:t>
            </w:r>
            <w:r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ОКТМО </w:t>
            </w:r>
            <w:r>
              <w:rPr>
                <w:color w:val="000000"/>
                <w:lang w:eastAsia="ar-SA"/>
              </w:rPr>
              <w:t xml:space="preserve">52701000001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ОГРН </w:t>
            </w:r>
            <w:r>
              <w:rPr>
                <w:color w:val="000000"/>
                <w:lang w:eastAsia="ar-SA"/>
              </w:rPr>
              <w:t xml:space="preserve">1175543027120</w:t>
            </w:r>
            <w:r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ОКВЭД </w:t>
            </w:r>
            <w:r>
              <w:rPr>
                <w:color w:val="000000"/>
                <w:lang w:eastAsia="ar-SA"/>
              </w:rPr>
              <w:t xml:space="preserve">46.51.2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Наименование банка: </w:t>
            </w:r>
            <w:r>
              <w:rPr>
                <w:highlight w:val="white"/>
              </w:rPr>
              <w:t xml:space="preserve">АО «ТБанк</w:t>
            </w:r>
            <w:r>
              <w:rPr>
                <w:highlight w:val="white"/>
              </w:rPr>
              <w:t xml:space="preserve">»</w:t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  <w:t xml:space="preserve">р</w:t>
            </w:r>
            <w:r>
              <w:rPr>
                <w:color w:val="000000"/>
                <w:highlight w:val="white"/>
                <w:lang w:eastAsia="ar-SA"/>
              </w:rPr>
              <w:t xml:space="preserve">\с </w:t>
            </w:r>
            <w:r>
              <w:t xml:space="preserve">40702810210001689397</w:t>
            </w:r>
            <w:r>
              <w:rPr>
                <w:color w:val="000000"/>
                <w:highlight w:val="white"/>
                <w:lang w:eastAsia="ar-SA"/>
              </w:rPr>
              <w:t xml:space="preserve">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  <w:t xml:space="preserve">к\с </w:t>
            </w:r>
            <w:r>
              <w:t xml:space="preserve">30101810145250000974</w:t>
            </w:r>
            <w:r>
              <w:rPr>
                <w:color w:val="000000"/>
                <w:highlight w:val="white"/>
                <w:lang w:eastAsia="ar-SA"/>
              </w:rPr>
              <w:t xml:space="preserve">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  <w:t xml:space="preserve">БИК </w:t>
            </w:r>
            <w:r>
              <w:t xml:space="preserve">044525974</w:t>
            </w:r>
            <w:r>
              <w:rPr>
                <w:color w:val="000000"/>
                <w:highlight w:val="white"/>
                <w:lang w:eastAsia="ar-SA"/>
              </w:rPr>
              <w:t xml:space="preserve">,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е</w:t>
            </w:r>
            <w:r>
              <w:rPr>
                <w:color w:val="000000"/>
                <w:lang w:eastAsia="ar-SA"/>
              </w:rPr>
              <w:t xml:space="preserve">-</w:t>
            </w:r>
            <w:r>
              <w:rPr>
                <w:color w:val="000000"/>
                <w:lang w:eastAsia="ar-SA"/>
              </w:rPr>
              <w:t xml:space="preserve">mail</w:t>
            </w:r>
            <w:r>
              <w:rPr>
                <w:color w:val="000000"/>
                <w:lang w:eastAsia="ar-SA"/>
              </w:rPr>
              <w:t xml:space="preserve">: </w:t>
            </w:r>
            <w:r>
              <w:rPr>
                <w:color w:val="000000"/>
                <w:lang w:eastAsia="ar-SA"/>
              </w:rPr>
              <w:t xml:space="preserve">a.gorst@bitblaze.ru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тел. </w:t>
            </w:r>
            <w:r>
              <w:rPr>
                <w:color w:val="000000"/>
                <w:lang w:eastAsia="ar-SA"/>
              </w:rPr>
              <w:t xml:space="preserve">+7(381)236-11-11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Дата постановки на учет в налоговом органе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  <w:t xml:space="preserve">23.08.2021</w:t>
            </w:r>
            <w:r>
              <w:rPr>
                <w:color w:val="000000"/>
                <w:lang w:val="en-US" w:eastAsia="ar-SA"/>
              </w:rPr>
              <w:t xml:space="preserve">.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bCs/>
                <w:highlight w:val="none"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bCs/>
                <w:highlight w:val="none"/>
                <w:lang w:eastAsia="ar-SA"/>
              </w:rPr>
            </w:r>
            <w:r>
              <w:rPr>
                <w:b/>
                <w:bCs/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bCs/>
                <w:lang w:eastAsia="ar-SA"/>
              </w:rPr>
              <w:outlineLvl w:val="9"/>
            </w:pPr>
            <w:r>
              <w:rPr>
                <w:b/>
                <w:highlight w:val="none"/>
                <w:lang w:eastAsia="ar-SA"/>
              </w:rPr>
            </w:r>
            <w:r>
              <w:rPr>
                <w:b/>
                <w:bCs/>
                <w:lang w:eastAsia="ar-SA"/>
              </w:rPr>
            </w:r>
            <w:r>
              <w:rPr>
                <w:b/>
                <w:bCs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eastAsia="ar-SA"/>
              </w:rPr>
              <w:t xml:space="preserve">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 w:val="0"/>
                <w:bCs w:val="0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 w:val="0"/>
                <w:bCs w:val="0"/>
                <w:color w:val="000000"/>
                <w:lang w:eastAsia="ar-SA"/>
              </w:rPr>
              <w:t xml:space="preserve">Генеральный директор</w:t>
            </w:r>
            <w:r>
              <w:rPr>
                <w:b w:val="0"/>
                <w:bCs w:val="0"/>
                <w:color w:val="000000"/>
              </w:rPr>
            </w:r>
            <w:r>
              <w:rPr>
                <w:b w:val="0"/>
                <w:bCs w:val="0"/>
                <w:color w:val="000000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</w:t>
            </w:r>
            <w:r>
              <w:rPr>
                <w:color w:val="000000"/>
                <w:lang w:val="en-US" w:eastAsia="ar-SA"/>
              </w:rPr>
              <w:t xml:space="preserve">__</w:t>
            </w:r>
            <w:r>
              <w:rPr>
                <w:color w:val="000000"/>
                <w:lang w:eastAsia="ar-SA"/>
              </w:rPr>
              <w:t xml:space="preserve">_ </w:t>
            </w:r>
            <w:r>
              <w:rPr>
                <w:color w:val="000000"/>
                <w:lang w:val="en-US" w:eastAsia="ar-SA"/>
              </w:rPr>
              <w:t xml:space="preserve">/М.А. Копосов/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color w:val="000000"/>
          <w:sz w:val="12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color w:val="000000"/>
          <w:sz w:val="12"/>
        </w:rPr>
      </w:r>
      <w:r>
        <w:rPr>
          <w:color w:val="000000"/>
          <w:sz w:val="12"/>
        </w:rPr>
      </w:r>
      <w:r>
        <w:rPr>
          <w:color w:val="000000"/>
          <w:sz w:val="12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  <w:t xml:space="preserve">Приложение № 1</w:t>
      </w:r>
      <w:r>
        <w:rPr>
          <w:color w:val="000000"/>
        </w:rPr>
      </w:r>
      <w:r>
        <w:rPr>
          <w:color w:val="000000"/>
        </w:rPr>
      </w:r>
    </w:p>
    <w:p>
      <w:pPr>
        <w:jc w:val="right"/>
        <w:tabs>
          <w:tab w:val="center" w:pos="2420" w:leader="none"/>
          <w:tab w:val="left" w:pos="3840" w:leader="none"/>
        </w:tabs>
      </w:pPr>
      <w:r>
        <w:rPr>
          <w:color w:val="000000"/>
        </w:rPr>
        <w:t xml:space="preserve">к Контракту № </w:t>
      </w:r>
      <w:r>
        <w:t xml:space="preserve">100201966126100130</w:t>
      </w:r>
      <w:r/>
    </w:p>
    <w:p>
      <w:pPr>
        <w:jc w:val="right"/>
        <w:tabs>
          <w:tab w:val="center" w:pos="2420" w:leader="none"/>
          <w:tab w:val="left" w:pos="3840" w:leader="none"/>
        </w:tabs>
      </w:pPr>
      <w:r>
        <w:t xml:space="preserve">от «___» ________2026 г.</w:t>
      </w:r>
      <w:r>
        <w:rPr>
          <w:highlight w:val="none"/>
        </w:rPr>
      </w:r>
      <w:r/>
    </w:p>
    <w:p>
      <w:pPr>
        <w:pStyle w:val="997"/>
        <w:ind w:firstLine="0"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97"/>
        <w:rPr>
          <w:highlight w:val="none"/>
        </w:rPr>
      </w:pPr>
      <w:r>
        <w:t xml:space="preserve">ТЕХНИЧЕСКОЕ ЗАДАНИЕ</w:t>
      </w:r>
      <w:r>
        <w:rPr>
          <w:highlight w:val="none"/>
        </w:rPr>
      </w:r>
      <w:r>
        <w:rPr>
          <w:highlight w:val="none"/>
        </w:rPr>
      </w:r>
    </w:p>
    <w:p>
      <w:pPr>
        <w:pStyle w:val="806"/>
      </w:pPr>
      <w:r>
        <w:t xml:space="preserve">на </w:t>
      </w:r>
      <w:r>
        <w:rPr>
          <w:sz w:val="24"/>
          <w:szCs w:val="24"/>
        </w:rPr>
        <w:t xml:space="preserve">поставку сетевых адаптеров взамен вышедших из строя</w:t>
      </w:r>
      <w:r/>
    </w:p>
    <w:p>
      <w:r/>
      <w:r/>
    </w:p>
    <w:p>
      <w:pPr>
        <w:pStyle w:val="812"/>
      </w:pPr>
      <w:r>
        <w:t xml:space="preserve">Наименование закупки</w:t>
      </w:r>
      <w:r/>
    </w:p>
    <w:p>
      <w:r>
        <w:rPr>
          <w:bCs/>
        </w:rPr>
        <w:t xml:space="preserve">Поставка </w:t>
      </w:r>
      <w:r>
        <w:rPr>
          <w:sz w:val="24"/>
          <w:szCs w:val="24"/>
        </w:rPr>
        <w:t xml:space="preserve">сетевых адаптеров взамен вышедших из строя</w:t>
      </w:r>
      <w:r>
        <w:t xml:space="preserve"> </w:t>
      </w:r>
      <w:r>
        <w:t xml:space="preserve">(далее – Товар) согласно Спецификации.</w:t>
      </w:r>
      <w:r/>
    </w:p>
    <w:p>
      <w:pPr>
        <w:pStyle w:val="812"/>
      </w:pPr>
      <w:r>
        <w:t xml:space="preserve">Сроки поставки Товара</w:t>
      </w:r>
      <w:r/>
    </w:p>
    <w:p>
      <w:r>
        <w:t xml:space="preserve">Поставка Товара осуществляется в течение 7</w:t>
      </w:r>
      <w:r>
        <w:rPr>
          <w:color w:val="000000"/>
          <w:lang w:eastAsia="ar-SA"/>
        </w:rPr>
        <w:t xml:space="preserve"> (семи</w:t>
      </w:r>
      <w:r>
        <w:rPr>
          <w:color w:val="000000"/>
          <w:lang w:eastAsia="ar-SA"/>
        </w:rPr>
        <w:t xml:space="preserve">)</w:t>
      </w:r>
      <w:r>
        <w:t xml:space="preserve"> </w:t>
      </w:r>
      <w:r>
        <w:t xml:space="preserve">рабочих</w:t>
      </w:r>
      <w:r>
        <w:t xml:space="preserve"> дней </w:t>
      </w:r>
      <w:r>
        <w:t xml:space="preserve">с даты заключения</w:t>
      </w:r>
      <w:r>
        <w:t xml:space="preserve"> Контракта. </w:t>
      </w:r>
      <w:r/>
    </w:p>
    <w:p>
      <w:r>
        <w:t xml:space="preserve">Доставка, разгрузка, размещение Товара в помещениях Заказчика осуществляется в рабочие часы Заказчика (по рабочим дням с 9 часов 00 минут до 18 часов 00 минут; по пятницам</w:t>
      </w:r>
      <w:r>
        <w:br/>
        <w:t xml:space="preserve">и предпраздничным дням – с 9 часов 00 минут до 16 часов 45 минут) с учетом времени</w:t>
      </w:r>
      <w:r>
        <w:br/>
        <w:t xml:space="preserve">на разгрузку Товара в присутствии представителя Поставщика. </w:t>
      </w:r>
      <w:r/>
    </w:p>
    <w:p>
      <w:r>
        <w:t xml:space="preserve">Поставщик направляет Заказчику уведомление о готовности поставить Товар</w:t>
      </w:r>
      <w:r>
        <w:br/>
        <w:t xml:space="preserve">на электронный адрес: compred@minenergo.gov.ru не позднее 2 (двух) рабочих дней до начала поставки Товара. </w:t>
      </w:r>
      <w:r/>
    </w:p>
    <w:p>
      <w:r>
        <w:t xml:space="preserve">В уведомлении необходимо указать дату, время поставки Товара, номер и марку транспортного средства, фамилию, имя, отчество, паспортные данные водителя, грузчиков</w:t>
      </w:r>
      <w:r>
        <w:br/>
        <w:t xml:space="preserve">и уполномоченного представителя Поставщика.</w:t>
      </w:r>
      <w:r/>
    </w:p>
    <w:p>
      <w:r>
        <w:t xml:space="preserve">Электронный адрес compred@minenergo.gov.ru используется исключительно</w:t>
      </w:r>
      <w:r>
        <w:br/>
        <w:t xml:space="preserve">для уведомления Заказчика о готовности поставить Товар.</w:t>
      </w:r>
      <w:r/>
    </w:p>
    <w:p>
      <w:pPr>
        <w:pStyle w:val="812"/>
      </w:pPr>
      <w:r>
        <w:t xml:space="preserve">Место поставки Товара</w:t>
      </w:r>
      <w:r/>
    </w:p>
    <w:p>
      <w:r>
        <w:t xml:space="preserve">Поставка Товара осуществляется по адресу: 129110, г.</w:t>
      </w:r>
      <w:r>
        <w:t xml:space="preserve"> Москва, ул. Щепкина, д. 42, стр. 1, кабинет 1808 силами и транспортом Поставщика и за его счет. Доставка Товара, разгрузка-погрузка (подъем) в помещениях Заказчика сопровождается уполномоченным представителем Поставщика на основании доверенности.</w:t>
      </w:r>
      <w:r/>
    </w:p>
    <w:p>
      <w:pPr>
        <w:pStyle w:val="812"/>
        <w:numPr>
          <w:ilvl w:val="0"/>
          <w:numId w:val="3"/>
        </w:numPr>
      </w:pPr>
      <w:r>
        <w:t xml:space="preserve">Требования к безопасности, функциональным характеристикам (потребительским свойствам) Товара</w:t>
      </w:r>
      <w:r/>
    </w:p>
    <w:p>
      <w:r>
        <w:t xml:space="preserve">Маркировка Товара должна содержать все признаки, установленные производителем: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-голограммы, защитные пломбы, марки, содержащие все элементы защиты от подделок (микротекст, термополоса и т.п.); 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-корпус Товара не должен иметь потертостей, царапин, сколов и следов вскрытия.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-на коробке должен быть нанесен номер партии, совпадающий с номером, нанесенным на Товаре.</w:t>
      </w:r>
      <w:r/>
    </w:p>
    <w:p>
      <w:pPr>
        <w:pStyle w:val="812"/>
        <w:numPr>
          <w:ilvl w:val="0"/>
          <w:numId w:val="3"/>
        </w:numPr>
      </w:pPr>
      <w:r>
        <w:t xml:space="preserve">Требования к упаковке Товара.</w:t>
      </w:r>
      <w:r/>
    </w:p>
    <w:p>
      <w:r>
        <w:t xml:space="preserve">Упаковка должна обеспечивать безопасность транспортировки Товара и сохранность его качества в течение гарантийного срока хранения.</w:t>
      </w:r>
      <w:r/>
    </w:p>
    <w:p>
      <w:r>
        <w:t xml:space="preserve">На упаковочной коробке должны быть нанесена следующая информация: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-информация о производителе; 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-гарантийный срок хранения до ввода </w:t>
      </w:r>
      <w:r>
        <w:t xml:space="preserve">Товара</w:t>
      </w:r>
      <w:r>
        <w:t xml:space="preserve">  в эксплуатацию (если установлен производителем);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-манипуляционные знаки по ГОСТ 14192-96 «Межгосударственный стандарт. Маркировка грузов»;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-код </w:t>
      </w:r>
      <w:r>
        <w:t xml:space="preserve">Товара</w:t>
      </w:r>
      <w:r>
        <w:t xml:space="preserve">;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-дата изготовления;</w:t>
      </w:r>
      <w:r/>
    </w:p>
    <w:p>
      <w:pPr>
        <w:pStyle w:val="811"/>
        <w:numPr>
          <w:ilvl w:val="0"/>
          <w:numId w:val="0"/>
        </w:numPr>
        <w:ind w:left="993" w:firstLine="0"/>
      </w:pPr>
      <w:r>
        <w:t xml:space="preserve">-иная информация, которую производитель сочтет необходимым разместить.</w:t>
      </w:r>
      <w:r/>
    </w:p>
    <w:p>
      <w:r>
        <w:t xml:space="preserve">Этикетки и наклейки должны быть четкими, чистыми и хорошо читаемыми.</w:t>
      </w:r>
      <w:r/>
    </w:p>
    <w:p>
      <w:pPr>
        <w:rPr>
          <w:highlight w:val="none"/>
        </w:rPr>
      </w:pPr>
      <w:r>
        <w:t xml:space="preserve">На тра</w:t>
      </w:r>
      <w:r>
        <w:t xml:space="preserve">нспортировочную упаковку информация наносится типографическим способом или при помощи наклеек и должна содержать следующие данные: товарный знак изготовителя/поставщика, транспортная маркировка и манипуляционные знаки, код/наименование и количество Товара.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</w:r>
      <w:r>
        <w:rPr>
          <w:highlight w:val="none"/>
        </w:rPr>
      </w:r>
      <w:r/>
    </w:p>
    <w:p>
      <w:pPr>
        <w:pStyle w:val="812"/>
        <w:numPr>
          <w:ilvl w:val="0"/>
          <w:numId w:val="0"/>
        </w:numPr>
        <w:ind w:left="0" w:firstLine="0"/>
        <w:rPr>
          <w14:ligatures w14:val="none"/>
        </w:rPr>
      </w:pPr>
      <w:r>
        <w:t xml:space="preserve">6. Требование к совместимости Товара</w:t>
      </w:r>
      <w:r>
        <w:rPr>
          <w14:ligatures w14:val="none"/>
        </w:rPr>
      </w:r>
      <w:r>
        <w:rPr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Поставляемый Товар должен быть полностью совместим с существующим оборудованием, эксплуатируемым Заказчиком. Перечень существующего оборудования, эксплуатирующегося у Заказчика указан в Таблице 1</w: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pPr>
        <w:jc w:val="right"/>
      </w:pPr>
      <w:r>
        <w:t xml:space="preserve">Таблица 1</w:t>
      </w:r>
      <w:r/>
    </w:p>
    <w:tbl>
      <w:tblPr>
        <w:tblStyle w:val="977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4535"/>
        <w:gridCol w:w="4819"/>
      </w:tblGrid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>
              <w:rPr>
                <w:b/>
                <w:lang w:eastAsia="en-US"/>
              </w:rPr>
              <w:t xml:space="preserve">п/п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товара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товара, шт.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607"/>
        </w:trPr>
        <w:tc>
          <w:tcPr>
            <w:tcW w:w="110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rPr>
                <w:highlight w:val="none"/>
              </w:rPr>
            </w:pPr>
            <w:r>
              <w:rPr>
                <w:highlight w:val="none"/>
              </w:rPr>
              <w:t xml:space="preserve">Система хранения данных Bitblaze Sirius i3143ss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81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r>
        <w:rPr>
          <w:highlight w:val="none"/>
        </w:rPr>
      </w:r>
      <w:r>
        <w:rPr>
          <w:highlight w:val="none"/>
        </w:rPr>
      </w:r>
      <w:r/>
    </w:p>
    <w:p>
      <w:pPr>
        <w:pStyle w:val="812"/>
        <w:numPr>
          <w:ilvl w:val="0"/>
          <w:numId w:val="0"/>
        </w:numPr>
        <w:ind w:left="0" w:firstLine="0"/>
      </w:pPr>
      <w:r>
        <w:t xml:space="preserve">7. Общие требования к Товару</w:t>
      </w:r>
      <w:r/>
    </w:p>
    <w:p>
      <w:pPr>
        <w:jc w:val="right"/>
        <w:rPr>
          <w:highlight w:val="none"/>
          <w:lang w:eastAsia="en-US"/>
        </w:rPr>
      </w:pPr>
      <w:r>
        <w:rPr>
          <w:lang w:eastAsia="en-US"/>
        </w:rPr>
        <w:t xml:space="preserve">Таблица 2 </w:t>
      </w:r>
      <w:r>
        <w:rPr>
          <w:highlight w:val="none"/>
          <w:lang w:eastAsia="en-US"/>
        </w:rPr>
      </w:r>
      <w:r>
        <w:rPr>
          <w:highlight w:val="none"/>
          <w:lang w:eastAsia="en-US"/>
        </w:rPr>
      </w:r>
    </w:p>
    <w:tbl>
      <w:tblPr>
        <w:tblStyle w:val="977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4535"/>
        <w:gridCol w:w="4819"/>
      </w:tblGrid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>
              <w:rPr>
                <w:b/>
                <w:lang w:eastAsia="en-US"/>
              </w:rPr>
              <w:t xml:space="preserve">п/п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товара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товара, шт.</w:t>
            </w:r>
            <w:r>
              <w:rPr>
                <w:b/>
                <w:lang w:eastAsia="en-US"/>
              </w:rPr>
            </w:r>
            <w:r>
              <w:rPr>
                <w:b/>
                <w:lang w:eastAsia="en-US"/>
              </w:rPr>
            </w:r>
          </w:p>
        </w:tc>
      </w:tr>
      <w:tr>
        <w:tblPrEx/>
        <w:trPr>
          <w:trHeight w:val="1144"/>
        </w:trPr>
        <w:tc>
          <w:tcPr>
            <w:tcW w:w="110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4535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Сетевой адаптер Qlogic </w:t>
            </w:r>
            <w:r>
              <w:rPr>
                <w:sz w:val="24"/>
                <w:szCs w:val="24"/>
                <w:highlight w:val="none"/>
              </w:rPr>
              <w:t xml:space="preserve">QLE2772-SR-SP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481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2</w:t>
            </w:r>
            <w:r/>
          </w:p>
        </w:tc>
      </w:tr>
    </w:tbl>
    <w:p>
      <w:pPr>
        <w:ind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r>
        <w:t xml:space="preserve">Товар должен быть свободным от прав третьих лиц, гарантировать бесперебойную работу оборудования и обеспечивать полное с ним взаимодействие.</w:t>
      </w:r>
      <w:r/>
    </w:p>
    <w:p>
      <w:pPr>
        <w:rPr>
          <w:highlight w:val="none"/>
        </w:rPr>
      </w:pPr>
      <w:r>
        <w:t xml:space="preserve">Гарантия Поставщика на поставляемый Товар должна составлять 12 (двенадцать) месяцев </w:t>
      </w:r>
      <w:r>
        <w:br/>
      </w:r>
      <w:r>
        <w:t xml:space="preserve">с даты подписания</w:t>
      </w:r>
      <w:r>
        <w:t xml:space="preserve"> Акта приема-передачи Товара.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441"/>
        <w:gridCol w:w="4413"/>
      </w:tblGrid>
      <w:tr>
        <w:tblPrEx/>
        <w:trPr>
          <w:jc w:val="center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highlight w:val="none"/>
                <w:lang w:eastAsia="ar-SA"/>
              </w:rPr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>
              <w:rPr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highlight w:val="none"/>
                <w:lang w:eastAsia="ar-SA"/>
              </w:rPr>
            </w:r>
            <w:r>
              <w:rPr>
                <w:highlight w:val="none"/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 w:val="0"/>
                <w:bCs w:val="0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 w:val="0"/>
                <w:bCs w:val="0"/>
                <w:color w:val="000000"/>
                <w:lang w:eastAsia="ar-SA"/>
              </w:rPr>
              <w:t xml:space="preserve">Генеральный директор</w:t>
            </w:r>
            <w:r>
              <w:rPr>
                <w:b w:val="0"/>
                <w:bCs w:val="0"/>
                <w:color w:val="000000"/>
              </w:rPr>
            </w:r>
            <w:r>
              <w:rPr>
                <w:b w:val="0"/>
                <w:bCs w:val="0"/>
                <w:color w:val="000000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</w:t>
            </w:r>
            <w:r>
              <w:rPr>
                <w:color w:val="000000"/>
                <w:lang w:val="en-US" w:eastAsia="ar-SA"/>
              </w:rPr>
              <w:t xml:space="preserve">М.А. Копосов</w:t>
            </w:r>
            <w:r>
              <w:rPr>
                <w:color w:val="000000"/>
                <w:lang w:eastAsia="ar-SA"/>
              </w:rPr>
              <w:t xml:space="preserve">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0" w:firstLine="0"/>
        <w:jc w:val="lef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</w:t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</w:t>
      </w:r>
      <w:r>
        <w:rPr>
          <w:lang w:eastAsia="ar-SA"/>
        </w:rPr>
        <w:t xml:space="preserve">100201966126100130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lang w:eastAsia="ar-SA"/>
        </w:rPr>
        <w:t xml:space="preserve">от «___» ________2026 г.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caps/>
          <w:lang w:eastAsia="ar-SA"/>
        </w:rPr>
        <w:t xml:space="preserve">Спецификация</w:t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caps/>
          <w:sz w:val="2"/>
          <w:lang w:eastAsia="ar-SA"/>
        </w:rPr>
        <w:outlineLvl w:val="9"/>
      </w:pP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sz w:val="12"/>
          <w:lang w:eastAsia="ar-SA"/>
        </w:rPr>
        <w:outlineLvl w:val="9"/>
      </w:pPr>
      <w:r>
        <w:rPr>
          <w:sz w:val="12"/>
          <w:lang w:eastAsia="ar-SA"/>
        </w:rPr>
      </w:r>
      <w:r>
        <w:rPr>
          <w:sz w:val="12"/>
          <w:lang w:eastAsia="ar-SA"/>
        </w:rPr>
      </w:r>
      <w:r>
        <w:rPr>
          <w:sz w:val="12"/>
          <w:lang w:eastAsia="ar-SA"/>
        </w:rPr>
      </w:r>
    </w:p>
    <w:tbl>
      <w:tblPr>
        <w:tblStyle w:val="977"/>
        <w:tblW w:w="0" w:type="auto"/>
        <w:tblLayout w:type="fixed"/>
        <w:tblLook w:val="04A0" w:firstRow="1" w:lastRow="0" w:firstColumn="1" w:lastColumn="0" w:noHBand="0" w:noVBand="1"/>
      </w:tblPr>
      <w:tblGrid>
        <w:gridCol w:w="391"/>
        <w:gridCol w:w="1559"/>
        <w:gridCol w:w="709"/>
        <w:gridCol w:w="1559"/>
        <w:gridCol w:w="2976"/>
        <w:gridCol w:w="1134"/>
        <w:gridCol w:w="1276"/>
        <w:gridCol w:w="1134"/>
      </w:tblGrid>
      <w:tr>
        <w:tblPrEx/>
        <w:trPr/>
        <w:tc>
          <w:tcPr>
            <w:tcW w:w="39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п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Наименование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Кол-во, 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Технические характеристики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</w:p>
          <w:p>
            <w:pP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</w:p>
        </w:tc>
        <w:tc>
          <w:tcPr>
            <w:tcW w:w="29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Внешннее отображение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Страна происхождения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Сетевой адаптер Qlogic QLE2772-SR-SP*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firstLine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firstLine="0"/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Код ОКПД2: 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26.30.11.122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Пропускная способность:</w:t>
            </w:r>
            <w:r>
              <w:rPr>
                <w:sz w:val="20"/>
                <w:szCs w:val="20"/>
              </w:rPr>
              <w:t xml:space="preserve">32Gb/s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Сетевой протокол:</w:t>
              <w:br/>
              <w:t xml:space="preserve">FC HBA </w:t>
              <w:br/>
              <w:t xml:space="preserve">Количество портов: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2-port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Интерфейс подключения: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PCIe v4.0 x8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17704" cy="1306112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0835046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1" flipV="0">
                                <a:off x="0" y="0"/>
                                <a:ext cx="1917704" cy="13061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51.00pt;height:102.84pt;mso-wrap-distance-left:0.00pt;mso-wrap-distance-top:0.00pt;mso-wrap-distance-right:0.00pt;mso-wrap-distance-bottom:0.00pt;flip:x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15250</w:t>
            </w:r>
            <w:r>
              <w:rPr>
                <w:sz w:val="20"/>
                <w:szCs w:val="20"/>
              </w:rPr>
              <w:t xml:space="preserve">0,</w:t>
            </w:r>
            <w:r>
              <w:rPr>
                <w:sz w:val="20"/>
                <w:szCs w:val="20"/>
              </w:rPr>
              <w:t xml:space="preserve">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305 000,00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328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305 000,00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328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в том числе НДС 22%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 </w:t>
      </w:r>
      <w:r>
        <w:t xml:space="preserve">*Примечание: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i/>
          <w:iCs/>
        </w:rPr>
        <w:t xml:space="preserve">Эквивалентный товар не допустим в соответствии с подпунктом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  <w:t xml:space="preserve">В соответствии с частью 6 Технического задания к Контракту, </w:t>
      </w:r>
      <w:r>
        <w:rPr>
          <w:bCs/>
          <w:i/>
          <w:iCs/>
          <w:highlight w:val="none"/>
        </w:rPr>
        <w:t xml:space="preserve">п</w:t>
      </w:r>
      <w:r>
        <w:rPr>
          <w:i/>
          <w:iCs/>
          <w:highlight w:val="none"/>
        </w:rPr>
        <w:t xml:space="preserve">оставляемый Товар должен быть полностью совместим с существующим оборудованием, эксплуатируемым Заказчиком</w:t>
      </w:r>
      <w:r>
        <w:rPr>
          <w:i/>
          <w:iCs/>
          <w:highlight w:val="none"/>
        </w:rPr>
        <w:t xml:space="preserve">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  <w:highlight w:val="none"/>
        </w:rPr>
      </w:pPr>
      <w:r>
        <w:rPr>
          <w:bCs/>
          <w:i/>
          <w:highlight w:val="none"/>
        </w:rPr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  <w:rPr>
          <w:bCs/>
          <w:i/>
        </w:rPr>
      </w:pPr>
      <w:r>
        <w:rPr>
          <w:i/>
          <w:iCs/>
          <w:highlight w:val="none"/>
        </w:rPr>
      </w:r>
      <w:r>
        <w:rPr>
          <w:bCs/>
          <w:i/>
        </w:rPr>
      </w:r>
      <w:r>
        <w:rPr>
          <w:bCs/>
          <w:i/>
        </w:rPr>
      </w:r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501"/>
        <w:gridCol w:w="4472"/>
      </w:tblGrid>
      <w:tr>
        <w:tblPrEx/>
        <w:trPr>
          <w:jc w:val="center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highlight w:val="none"/>
                <w:lang w:eastAsia="ar-SA"/>
              </w:rPr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>
              <w:rPr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highlight w:val="none"/>
                <w:lang w:eastAsia="ar-SA"/>
              </w:rPr>
            </w:r>
            <w:r>
              <w:rPr>
                <w:highlight w:val="none"/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Генеральный директор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</w:t>
            </w:r>
            <w:r>
              <w:rPr>
                <w:color w:val="000000"/>
                <w:lang w:val="en-US" w:eastAsia="ar-SA"/>
              </w:rPr>
              <w:t xml:space="preserve">М.А. Копосов</w:t>
            </w:r>
            <w:r>
              <w:rPr>
                <w:color w:val="000000"/>
                <w:lang w:eastAsia="ar-SA"/>
              </w:rPr>
              <w:t xml:space="preserve">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sz w:val="2"/>
          <w:szCs w:val="2"/>
        </w:rPr>
        <w:outlineLvl w:val="9"/>
      </w:pPr>
      <w:r>
        <w:rPr>
          <w:sz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0"/>
        <w:sectPr>
          <w:footnotePr/>
          <w:endnotePr/>
          <w:type w:val="nextPage"/>
          <w:pgSz w:w="11906" w:h="16838" w:orient="portrait"/>
          <w:pgMar w:top="567" w:right="426" w:bottom="567" w:left="1134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</w:t>
      </w:r>
      <w:r>
        <w:rPr>
          <w:color w:val="000000"/>
          <w:lang w:eastAsia="ar-SA"/>
        </w:rPr>
        <w:t xml:space="preserve">100201966126100130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от «___» ________2026 г.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ПОСТАВЩИК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t xml:space="preserve">Общество с ограниченной ответственностью</w:t>
            </w:r>
            <w:r>
              <w:t xml:space="preserve"> «БИТБЛЭЙЗ ПРОЕКТЫ» </w:t>
            </w:r>
            <w:r>
              <w:rPr>
                <w:highlight w:val="none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t xml:space="preserve">(ООО «БИТПРОЕКТ»)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Китайгородский пр-д, д. 7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Щепкина ул., д. 42, стр. 1, 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03211643000000019503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 00083641/45381000</w:t>
            </w:r>
            <w:r>
              <w:rPr>
                <w:color w:val="000000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minchenkovyu</w:t>
            </w:r>
            <w:r>
              <w:rPr>
                <w:color w:val="000000"/>
                <w:lang w:eastAsia="ar-SA"/>
              </w:rPr>
              <w:t xml:space="preserve">@minenergo.gov.ru</w:t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631-89-18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spacing w:line="276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</w:t>
            </w:r>
            <w:r>
              <w:t xml:space="preserve">644024, Омская область, г.о. город Омск, г. Омск, </w:t>
              <w:br/>
              <w:t xml:space="preserve">ул. Маршала Жукова, д. 21, помещ. 1 П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Почтовый адрес: </w:t>
            </w:r>
            <w:r>
              <w:rPr>
                <w:color w:val="000000"/>
                <w:lang w:eastAsia="ar-SA"/>
              </w:rPr>
              <w:t xml:space="preserve">644024, Омская область, </w:t>
            </w:r>
            <w:r>
              <w:t xml:space="preserve">г.о. город Омск, г. Омск, ул. Маршала Жукова, д. 21, помещ. 1 П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</w:t>
            </w:r>
            <w:r>
              <w:rPr>
                <w:color w:val="000000"/>
                <w:lang w:eastAsia="ar-SA"/>
              </w:rPr>
              <w:t xml:space="preserve">5504149841</w:t>
            </w:r>
            <w:r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КПП </w:t>
            </w:r>
            <w:r>
              <w:rPr>
                <w:color w:val="000000"/>
                <w:lang w:eastAsia="ar-SA"/>
              </w:rPr>
              <w:t xml:space="preserve">550401001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</w:t>
            </w:r>
            <w:r>
              <w:rPr>
                <w:color w:val="000000"/>
                <w:lang w:eastAsia="ar-SA"/>
              </w:rPr>
              <w:t xml:space="preserve"> 19150446</w:t>
            </w:r>
            <w:r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ОКТМО </w:t>
            </w:r>
            <w:r>
              <w:rPr>
                <w:color w:val="000000"/>
                <w:lang w:eastAsia="ar-SA"/>
              </w:rPr>
              <w:t xml:space="preserve">52701000001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ОГРН </w:t>
            </w:r>
            <w:r>
              <w:rPr>
                <w:color w:val="000000"/>
                <w:lang w:eastAsia="ar-SA"/>
              </w:rPr>
              <w:t xml:space="preserve">1175543027120</w:t>
            </w:r>
            <w:r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ОКВЭД </w:t>
            </w:r>
            <w:r>
              <w:rPr>
                <w:color w:val="000000"/>
                <w:lang w:eastAsia="ar-SA"/>
              </w:rPr>
              <w:t xml:space="preserve">46.51.2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highlight w:val="none"/>
                <w:lang w:eastAsia="ar-SA"/>
              </w:rPr>
            </w:r>
            <w:r>
              <w:rPr>
                <w:color w:val="000000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Наименование банка: </w:t>
            </w:r>
            <w:r>
              <w:rPr>
                <w:highlight w:val="white"/>
              </w:rPr>
              <w:t xml:space="preserve">АО «ТБанк»</w:t>
            </w:r>
            <w:r>
              <w:rPr>
                <w:color w:val="000000"/>
                <w:highlight w:val="white"/>
                <w:lang w:eastAsia="ar-SA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  <w:t xml:space="preserve">р</w:t>
            </w:r>
            <w:r>
              <w:rPr>
                <w:color w:val="000000"/>
                <w:highlight w:val="white"/>
                <w:lang w:eastAsia="ar-SA"/>
              </w:rPr>
              <w:t xml:space="preserve">\с </w:t>
            </w:r>
            <w:r>
              <w:t xml:space="preserve">40702810210001689397</w:t>
            </w:r>
            <w:r>
              <w:rPr>
                <w:color w:val="000000"/>
                <w:highlight w:val="white"/>
                <w:lang w:eastAsia="ar-SA"/>
              </w:rPr>
              <w:t xml:space="preserve">,</w:t>
            </w:r>
            <w:r>
              <w:rPr>
                <w:color w:val="000000"/>
                <w:highlight w:val="white"/>
                <w:lang w:eastAsia="ar-SA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  <w:t xml:space="preserve">к\с </w:t>
            </w:r>
            <w:r>
              <w:t xml:space="preserve">30101810145250000974</w:t>
            </w:r>
            <w:r>
              <w:rPr>
                <w:color w:val="000000"/>
                <w:highlight w:val="white"/>
                <w:lang w:eastAsia="ar-SA"/>
              </w:rPr>
              <w:t xml:space="preserve">,</w:t>
            </w:r>
            <w:r>
              <w:rPr>
                <w:color w:val="000000"/>
                <w:highlight w:val="white"/>
                <w:lang w:eastAsia="ar-SA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highlight w:val="white"/>
                <w:lang w:eastAsia="ar-SA"/>
              </w:rPr>
              <w:t xml:space="preserve">БИК </w:t>
            </w:r>
            <w:r>
              <w:t xml:space="preserve">044525974</w:t>
            </w:r>
            <w:r>
              <w:rPr>
                <w:color w:val="000000"/>
                <w:highlight w:val="white"/>
                <w:lang w:eastAsia="ar-SA"/>
              </w:rPr>
              <w:t xml:space="preserve">,</w:t>
            </w:r>
            <w:r>
              <w:rPr>
                <w:color w:val="000000"/>
                <w:highlight w:val="white"/>
                <w:lang w:eastAsia="ar-SA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е</w:t>
            </w:r>
            <w:r>
              <w:rPr>
                <w:color w:val="000000"/>
                <w:lang w:eastAsia="ar-SA"/>
              </w:rPr>
              <w:t xml:space="preserve">-</w:t>
            </w:r>
            <w:r>
              <w:rPr>
                <w:color w:val="000000"/>
                <w:lang w:eastAsia="ar-SA"/>
              </w:rPr>
              <w:t xml:space="preserve">mail</w:t>
            </w:r>
            <w:r>
              <w:rPr>
                <w:color w:val="000000"/>
                <w:lang w:eastAsia="ar-SA"/>
              </w:rPr>
              <w:t xml:space="preserve">: </w:t>
            </w:r>
            <w:r>
              <w:rPr>
                <w:color w:val="000000"/>
                <w:lang w:eastAsia="ar-SA"/>
              </w:rPr>
              <w:t xml:space="preserve">a.gorst@bitblaze.ru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тел. </w:t>
            </w:r>
            <w:r>
              <w:rPr>
                <w:color w:val="000000"/>
                <w:lang w:eastAsia="ar-SA"/>
              </w:rPr>
              <w:t xml:space="preserve">+7(381)236-11-11</w:t>
            </w:r>
            <w:r>
              <w:rPr>
                <w:color w:val="000000"/>
                <w:lang w:eastAsia="ar-SA"/>
              </w:rPr>
              <w:t xml:space="preserve">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Дата постановки на учет в налоговом органе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  <w:t xml:space="preserve">23.08.2021</w:t>
            </w:r>
            <w:r>
              <w:rPr>
                <w:color w:val="000000"/>
                <w:lang w:val="en-US" w:eastAsia="ar-SA"/>
              </w:rPr>
              <w:t xml:space="preserve">.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</w:tbl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  <w:t xml:space="preserve">ФОРМА АКТА ПРИЕМА-ПЕРЕДАЧИ ТОВАРА №___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lang w:eastAsia="ar-SA"/>
        </w:rPr>
        <w:outlineLvl w:val="9"/>
      </w:pPr>
      <w:r>
        <w:rPr>
          <w:b/>
          <w:bCs/>
          <w:lang w:eastAsia="ar-SA"/>
        </w:rPr>
        <w:t xml:space="preserve">по Контракту</w:t>
      </w:r>
      <w:r>
        <w:rPr>
          <w:b/>
          <w:lang w:eastAsia="ar-SA"/>
        </w:rPr>
        <w:t xml:space="preserve"> от «___» ___________ 2026 г.  № ______________________________</w:t>
      </w:r>
      <w:r>
        <w:rPr>
          <w:b/>
          <w:lang w:eastAsia="ar-SA"/>
        </w:rPr>
      </w:r>
      <w:r>
        <w:rPr>
          <w:b/>
          <w:lang w:eastAsia="ar-SA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г. Москва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                   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«___» ____________ 2026 г.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</w:tbl>
    <w:p>
      <w:r>
        <w:t xml:space="preserve">Министерство энергетики Российской Федерации (Минэнерго России), именуемое</w:t>
      </w:r>
      <w:r>
        <w:br/>
        <w:t xml:space="preserve">в дальнейшем «Заказчик», </w:t>
      </w:r>
      <w:r>
        <w:rPr>
          <w:sz w:val="24"/>
          <w:szCs w:val="26"/>
        </w:rPr>
        <w:t xml:space="preserve"> 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t xml:space="preserve">, и ________________________, именуемое в дальнейшем «Поставщик», </w:t>
      </w:r>
      <w:r>
        <w:t xml:space="preserve">в лице_____________________________, действующего на основании________________________, с другой стороны, составили настоящий Акт о нижеследующем:</w:t>
      </w:r>
      <w:r/>
    </w:p>
    <w:p>
      <w:pPr>
        <w:ind w:left="13"/>
        <w:tabs>
          <w:tab w:val="left" w:pos="851" w:leader="none"/>
        </w:tabs>
      </w:pPr>
      <w:r>
        <w:t xml:space="preserve">1.</w:t>
      </w:r>
      <w:r>
        <w:tab/>
        <w:t xml:space="preserve">В соответствии с условиями контракта от «__» __________ 2026 г. № _______ </w:t>
      </w:r>
      <w:r>
        <w:br/>
        <w:t xml:space="preserve">(далее – Контракт) Поставщиком передан, а Заказчиком принят Товар по предмету закупки: поставка </w:t>
      </w:r>
      <w:r>
        <w:rPr>
          <w:sz w:val="24"/>
          <w:szCs w:val="24"/>
        </w:rPr>
        <w:t xml:space="preserve">сетевых адаптеров взамен вышедших из строя</w:t>
      </w:r>
      <w:r>
        <w:rPr>
          <w:sz w:val="24"/>
          <w:szCs w:val="24"/>
        </w:rPr>
      </w:r>
      <w:r/>
    </w:p>
    <w:p>
      <w:pPr>
        <w:ind w:left="13"/>
        <w:tabs>
          <w:tab w:val="left" w:pos="851" w:leader="none"/>
        </w:tabs>
      </w:pPr>
      <w:r>
        <w:br w:type="page" w:clear="all"/>
        <w:t xml:space="preserve">2.</w:t>
      </w:r>
      <w:r>
        <w:tab/>
        <w:t xml:space="preserve">Контрактом предусмотрена поставка: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</w:pPr>
      <w:r>
        <w:t xml:space="preserve">3.</w:t>
      </w:r>
      <w:r>
        <w:tab/>
        <w:t xml:space="preserve">Фактически поставлено: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1742"/>
        <w:gridCol w:w="1853"/>
        <w:gridCol w:w="1718"/>
        <w:gridCol w:w="2076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Страна происхождения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5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42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71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07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lang w:eastAsia="en-US"/>
        </w:rPr>
      </w:pPr>
      <w:r>
        <w:t xml:space="preserve">4.</w:t>
      </w:r>
      <w:r>
        <w:tab/>
        <w:t xml:space="preserve">Срок поставки по Контракту: _____________________________________________.</w:t>
      </w:r>
      <w:r>
        <w:rPr>
          <w:lang w:eastAsia="en-US"/>
        </w:rPr>
      </w:r>
      <w:r>
        <w:rPr>
          <w:lang w:eastAsia="en-US"/>
        </w:rPr>
      </w:r>
    </w:p>
    <w:p>
      <w:pPr>
        <w:ind w:left="13" w:firstLine="554"/>
      </w:pPr>
      <w:r>
        <w:t xml:space="preserve">Фактический срок поставки: ___________________ </w:t>
      </w:r>
      <w:r>
        <w:t xml:space="preserve">г</w:t>
      </w:r>
      <w:r>
        <w:t xml:space="preserve">.</w:t>
      </w:r>
      <w:r/>
    </w:p>
    <w:p>
      <w:pPr>
        <w:rPr>
          <w:bCs/>
          <w:i/>
        </w:rPr>
      </w:pPr>
      <w:r>
        <w:rPr>
          <w:bCs/>
          <w:i/>
        </w:rPr>
        <w:t xml:space="preserve">Вариант 1.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footnoteReference w:customMarkFollows="1" w:id="2"/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Аванс не перечислялся.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Неустойка Поставщику не начисляется.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Вариант 2.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Поставщику начислена неустойка: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- пени в соответствии с п.__ Контракта в сумме __________________руб.</w:t>
      </w:r>
      <w:r>
        <w:rPr>
          <w:bCs/>
          <w:i/>
        </w:rPr>
      </w:r>
      <w:r>
        <w:rPr>
          <w:bCs/>
          <w:i/>
        </w:rPr>
      </w:r>
    </w:p>
    <w:p>
      <w:pPr>
        <w:ind w:left="13"/>
        <w:rPr>
          <w:i/>
          <w:iCs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i/>
          <w:iCs/>
        </w:rPr>
      </w:r>
      <w:r>
        <w:rPr>
          <w:i/>
          <w:iCs/>
        </w:rPr>
      </w:r>
    </w:p>
    <w:p>
      <w:pPr>
        <w:ind w:left="13" w:firstLine="554"/>
        <w:tabs>
          <w:tab w:val="left" w:pos="851" w:leader="none"/>
        </w:tabs>
      </w:pPr>
      <w:r>
        <w:t xml:space="preserve">5.</w:t>
      </w:r>
      <w:r>
        <w:tab/>
        <w:t xml:space="preserve">Сумма, подлежащая уплате Поставщику за Товар, принятый по настоящему акту </w:t>
      </w:r>
      <w:r>
        <w:br/>
        <w:t xml:space="preserve">(с учетом удержания пени) – ______________________ руб., в том числе НДС </w:t>
      </w:r>
      <w:r>
        <w:br/>
        <w:t xml:space="preserve">( %)/без НДС.</w:t>
      </w:r>
      <w:r/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  <w:t xml:space="preserve">ПОСТАВЩИК: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  <w:t xml:space="preserve">СОГЛАСОВАНА КАК ФОРМА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highlight w:val="none"/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Директор Департамента цифровой</w:t>
            </w:r>
            <w:r>
              <w:rPr>
                <w:highlight w:val="none"/>
                <w:lang w:eastAsia="ar-SA"/>
              </w:rPr>
            </w:r>
            <w:r>
              <w:rPr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highlight w:val="none"/>
                <w:lang w:eastAsia="ar-SA"/>
              </w:rPr>
              <w:outlineLvl w:val="9"/>
            </w:pPr>
            <w:r>
              <w:rPr>
                <w:lang w:eastAsia="ar-SA"/>
              </w:rPr>
              <w:t xml:space="preserve">трансформации</w:t>
            </w:r>
            <w:r>
              <w:rPr>
                <w:lang w:eastAsia="ar-SA"/>
              </w:rPr>
            </w:r>
            <w:r>
              <w:rPr>
                <w:highlight w:val="none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highlight w:val="none"/>
                <w:lang w:eastAsia="ar-SA"/>
              </w:rPr>
            </w:r>
            <w:r>
              <w:rPr>
                <w:highlight w:val="none"/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/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____________________/Ф.В. Мицкевич/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Генеральный директор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/М.А. Копосов/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color w:val="000000"/>
        </w:rPr>
        <w:outlineLvl w:val="8"/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14"/>
        <w:numPr>
          <w:ilvl w:val="0"/>
          <w:numId w:val="0"/>
        </w:numPr>
        <w:ind w:left="10207"/>
      </w:pPr>
      <w:r/>
      <w:r/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4"/>
      </w:pPr>
      <w:r>
        <w:rPr>
          <w:rStyle w:val="986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98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9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1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13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0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08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09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14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11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3">
    <w:name w:val="Quote Char"/>
    <w:link w:val="830"/>
    <w:uiPriority w:val="29"/>
    <w:rPr>
      <w:i/>
    </w:rPr>
  </w:style>
  <w:style w:type="character" w:styleId="804">
    <w:name w:val="Intense Quote Char"/>
    <w:link w:val="832"/>
    <w:uiPriority w:val="30"/>
    <w:rPr>
      <w:i/>
    </w:rPr>
  </w:style>
  <w:style w:type="paragraph" w:styleId="805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06">
    <w:name w:val="Heading 1"/>
    <w:basedOn w:val="805"/>
    <w:next w:val="805"/>
    <w:link w:val="976"/>
    <w:uiPriority w:val="9"/>
    <w:qFormat/>
    <w:pPr>
      <w:jc w:val="center"/>
      <w:outlineLvl w:val="0"/>
    </w:pPr>
    <w:rPr>
      <w:b/>
    </w:rPr>
  </w:style>
  <w:style w:type="paragraph" w:styleId="807">
    <w:name w:val="Heading 2"/>
    <w:basedOn w:val="808"/>
    <w:next w:val="805"/>
    <w:link w:val="978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08">
    <w:name w:val="Heading 3"/>
    <w:basedOn w:val="805"/>
    <w:next w:val="805"/>
    <w:link w:val="979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09">
    <w:name w:val="Heading 4"/>
    <w:basedOn w:val="808"/>
    <w:next w:val="805"/>
    <w:link w:val="981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10">
    <w:name w:val="Heading 5"/>
    <w:basedOn w:val="809"/>
    <w:next w:val="805"/>
    <w:link w:val="987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11">
    <w:name w:val="Heading 6"/>
    <w:basedOn w:val="810"/>
    <w:next w:val="805"/>
    <w:link w:val="988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12">
    <w:name w:val="Heading 7"/>
    <w:basedOn w:val="980"/>
    <w:next w:val="805"/>
    <w:link w:val="999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13">
    <w:name w:val="Heading 8"/>
    <w:basedOn w:val="808"/>
    <w:next w:val="805"/>
    <w:link w:val="1000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14">
    <w:name w:val="Heading 9"/>
    <w:basedOn w:val="805"/>
    <w:next w:val="805"/>
    <w:link w:val="1001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Heading 1 Char"/>
    <w:basedOn w:val="815"/>
    <w:uiPriority w:val="9"/>
    <w:rPr>
      <w:rFonts w:ascii="Arial" w:hAnsi="Arial" w:eastAsia="Arial" w:cs="Arial"/>
      <w:sz w:val="40"/>
      <w:szCs w:val="40"/>
    </w:rPr>
  </w:style>
  <w:style w:type="character" w:styleId="819" w:customStyle="1">
    <w:name w:val="Heading 2 Char"/>
    <w:basedOn w:val="815"/>
    <w:uiPriority w:val="9"/>
    <w:rPr>
      <w:rFonts w:ascii="Arial" w:hAnsi="Arial" w:eastAsia="Arial" w:cs="Arial"/>
      <w:sz w:val="34"/>
    </w:rPr>
  </w:style>
  <w:style w:type="character" w:styleId="820" w:customStyle="1">
    <w:name w:val="Heading 3 Char"/>
    <w:basedOn w:val="815"/>
    <w:uiPriority w:val="9"/>
    <w:rPr>
      <w:rFonts w:ascii="Arial" w:hAnsi="Arial" w:eastAsia="Arial" w:cs="Arial"/>
      <w:sz w:val="30"/>
      <w:szCs w:val="30"/>
    </w:rPr>
  </w:style>
  <w:style w:type="character" w:styleId="821" w:customStyle="1">
    <w:name w:val="Heading 4 Char"/>
    <w:basedOn w:val="815"/>
    <w:uiPriority w:val="9"/>
    <w:rPr>
      <w:rFonts w:ascii="Arial" w:hAnsi="Arial" w:eastAsia="Arial" w:cs="Arial"/>
      <w:b/>
      <w:bCs/>
      <w:sz w:val="26"/>
      <w:szCs w:val="26"/>
    </w:rPr>
  </w:style>
  <w:style w:type="character" w:styleId="822" w:customStyle="1">
    <w:name w:val="Heading 5 Char"/>
    <w:basedOn w:val="815"/>
    <w:uiPriority w:val="9"/>
    <w:rPr>
      <w:rFonts w:ascii="Arial" w:hAnsi="Arial" w:eastAsia="Arial" w:cs="Arial"/>
      <w:b/>
      <w:bCs/>
      <w:sz w:val="24"/>
      <w:szCs w:val="24"/>
    </w:rPr>
  </w:style>
  <w:style w:type="character" w:styleId="823" w:customStyle="1">
    <w:name w:val="Heading 6 Char"/>
    <w:basedOn w:val="815"/>
    <w:uiPriority w:val="9"/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Heading 7 Char"/>
    <w:basedOn w:val="8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5" w:customStyle="1">
    <w:name w:val="Heading 8 Char"/>
    <w:basedOn w:val="815"/>
    <w:uiPriority w:val="9"/>
    <w:rPr>
      <w:rFonts w:ascii="Arial" w:hAnsi="Arial" w:eastAsia="Arial" w:cs="Arial"/>
      <w:i/>
      <w:iCs/>
      <w:sz w:val="22"/>
      <w:szCs w:val="22"/>
    </w:rPr>
  </w:style>
  <w:style w:type="character" w:styleId="826" w:customStyle="1">
    <w:name w:val="Heading 9 Char"/>
    <w:basedOn w:val="815"/>
    <w:uiPriority w:val="9"/>
    <w:rPr>
      <w:rFonts w:ascii="Arial" w:hAnsi="Arial" w:eastAsia="Arial" w:cs="Arial"/>
      <w:i/>
      <w:iCs/>
      <w:sz w:val="21"/>
      <w:szCs w:val="21"/>
    </w:rPr>
  </w:style>
  <w:style w:type="paragraph" w:styleId="827">
    <w:name w:val="No Spacing"/>
    <w:uiPriority w:val="1"/>
    <w:qFormat/>
    <w:pPr>
      <w:spacing w:after="0" w:line="240" w:lineRule="auto"/>
    </w:pPr>
  </w:style>
  <w:style w:type="character" w:styleId="828" w:customStyle="1">
    <w:name w:val="Title Char"/>
    <w:basedOn w:val="815"/>
    <w:uiPriority w:val="10"/>
    <w:rPr>
      <w:sz w:val="48"/>
      <w:szCs w:val="48"/>
    </w:rPr>
  </w:style>
  <w:style w:type="character" w:styleId="829" w:customStyle="1">
    <w:name w:val="Subtitle Char"/>
    <w:basedOn w:val="815"/>
    <w:uiPriority w:val="11"/>
    <w:rPr>
      <w:sz w:val="24"/>
      <w:szCs w:val="24"/>
    </w:rPr>
  </w:style>
  <w:style w:type="paragraph" w:styleId="830">
    <w:name w:val="Quote"/>
    <w:basedOn w:val="805"/>
    <w:next w:val="805"/>
    <w:link w:val="831"/>
    <w:uiPriority w:val="29"/>
    <w:qFormat/>
    <w:pPr>
      <w:ind w:left="720" w:right="720"/>
    </w:pPr>
    <w:rPr>
      <w:i/>
    </w:rPr>
  </w:style>
  <w:style w:type="character" w:styleId="831" w:customStyle="1">
    <w:name w:val="Цитата 2 Знак"/>
    <w:link w:val="830"/>
    <w:uiPriority w:val="29"/>
    <w:rPr>
      <w:i/>
    </w:rPr>
  </w:style>
  <w:style w:type="paragraph" w:styleId="832">
    <w:name w:val="Intense Quote"/>
    <w:basedOn w:val="805"/>
    <w:next w:val="805"/>
    <w:link w:val="8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3" w:customStyle="1">
    <w:name w:val="Выделенная цитата Знак"/>
    <w:link w:val="832"/>
    <w:uiPriority w:val="30"/>
    <w:rPr>
      <w:i/>
    </w:rPr>
  </w:style>
  <w:style w:type="character" w:styleId="834" w:customStyle="1">
    <w:name w:val="Header Char"/>
    <w:basedOn w:val="815"/>
    <w:uiPriority w:val="99"/>
  </w:style>
  <w:style w:type="character" w:styleId="835" w:customStyle="1">
    <w:name w:val="Footer Char"/>
    <w:basedOn w:val="815"/>
    <w:uiPriority w:val="99"/>
  </w:style>
  <w:style w:type="paragraph" w:styleId="836">
    <w:name w:val="Caption"/>
    <w:basedOn w:val="805"/>
    <w:next w:val="805"/>
    <w:link w:val="837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37" w:customStyle="1">
    <w:name w:val="Caption Char"/>
    <w:uiPriority w:val="35"/>
  </w:style>
  <w:style w:type="table" w:styleId="838" w:customStyle="1">
    <w:name w:val="Table Grid Light"/>
    <w:basedOn w:val="81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39" w:customStyle="1">
    <w:name w:val="Plain Table 1"/>
    <w:basedOn w:val="81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0" w:customStyle="1">
    <w:name w:val="Plain Table 2"/>
    <w:basedOn w:val="81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1" w:customStyle="1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2" w:customStyle="1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6" w:customStyle="1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67" w:customStyle="1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68" w:customStyle="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69" w:customStyle="1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0" w:customStyle="1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71" w:customStyle="1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72" w:customStyle="1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73" w:customStyle="1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74" w:customStyle="1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75" w:customStyle="1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76" w:customStyle="1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77" w:customStyle="1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78" w:customStyle="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0" w:customStyle="1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81" w:customStyle="1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82" w:customStyle="1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83" w:customStyle="1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84" w:customStyle="1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85" w:customStyle="1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86" w:customStyle="1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1" w:customStyle="1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02" w:customStyle="1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03" w:customStyle="1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04" w:customStyle="1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05" w:customStyle="1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06" w:customStyle="1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07" w:customStyle="1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2" w:customStyle="1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3" w:customStyle="1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4" w:customStyle="1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5" w:customStyle="1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6" w:customStyle="1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7" w:customStyle="1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9" w:customStyle="1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30" w:customStyle="1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31" w:customStyle="1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32" w:customStyle="1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33" w:customStyle="1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34" w:customStyle="1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35" w:customStyle="1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ned - Accent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3" w:customStyle="1">
    <w:name w:val="Lined - Accent 1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44" w:customStyle="1">
    <w:name w:val="Lined - Accent 2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45" w:customStyle="1">
    <w:name w:val="Lined - Accent 3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46" w:customStyle="1">
    <w:name w:val="Lined - Accent 4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47" w:customStyle="1">
    <w:name w:val="Lined - Accent 5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48" w:customStyle="1">
    <w:name w:val="Lined - Accent 6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9" w:customStyle="1">
    <w:name w:val="Bordered &amp; Lined - Accent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0" w:customStyle="1">
    <w:name w:val="Bordered &amp; Lined - Accent 1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1" w:customStyle="1">
    <w:name w:val="Bordered &amp; Lined - Accent 2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2" w:customStyle="1">
    <w:name w:val="Bordered &amp; Lined - Accent 3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3" w:customStyle="1">
    <w:name w:val="Bordered &amp; Lined - Accent 4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4" w:customStyle="1">
    <w:name w:val="Bordered &amp; Lined - Accent 5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55" w:customStyle="1">
    <w:name w:val="Bordered &amp; Lined - Accent 6"/>
    <w:basedOn w:val="8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6" w:customStyle="1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57" w:customStyle="1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58" w:customStyle="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59" w:customStyle="1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0" w:customStyle="1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61" w:customStyle="1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62" w:customStyle="1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63" w:customStyle="1">
    <w:name w:val="Footnote Text Char"/>
    <w:uiPriority w:val="99"/>
    <w:rPr>
      <w:sz w:val="18"/>
    </w:rPr>
  </w:style>
  <w:style w:type="character" w:styleId="964" w:customStyle="1">
    <w:name w:val="Endnote Text Char"/>
    <w:uiPriority w:val="99"/>
    <w:rPr>
      <w:sz w:val="20"/>
    </w:rPr>
  </w:style>
  <w:style w:type="paragraph" w:styleId="965">
    <w:name w:val="toc 1"/>
    <w:basedOn w:val="805"/>
    <w:next w:val="805"/>
    <w:uiPriority w:val="39"/>
    <w:unhideWhenUsed/>
    <w:pPr>
      <w:ind w:firstLine="0"/>
      <w:spacing w:after="57"/>
    </w:pPr>
  </w:style>
  <w:style w:type="paragraph" w:styleId="966">
    <w:name w:val="toc 2"/>
    <w:basedOn w:val="805"/>
    <w:next w:val="805"/>
    <w:uiPriority w:val="39"/>
    <w:unhideWhenUsed/>
    <w:pPr>
      <w:ind w:left="283" w:firstLine="0"/>
      <w:spacing w:after="57"/>
    </w:pPr>
  </w:style>
  <w:style w:type="paragraph" w:styleId="967">
    <w:name w:val="toc 3"/>
    <w:basedOn w:val="805"/>
    <w:next w:val="805"/>
    <w:uiPriority w:val="39"/>
    <w:unhideWhenUsed/>
    <w:pPr>
      <w:ind w:left="567" w:firstLine="0"/>
      <w:spacing w:after="57"/>
    </w:pPr>
  </w:style>
  <w:style w:type="paragraph" w:styleId="968">
    <w:name w:val="toc 4"/>
    <w:basedOn w:val="805"/>
    <w:next w:val="805"/>
    <w:uiPriority w:val="39"/>
    <w:unhideWhenUsed/>
    <w:pPr>
      <w:ind w:left="850" w:firstLine="0"/>
      <w:spacing w:after="57"/>
    </w:pPr>
  </w:style>
  <w:style w:type="paragraph" w:styleId="969">
    <w:name w:val="toc 5"/>
    <w:basedOn w:val="805"/>
    <w:next w:val="805"/>
    <w:uiPriority w:val="39"/>
    <w:unhideWhenUsed/>
    <w:pPr>
      <w:ind w:left="1134" w:firstLine="0"/>
      <w:spacing w:after="57"/>
    </w:pPr>
  </w:style>
  <w:style w:type="paragraph" w:styleId="970">
    <w:name w:val="toc 6"/>
    <w:basedOn w:val="805"/>
    <w:next w:val="805"/>
    <w:uiPriority w:val="39"/>
    <w:unhideWhenUsed/>
    <w:pPr>
      <w:ind w:left="1417" w:firstLine="0"/>
      <w:spacing w:after="57"/>
    </w:pPr>
  </w:style>
  <w:style w:type="paragraph" w:styleId="971">
    <w:name w:val="toc 7"/>
    <w:basedOn w:val="805"/>
    <w:next w:val="805"/>
    <w:uiPriority w:val="39"/>
    <w:unhideWhenUsed/>
    <w:pPr>
      <w:ind w:left="1701" w:firstLine="0"/>
      <w:spacing w:after="57"/>
    </w:pPr>
  </w:style>
  <w:style w:type="paragraph" w:styleId="972">
    <w:name w:val="toc 8"/>
    <w:basedOn w:val="805"/>
    <w:next w:val="805"/>
    <w:uiPriority w:val="39"/>
    <w:unhideWhenUsed/>
    <w:pPr>
      <w:ind w:left="1984" w:firstLine="0"/>
      <w:spacing w:after="57"/>
    </w:pPr>
  </w:style>
  <w:style w:type="paragraph" w:styleId="973">
    <w:name w:val="toc 9"/>
    <w:basedOn w:val="805"/>
    <w:next w:val="805"/>
    <w:uiPriority w:val="39"/>
    <w:unhideWhenUsed/>
    <w:pPr>
      <w:ind w:left="2268" w:firstLine="0"/>
      <w:spacing w:after="57"/>
    </w:pPr>
  </w:style>
  <w:style w:type="paragraph" w:styleId="974">
    <w:name w:val="TOC Heading"/>
    <w:uiPriority w:val="39"/>
    <w:unhideWhenUsed/>
  </w:style>
  <w:style w:type="paragraph" w:styleId="975">
    <w:name w:val="table of figures"/>
    <w:basedOn w:val="805"/>
    <w:next w:val="805"/>
    <w:uiPriority w:val="99"/>
    <w:unhideWhenUsed/>
  </w:style>
  <w:style w:type="character" w:styleId="976" w:customStyle="1">
    <w:name w:val="Заголовок 1 Знак"/>
    <w:basedOn w:val="815"/>
    <w:link w:val="806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977">
    <w:name w:val="Table Grid"/>
    <w:basedOn w:val="81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8" w:customStyle="1">
    <w:name w:val="Заголовок 2 Знак"/>
    <w:basedOn w:val="815"/>
    <w:link w:val="80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79" w:customStyle="1">
    <w:name w:val="Заголовок 3 Знак"/>
    <w:basedOn w:val="815"/>
    <w:link w:val="80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0">
    <w:name w:val="List Paragraph"/>
    <w:basedOn w:val="805"/>
    <w:uiPriority w:val="34"/>
    <w:qFormat/>
    <w:pPr>
      <w:contextualSpacing/>
      <w:ind w:left="720"/>
    </w:pPr>
  </w:style>
  <w:style w:type="character" w:styleId="981" w:customStyle="1">
    <w:name w:val="Заголовок 4 Знак"/>
    <w:basedOn w:val="815"/>
    <w:link w:val="809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2">
    <w:name w:val="Subtitle"/>
    <w:basedOn w:val="805"/>
    <w:next w:val="805"/>
    <w:link w:val="983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983" w:customStyle="1">
    <w:name w:val="Подзаголовок Знак"/>
    <w:basedOn w:val="815"/>
    <w:link w:val="982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984">
    <w:name w:val="footnote text"/>
    <w:basedOn w:val="805"/>
    <w:link w:val="985"/>
    <w:uiPriority w:val="99"/>
    <w:unhideWhenUsed/>
    <w:rPr>
      <w:sz w:val="20"/>
      <w:szCs w:val="20"/>
    </w:rPr>
  </w:style>
  <w:style w:type="character" w:styleId="985" w:customStyle="1">
    <w:name w:val="Текст сноски Знак"/>
    <w:basedOn w:val="815"/>
    <w:link w:val="98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86">
    <w:name w:val="footnote reference"/>
    <w:basedOn w:val="815"/>
    <w:uiPriority w:val="99"/>
    <w:unhideWhenUsed/>
    <w:rPr>
      <w:vertAlign w:val="superscript"/>
    </w:rPr>
  </w:style>
  <w:style w:type="character" w:styleId="987" w:customStyle="1">
    <w:name w:val="Заголовок 5 Знак"/>
    <w:basedOn w:val="815"/>
    <w:link w:val="810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8" w:customStyle="1">
    <w:name w:val="Заголовок 6 Знак"/>
    <w:basedOn w:val="815"/>
    <w:link w:val="81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9">
    <w:name w:val="Header"/>
    <w:basedOn w:val="805"/>
    <w:link w:val="9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90" w:customStyle="1">
    <w:name w:val="Верхний колонтитул Знак"/>
    <w:basedOn w:val="815"/>
    <w:link w:val="98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1">
    <w:name w:val="Footer"/>
    <w:basedOn w:val="805"/>
    <w:link w:val="9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92" w:customStyle="1">
    <w:name w:val="Нижний колонтитул Знак"/>
    <w:basedOn w:val="815"/>
    <w:link w:val="99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93" w:customStyle="1">
    <w:name w:val="6"/>
    <w:basedOn w:val="81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994">
    <w:name w:val="endnote text"/>
    <w:basedOn w:val="805"/>
    <w:link w:val="995"/>
    <w:uiPriority w:val="99"/>
    <w:semiHidden/>
    <w:unhideWhenUsed/>
    <w:rPr>
      <w:sz w:val="20"/>
      <w:szCs w:val="20"/>
    </w:rPr>
  </w:style>
  <w:style w:type="character" w:styleId="995" w:customStyle="1">
    <w:name w:val="Текст концевой сноски Знак"/>
    <w:basedOn w:val="815"/>
    <w:link w:val="99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6">
    <w:name w:val="endnote reference"/>
    <w:basedOn w:val="815"/>
    <w:uiPriority w:val="99"/>
    <w:semiHidden/>
    <w:unhideWhenUsed/>
    <w:rPr>
      <w:vertAlign w:val="superscript"/>
    </w:rPr>
  </w:style>
  <w:style w:type="paragraph" w:styleId="997">
    <w:name w:val="Title"/>
    <w:basedOn w:val="805"/>
    <w:next w:val="805"/>
    <w:link w:val="998"/>
    <w:uiPriority w:val="10"/>
    <w:qFormat/>
    <w:pPr>
      <w:jc w:val="center"/>
      <w:spacing w:before="240"/>
    </w:pPr>
    <w:rPr>
      <w:b/>
    </w:rPr>
  </w:style>
  <w:style w:type="character" w:styleId="998" w:customStyle="1">
    <w:name w:val="Название Знак"/>
    <w:basedOn w:val="815"/>
    <w:link w:val="997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999" w:customStyle="1">
    <w:name w:val="Заголовок 7 Знак"/>
    <w:basedOn w:val="815"/>
    <w:link w:val="81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00" w:customStyle="1">
    <w:name w:val="Заголовок 8 Знак"/>
    <w:basedOn w:val="815"/>
    <w:link w:val="81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1" w:customStyle="1">
    <w:name w:val="Заголовок 9 Знак"/>
    <w:basedOn w:val="815"/>
    <w:link w:val="814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02">
    <w:name w:val="Balloon Text"/>
    <w:basedOn w:val="805"/>
    <w:link w:val="100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03" w:customStyle="1">
    <w:name w:val="Текст выноски Знак"/>
    <w:basedOn w:val="815"/>
    <w:link w:val="100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04" w:customStyle="1">
    <w:name w:val="head21"/>
    <w:basedOn w:val="805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05">
    <w:name w:val="annotation reference"/>
    <w:basedOn w:val="815"/>
    <w:uiPriority w:val="99"/>
    <w:semiHidden/>
    <w:unhideWhenUsed/>
    <w:rPr>
      <w:sz w:val="16"/>
      <w:szCs w:val="16"/>
    </w:rPr>
  </w:style>
  <w:style w:type="paragraph" w:styleId="1006">
    <w:name w:val="annotation text"/>
    <w:basedOn w:val="805"/>
    <w:link w:val="1007"/>
    <w:uiPriority w:val="99"/>
    <w:semiHidden/>
    <w:unhideWhenUsed/>
    <w:rPr>
      <w:sz w:val="20"/>
      <w:szCs w:val="20"/>
    </w:rPr>
  </w:style>
  <w:style w:type="character" w:styleId="1007" w:customStyle="1">
    <w:name w:val="Текст примечания Знак"/>
    <w:basedOn w:val="815"/>
    <w:link w:val="100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08">
    <w:name w:val="annotation subject"/>
    <w:basedOn w:val="1006"/>
    <w:next w:val="1006"/>
    <w:link w:val="1009"/>
    <w:uiPriority w:val="99"/>
    <w:semiHidden/>
    <w:unhideWhenUsed/>
    <w:rPr>
      <w:b/>
      <w:bCs/>
    </w:rPr>
  </w:style>
  <w:style w:type="character" w:styleId="1009" w:customStyle="1">
    <w:name w:val="Тема примечания Знак"/>
    <w:basedOn w:val="1007"/>
    <w:link w:val="1008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10">
    <w:name w:val="Hyperlink"/>
    <w:basedOn w:val="815"/>
    <w:uiPriority w:val="99"/>
    <w:unhideWhenUsed/>
    <w:rPr>
      <w:color w:val="0563c1" w:themeColor="hyperlink"/>
      <w:u w:val="single"/>
    </w:rPr>
  </w:style>
  <w:style w:type="paragraph" w:styleId="1011" w:customStyle="1">
    <w:name w:val="Заголовок 3;Подпункт ГК"/>
    <w:basedOn w:val="805"/>
    <w:next w:val="805"/>
    <w:link w:val="1012"/>
    <w:uiPriority w:val="9"/>
    <w:unhideWhenUsed/>
    <w:qFormat/>
    <w:pPr>
      <w:contextualSpacing/>
      <w:outlineLvl w:val="2"/>
    </w:pPr>
  </w:style>
  <w:style w:type="character" w:styleId="1012" w:customStyle="1">
    <w:name w:val="Заголовок 3 Знак;Подпункт ГК Знак"/>
    <w:link w:val="101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gandaloevaakh</cp:lastModifiedBy>
  <cp:revision>82</cp:revision>
  <dcterms:created xsi:type="dcterms:W3CDTF">2023-04-26T08:59:00Z</dcterms:created>
  <dcterms:modified xsi:type="dcterms:W3CDTF">2026-08-27T11:44:15Z</dcterms:modified>
</cp:coreProperties>
</file>