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ТЕХНИЧЕСКОЕ ЗАДАНИЕ</w:t>
      </w:r>
    </w:p>
    <w:p>
      <w:pPr>
        <w:jc w:val="center"/>
      </w:pPr>
      <w:r>
        <w:rPr>
          <w:b/>
          <w:sz w:val="24"/>
        </w:rPr>
        <w:t>на поставку текстильной продукции и мобильного стенда Roll-Up</w:t>
      </w:r>
    </w:p>
    <w:p>
      <w:pPr>
        <w:spacing w:before="200" w:after="100"/>
      </w:pPr>
      <w:r>
        <w:rPr>
          <w:b/>
          <w:sz w:val="26"/>
        </w:rPr>
        <w:t>1. Манишка футбольная</w:t>
      </w:r>
    </w:p>
    <w:p>
      <w:pPr>
        <w:spacing w:after="60"/>
        <w:ind w:left="340" w:hanging="198"/>
      </w:pPr>
      <w:r>
        <w:t xml:space="preserve">• </w:t>
      </w:r>
      <w:r>
        <w:t>Материал: сетка типа «Олимп» или эквивалент.</w:t>
      </w:r>
    </w:p>
    <w:p>
      <w:pPr>
        <w:spacing w:after="60"/>
        <w:ind w:left="340" w:hanging="198"/>
      </w:pPr>
      <w:r>
        <w:t xml:space="preserve">• </w:t>
      </w:r>
      <w:r>
        <w:t>Состав: 100% полиэстер.</w:t>
      </w:r>
    </w:p>
    <w:p>
      <w:pPr>
        <w:spacing w:after="60"/>
        <w:ind w:left="340" w:hanging="198"/>
      </w:pPr>
      <w:r>
        <w:t xml:space="preserve">• </w:t>
      </w:r>
      <w:r>
        <w:t>Плотность материала: 120 г/м².</w:t>
      </w:r>
    </w:p>
    <w:p>
      <w:pPr>
        <w:spacing w:after="60"/>
        <w:ind w:left="340" w:hanging="198"/>
      </w:pPr>
      <w:r>
        <w:t xml:space="preserve">• </w:t>
      </w:r>
      <w:r>
        <w:t>Посадка: умеренного объема.</w:t>
      </w:r>
    </w:p>
    <w:p>
      <w:pPr>
        <w:spacing w:after="60"/>
        <w:ind w:left="340" w:hanging="198"/>
      </w:pPr>
      <w:r>
        <w:t xml:space="preserve">• </w:t>
      </w:r>
      <w:r>
        <w:t>Длина изделия: 20 см от линии талии.</w:t>
      </w:r>
    </w:p>
    <w:p>
      <w:pPr>
        <w:spacing w:after="60"/>
        <w:ind w:left="340" w:hanging="198"/>
      </w:pPr>
      <w:r>
        <w:t xml:space="preserve">• </w:t>
      </w:r>
      <w:r>
        <w:t>Горловина и проймы обработаны окантовкой.</w:t>
      </w:r>
    </w:p>
    <w:p>
      <w:pPr>
        <w:spacing w:after="60"/>
        <w:ind w:left="340" w:hanging="198"/>
      </w:pPr>
      <w:r>
        <w:t xml:space="preserve">• </w:t>
      </w:r>
      <w:r>
        <w:t>Нижний край изделия подшит.</w:t>
      </w:r>
    </w:p>
    <w:p>
      <w:pPr>
        <w:spacing w:after="60"/>
        <w:ind w:left="340" w:hanging="198"/>
      </w:pPr>
      <w:r>
        <w:t xml:space="preserve">• </w:t>
      </w:r>
      <w:r>
        <w:t>Боковая фиксация: 2 пары эластичных резинок.</w:t>
      </w:r>
    </w:p>
    <w:p>
      <w:pPr>
        <w:spacing w:after="60"/>
        <w:ind w:left="340" w:hanging="198"/>
      </w:pPr>
      <w:r>
        <w:t xml:space="preserve">• </w:t>
      </w:r>
      <w:r>
        <w:t>Швы ровные, без пропуска стежков, концы строчек закреплены.</w:t>
      </w:r>
    </w:p>
    <w:p>
      <w:pPr>
        <w:spacing w:after="60"/>
        <w:ind w:left="340" w:hanging="198"/>
      </w:pPr>
      <w:r>
        <w:t xml:space="preserve">• </w:t>
      </w:r>
      <w:r>
        <w:rPr>
          <w:b/>
        </w:rPr>
        <w:t>Дополнительная характеристика:</w:t>
      </w:r>
      <w:r>
        <w:t xml:space="preserve"> окантовочный шов горловины и пройм — не менее 20 стежков на 5 см строчки.</w:t>
      </w:r>
    </w:p>
    <w:p>
      <w:pPr>
        <w:spacing w:after="60"/>
        <w:ind w:left="340" w:hanging="198"/>
      </w:pPr>
      <w:r>
        <w:t xml:space="preserve">• </w:t>
      </w:r>
      <w:r>
        <w:t>Эластичные элементы после растяжения должны возвращаться в первоначальное состояние без видимой остаточной деформации.</w:t>
      </w:r>
    </w:p>
    <w:p>
      <w:pPr>
        <w:spacing w:after="60"/>
        <w:ind w:left="340" w:hanging="198"/>
      </w:pPr>
      <w:r>
        <w:t xml:space="preserve">• </w:t>
      </w:r>
      <w:r>
        <w:t>Материал должен сохранять геометрию ячеек сетки после стирки.</w:t>
      </w:r>
    </w:p>
    <w:p>
      <w:pPr>
        <w:spacing w:before="200" w:after="100"/>
      </w:pPr>
      <w:r>
        <w:rPr>
          <w:b/>
          <w:sz w:val="26"/>
        </w:rPr>
        <w:t>2. Футболка</w:t>
      </w:r>
    </w:p>
    <w:p>
      <w:pPr>
        <w:spacing w:after="60"/>
        <w:ind w:left="340" w:hanging="198"/>
      </w:pPr>
      <w:r>
        <w:t xml:space="preserve">• </w:t>
      </w:r>
      <w:r>
        <w:t>Материал: «ложная сетка» или эквивалент.</w:t>
      </w:r>
    </w:p>
    <w:p>
      <w:pPr>
        <w:spacing w:after="60"/>
        <w:ind w:left="340" w:hanging="198"/>
      </w:pPr>
      <w:r>
        <w:t xml:space="preserve">• </w:t>
      </w:r>
      <w:r>
        <w:t>Состав: 100% полиэстер.</w:t>
      </w:r>
    </w:p>
    <w:p>
      <w:pPr>
        <w:spacing w:after="60"/>
        <w:ind w:left="340" w:hanging="198"/>
      </w:pPr>
      <w:r>
        <w:t xml:space="preserve">• </w:t>
      </w:r>
      <w:r>
        <w:t>Плотность: 140 г/м².</w:t>
      </w:r>
    </w:p>
    <w:p>
      <w:pPr>
        <w:spacing w:after="60"/>
        <w:ind w:left="340" w:hanging="198"/>
      </w:pPr>
      <w:r>
        <w:t xml:space="preserve">• </w:t>
      </w:r>
      <w:r>
        <w:t>Посадка: умеренного объема.</w:t>
      </w:r>
    </w:p>
    <w:p>
      <w:pPr>
        <w:spacing w:after="60"/>
        <w:ind w:left="340" w:hanging="198"/>
      </w:pPr>
      <w:r>
        <w:t xml:space="preserve">• </w:t>
      </w:r>
      <w:r>
        <w:t>Силуэт: прямой.</w:t>
      </w:r>
    </w:p>
    <w:p>
      <w:pPr>
        <w:spacing w:after="60"/>
        <w:ind w:left="340" w:hanging="198"/>
      </w:pPr>
      <w:r>
        <w:t xml:space="preserve">• </w:t>
      </w:r>
      <w:r>
        <w:t>Рукав: короткий, длиной до середины плеча.</w:t>
      </w:r>
    </w:p>
    <w:p>
      <w:pPr>
        <w:spacing w:after="60"/>
        <w:ind w:left="340" w:hanging="198"/>
      </w:pPr>
      <w:r>
        <w:t xml:space="preserve">• </w:t>
      </w:r>
      <w:r>
        <w:t>Длина изделия: 20–25 см ниже линии талии.</w:t>
      </w:r>
    </w:p>
    <w:p>
      <w:pPr>
        <w:spacing w:after="60"/>
        <w:ind w:left="340" w:hanging="198"/>
      </w:pPr>
      <w:r>
        <w:t xml:space="preserve">• </w:t>
      </w:r>
      <w:r>
        <w:t>Ворот: круглый.</w:t>
      </w:r>
    </w:p>
    <w:p>
      <w:pPr>
        <w:spacing w:after="60"/>
        <w:ind w:left="340" w:hanging="198"/>
      </w:pPr>
      <w:r>
        <w:t xml:space="preserve">• </w:t>
      </w:r>
      <w:r>
        <w:t>Рукава и нижний край изделия подшиты.</w:t>
      </w:r>
    </w:p>
    <w:p>
      <w:pPr>
        <w:spacing w:after="60"/>
        <w:ind w:left="340" w:hanging="198"/>
      </w:pPr>
      <w:r>
        <w:t xml:space="preserve">• </w:t>
      </w:r>
      <w:r>
        <w:t>Швы ровные, без пропусков стежков.</w:t>
      </w:r>
    </w:p>
    <w:p>
      <w:pPr>
        <w:spacing w:after="60"/>
        <w:ind w:left="340" w:hanging="198"/>
      </w:pPr>
      <w:r>
        <w:t xml:space="preserve">• </w:t>
      </w:r>
      <w:r>
        <w:rPr>
          <w:b/>
        </w:rPr>
        <w:t>Дополнительная характеристика:</w:t>
      </w:r>
      <w:r>
        <w:t xml:space="preserve"> устойчивость окраски к сухому трению — не менее 4 баллов.</w:t>
      </w:r>
    </w:p>
    <w:p>
      <w:pPr>
        <w:spacing w:after="60"/>
        <w:ind w:left="340" w:hanging="198"/>
      </w:pPr>
      <w:r>
        <w:t xml:space="preserve">• </w:t>
      </w:r>
      <w:r>
        <w:t>Воздухопроницаемость полотна — не менее 100 дм³/(м²·с).</w:t>
      </w:r>
    </w:p>
    <w:p>
      <w:pPr>
        <w:spacing w:after="60"/>
        <w:ind w:left="340" w:hanging="198"/>
      </w:pPr>
      <w:r>
        <w:t xml:space="preserve">• </w:t>
      </w:r>
      <w:r>
        <w:t>После мокрой обработки не допускается изменение линейных размеров по длине и ширине более чем на 6%.</w:t>
      </w:r>
    </w:p>
    <w:p>
      <w:pPr>
        <w:spacing w:after="60"/>
        <w:ind w:left="340" w:hanging="198"/>
      </w:pPr>
      <w:r>
        <w:t xml:space="preserve">• </w:t>
      </w:r>
      <w:r>
        <w:t>Конструктивные линии изделия должны быть симметричными.</w:t>
      </w:r>
    </w:p>
    <w:p>
      <w:pPr>
        <w:spacing w:before="200" w:after="100"/>
      </w:pPr>
      <w:r>
        <w:rPr>
          <w:b/>
          <w:sz w:val="26"/>
        </w:rPr>
        <w:t>3. Бейсболка</w:t>
      </w:r>
    </w:p>
    <w:p>
      <w:pPr>
        <w:spacing w:after="60"/>
        <w:ind w:left="340" w:hanging="198"/>
      </w:pPr>
      <w:r>
        <w:t xml:space="preserve">• </w:t>
      </w:r>
      <w:r>
        <w:t>Материал: 100% хлопок.</w:t>
      </w:r>
    </w:p>
    <w:p>
      <w:pPr>
        <w:spacing w:after="60"/>
        <w:ind w:left="340" w:hanging="198"/>
      </w:pPr>
      <w:r>
        <w:t xml:space="preserve">• </w:t>
      </w:r>
      <w:r>
        <w:t>Плотность материала: 210 г/м².</w:t>
      </w:r>
    </w:p>
    <w:p>
      <w:pPr>
        <w:spacing w:after="60"/>
        <w:ind w:left="340" w:hanging="198"/>
      </w:pPr>
      <w:r>
        <w:t xml:space="preserve">• </w:t>
      </w:r>
      <w:r>
        <w:t>Конструкция: пять клиньев.</w:t>
      </w:r>
    </w:p>
    <w:p>
      <w:pPr>
        <w:spacing w:after="60"/>
        <w:ind w:left="340" w:hanging="198"/>
      </w:pPr>
      <w:r>
        <w:t xml:space="preserve">• </w:t>
      </w:r>
      <w:r>
        <w:t>Козырек: жесткий, формоустойчивый.</w:t>
      </w:r>
    </w:p>
    <w:p>
      <w:pPr>
        <w:spacing w:after="60"/>
        <w:ind w:left="340" w:hanging="198"/>
      </w:pPr>
      <w:r>
        <w:t xml:space="preserve">• </w:t>
      </w:r>
      <w:r>
        <w:t>Размер: регулируемый.</w:t>
      </w:r>
    </w:p>
    <w:p>
      <w:pPr>
        <w:spacing w:after="60"/>
        <w:ind w:left="340" w:hanging="198"/>
      </w:pPr>
      <w:r>
        <w:t xml:space="preserve">• </w:t>
      </w:r>
      <w:r>
        <w:t>Застежка: металлический замок.</w:t>
      </w:r>
    </w:p>
    <w:p>
      <w:pPr>
        <w:spacing w:after="60"/>
        <w:ind w:left="340" w:hanging="198"/>
      </w:pPr>
      <w:r>
        <w:t xml:space="preserve">• </w:t>
      </w:r>
      <w:r>
        <w:t>Металлическая застежка должна обеспечивать фиксацию выбранного размера без самопроизвольного ослабления.</w:t>
      </w:r>
    </w:p>
    <w:p>
      <w:pPr>
        <w:spacing w:after="60"/>
        <w:ind w:left="340" w:hanging="198"/>
      </w:pPr>
      <w:r>
        <w:t xml:space="preserve">• </w:t>
      </w:r>
      <w:r>
        <w:t>Клинья должны иметь симметричную геометрию.</w:t>
      </w:r>
    </w:p>
    <w:p>
      <w:pPr>
        <w:spacing w:after="60"/>
        <w:ind w:left="340" w:hanging="198"/>
      </w:pPr>
      <w:r>
        <w:t xml:space="preserve">• </w:t>
      </w:r>
      <w:r>
        <w:t>Соединительные строчки должны быть ровными, без пропусков стежков.</w:t>
      </w:r>
    </w:p>
    <w:p>
      <w:pPr>
        <w:spacing w:after="60"/>
        <w:ind w:left="340" w:hanging="198"/>
      </w:pPr>
      <w:r>
        <w:t xml:space="preserve">• </w:t>
      </w:r>
      <w:r>
        <w:rPr>
          <w:b/>
        </w:rPr>
        <w:t>Дополнительная характеристика:</w:t>
      </w:r>
      <w:r>
        <w:t xml:space="preserve"> козырек должен сохранять заданную дугообразную форму после трех последовательных циклов ручного изгиба и восстановления.</w:t>
      </w:r>
    </w:p>
    <w:p>
      <w:pPr>
        <w:spacing w:after="60"/>
        <w:ind w:left="340" w:hanging="198"/>
      </w:pPr>
      <w:r>
        <w:t xml:space="preserve">• </w:t>
      </w:r>
      <w:r>
        <w:t>Верхняя точка соединения пяти клиньев должна быть закрыта декоративной обтяжной пуговицей из материала, визуально соответствующего основному материалу изделия.</w:t>
      </w:r>
    </w:p>
    <w:p>
      <w:pPr>
        <w:spacing w:before="200" w:after="100"/>
      </w:pPr>
      <w:r>
        <w:rPr>
          <w:b/>
          <w:sz w:val="26"/>
        </w:rPr>
        <w:t>4. Мобильный стенд Roll-Up «Движение Первых»</w:t>
      </w:r>
    </w:p>
    <w:p>
      <w:pPr>
        <w:spacing w:after="60"/>
        <w:ind w:left="340" w:hanging="198"/>
      </w:pPr>
      <w:r>
        <w:t xml:space="preserve">• </w:t>
      </w:r>
      <w:r>
        <w:t>Размер: 850 × 2000 мм.</w:t>
      </w:r>
    </w:p>
    <w:p>
      <w:pPr>
        <w:spacing w:after="60"/>
        <w:ind w:left="340" w:hanging="198"/>
      </w:pPr>
      <w:r>
        <w:t xml:space="preserve">• </w:t>
      </w:r>
      <w:r>
        <w:t>Основной цвет полотна — красный.</w:t>
      </w:r>
    </w:p>
    <w:p>
      <w:pPr>
        <w:spacing w:after="60"/>
        <w:ind w:left="340" w:hanging="198"/>
      </w:pPr>
      <w:r>
        <w:t xml:space="preserve">• </w:t>
      </w:r>
      <w:r>
        <w:t>В верхней части полотна должна располагаться надпись «Свердловская область».</w:t>
      </w:r>
    </w:p>
    <w:p>
      <w:pPr>
        <w:spacing w:after="60"/>
        <w:ind w:left="340" w:hanging="198"/>
      </w:pPr>
      <w:r>
        <w:t xml:space="preserve">• </w:t>
      </w:r>
      <w:r>
        <w:t>В центральной части должны располагаться слово «ПЕРВЫЕ» и фирменный знак «Движение Первых».</w:t>
      </w:r>
    </w:p>
    <w:p>
      <w:pPr>
        <w:spacing w:after="60"/>
        <w:ind w:left="340" w:hanging="198"/>
      </w:pPr>
      <w:r>
        <w:t xml:space="preserve">• </w:t>
      </w:r>
      <w:r>
        <w:t>В нижней части должны располагаться QR-коды: будьвдвижении.рф, ВКонтакте, Одноклассники.</w:t>
      </w:r>
    </w:p>
    <w:p>
      <w:pPr>
        <w:spacing w:after="60"/>
        <w:ind w:left="340" w:hanging="198"/>
      </w:pPr>
      <w:r>
        <w:t xml:space="preserve">• </w:t>
      </w:r>
      <w:r>
        <w:t>QR-коды должны вести на согласованные заказчиком интернет-ресурсы.</w:t>
      </w:r>
    </w:p>
    <w:p>
      <w:pPr>
        <w:spacing w:after="60"/>
        <w:ind w:left="340" w:hanging="198"/>
      </w:pPr>
      <w:r>
        <w:t xml:space="preserve">• </w:t>
      </w:r>
      <w:r>
        <w:t>Мобильная напольная конструкция Roll-Up; полотно автоматически убирается внутрь корпуса посредством возвратного механизма.</w:t>
      </w:r>
    </w:p>
    <w:p>
      <w:pPr>
        <w:spacing w:after="60"/>
        <w:ind w:left="340" w:hanging="198"/>
      </w:pPr>
      <w:r>
        <w:t xml:space="preserve">• </w:t>
      </w:r>
      <w:r>
        <w:t>Установка конструкции производится без применения специального инструмента.</w:t>
      </w:r>
    </w:p>
    <w:p>
      <w:pPr>
        <w:spacing w:after="60"/>
        <w:ind w:left="340" w:hanging="198"/>
      </w:pPr>
      <w:r>
        <w:t xml:space="preserve">• </w:t>
      </w:r>
      <w:r>
        <w:t>Конструкция предназначена для многократного использования и должна обеспечивать защиту свернутого полотна при транспортировке.</w:t>
      </w:r>
    </w:p>
    <w:p>
      <w:pPr>
        <w:spacing w:after="60"/>
        <w:ind w:left="340" w:hanging="198"/>
      </w:pPr>
      <w:r>
        <w:t xml:space="preserve">• </w:t>
      </w:r>
      <w:r>
        <w:t>Стенд подходит для эксплуатации внутри помещений и на открытых площадках при соответствующих погодных условиях.</w:t>
      </w:r>
    </w:p>
    <w:p>
      <w:pPr>
        <w:spacing w:after="60"/>
        <w:ind w:left="340" w:hanging="198"/>
      </w:pPr>
      <w:r>
        <w:t xml:space="preserve">• </w:t>
      </w:r>
      <w:r>
        <w:rPr>
          <w:b/>
        </w:rPr>
        <w:t>Дополнительная характеристика:</w:t>
      </w:r>
      <w:r>
        <w:t xml:space="preserve"> возвратный механизм должен обеспечивать равномерное втягивание полотна без рывков и перекоса относительно продольной оси конструкции.</w:t>
      </w:r>
    </w:p>
    <w:p>
      <w:pPr>
        <w:spacing w:after="60"/>
        <w:ind w:left="340" w:hanging="198"/>
      </w:pPr>
      <w:r>
        <w:t xml:space="preserve">• </w:t>
      </w:r>
      <w:r>
        <w:t>После пяти последовательных циклов полного развертывания и свертывания полотна не допускается появление заломов, препятствующих визуальному восприятию макета.</w:t>
      </w:r>
    </w:p>
    <w:p>
      <w:pPr>
        <w:spacing w:after="60"/>
        <w:ind w:left="340" w:hanging="198"/>
      </w:pPr>
      <w:r>
        <w:t xml:space="preserve">• </w:t>
      </w:r>
      <w:r>
        <w:t>QR-коды должны сохранять возможность считывания стандартной камерой смартфона непосредственно с готового напечатанного полотна.</w:t>
      </w:r>
    </w:p>
    <w:p>
      <w:pPr>
        <w:spacing w:after="60"/>
        <w:ind w:left="340" w:hanging="198"/>
      </w:pPr>
      <w:r>
        <w:t xml:space="preserve">• </w:t>
      </w:r>
      <w:r>
        <w:t>Не допускаются полосы печати, непропечатанные участки, пятна и визуально заметная пикселизация графических элементов при штатной дистанции просмотра.</w:t>
      </w:r>
    </w:p>
    <w:p>
      <w:pPr>
        <w:spacing w:after="60"/>
        <w:ind w:left="340" w:hanging="198"/>
      </w:pPr>
      <w:r>
        <w:t xml:space="preserve">• </w:t>
      </w:r>
      <w:r>
        <w:t>Перед изготовлением поставщик обязан согласовать с заказчиком электронный макет.</w:t>
      </w:r>
    </w:p>
    <w:p>
      <w:pPr>
        <w:spacing w:before="200" w:after="100"/>
      </w:pPr>
      <w:r>
        <w:rPr>
          <w:b/>
          <w:sz w:val="26"/>
        </w:rPr>
        <w:t>Общие требования</w:t>
      </w:r>
    </w:p>
    <w:p>
      <w:pPr>
        <w:spacing w:after="60"/>
        <w:ind w:left="340" w:hanging="198"/>
      </w:pPr>
      <w:r>
        <w:t xml:space="preserve">• </w:t>
      </w:r>
      <w:r>
        <w:t>Все изделия должны быть новыми, не бывшими в эксплуатации.</w:t>
      </w:r>
    </w:p>
    <w:p>
      <w:pPr>
        <w:spacing w:after="60"/>
        <w:ind w:left="340" w:hanging="198"/>
      </w:pPr>
      <w:r>
        <w:t xml:space="preserve">• </w:t>
      </w:r>
      <w:r>
        <w:t>Материалы, фактура, размеры, цветовое исполнение и качество изготовления должны соответствовать настоящему техническому заданию и согласованному образцу/макету.</w:t>
      </w:r>
    </w:p>
    <w:p>
      <w:pPr>
        <w:spacing w:after="60"/>
        <w:ind w:left="340" w:hanging="198"/>
      </w:pPr>
      <w:r>
        <w:t xml:space="preserve">• </w:t>
      </w:r>
      <w:r>
        <w:t>По требованию заказчика до изготовления основной партии поставщик предоставляет образец изделия либо образец используемого материала для проверки соответствия установленным характеристикам.</w:t>
      </w:r>
    </w:p>
    <w:p>
      <w:pPr>
        <w:spacing w:after="60"/>
        <w:ind w:left="340" w:hanging="198"/>
      </w:pPr>
      <w:r>
        <w:t xml:space="preserve">• </w:t>
      </w:r>
      <w:r>
        <w:t>При приемке заказчик вправе проверить заявленные характеристики, размеры, качество швов, материал, конструктивное исполнение, работоспособность механизмов Roll-Up и считываемость QR-кодов.</w:t>
      </w:r>
    </w:p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