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5.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suppressAutoHyphens w:val="true"/>
        <w:bidi w:val="0"/>
        <w:spacing w:before="0" w:after="0"/>
        <w:contextualSpacing/>
        <w:rPr>
          <w:rFonts w:ascii="Times New Roman" w:hAnsi="Times New Roman" w:eastAsia="Times New Roman" w:cs="Times New Roman"/>
          <w:color w:val="auto"/>
          <w:sz w:val="24"/>
          <w:szCs w:val="24"/>
          <w:lang w:val="ru-RU" w:eastAsia="ru-RU" w:bidi="ar-SA"/>
        </w:rPr>
      </w:pPr>
      <w:r>
        <w:rPr>
          <w:rFonts w:eastAsia="Times New Roman" w:cs="Times New Roman"/>
          <w:color w:val="auto"/>
          <w:sz w:val="24"/>
          <w:szCs w:val="24"/>
          <w:lang w:val="ru-RU" w:eastAsia="ru-RU" w:bidi="ar-SA"/>
        </w:rPr>
        <w:t>Контракт</w:t>
      </w:r>
      <w:bookmarkStart w:id="0" w:name="_ref_1-c673a9191d2245"/>
      <w:bookmarkStart w:id="1" w:name="_title_1"/>
      <w:r>
        <w:rPr>
          <w:rFonts w:eastAsia="Times New Roman" w:cs="Times New Roman"/>
          <w:color w:val="auto"/>
          <w:sz w:val="24"/>
          <w:szCs w:val="24"/>
          <w:lang w:val="ru-RU" w:eastAsia="ru-RU" w:bidi="ar-SA"/>
        </w:rPr>
        <w:t> на поставку</w:t>
      </w:r>
      <w:bookmarkEnd w:id="0"/>
      <w:bookmarkEnd w:id="1"/>
      <w:r>
        <w:rPr>
          <w:rFonts w:eastAsia="Times New Roman" w:cs="Times New Roman"/>
          <w:color w:val="auto"/>
          <w:sz w:val="24"/>
          <w:szCs w:val="24"/>
          <w:lang w:val="ru-RU" w:eastAsia="ru-RU" w:bidi="ar-SA"/>
        </w:rPr>
        <w:t xml:space="preserve"> </w:t>
      </w:r>
      <w:r>
        <w:rPr>
          <w:rFonts w:eastAsia="Times New Roman" w:cs="Times New Roman"/>
          <w:color w:val="auto"/>
          <w:sz w:val="24"/>
          <w:szCs w:val="24"/>
          <w:lang w:val="ru-RU" w:eastAsia="ru-RU" w:bidi="ar-SA"/>
        </w:rPr>
        <w:t>лабораторных реактивов и реагентов</w:t>
      </w:r>
      <w:r>
        <w:rPr>
          <w:rFonts w:eastAsia="Times New Roman" w:cs="Times New Roman"/>
          <w:color w:val="auto"/>
          <w:sz w:val="24"/>
          <w:szCs w:val="24"/>
          <w:lang w:val="ru-RU" w:eastAsia="ru-RU" w:bidi="ar-SA"/>
        </w:rPr>
        <w:t xml:space="preserve"> </w:t>
      </w:r>
    </w:p>
    <w:p>
      <w:pPr>
        <w:pStyle w:val="Title"/>
        <w:widowControl/>
        <w:suppressAutoHyphens w:val="true"/>
        <w:bidi w:val="0"/>
        <w:spacing w:before="0" w:after="0"/>
        <w:contextualSpacing/>
        <w:rPr>
          <w:sz w:val="24"/>
          <w:szCs w:val="24"/>
        </w:rPr>
      </w:pPr>
      <w:r>
        <w:rPr>
          <w:rFonts w:eastAsia="Times New Roman" w:cs="Times New Roman"/>
          <w:color w:val="auto"/>
          <w:sz w:val="24"/>
          <w:szCs w:val="24"/>
          <w:lang w:val="ru-RU" w:eastAsia="ru-RU" w:bidi="ar-SA"/>
        </w:rPr>
        <w:t>№</w:t>
      </w:r>
      <w:r>
        <w:rPr>
          <w:rFonts w:eastAsia="Times New Roman" w:cs="Times New Roman"/>
          <w:color w:val="auto"/>
          <w:sz w:val="24"/>
          <w:szCs w:val="24"/>
          <w:lang w:val="ru-RU" w:eastAsia="ru-RU" w:bidi="ar-SA"/>
        </w:rPr>
        <w:t>71</w:t>
      </w:r>
      <w:r>
        <w:rPr>
          <w:rFonts w:eastAsia="Times New Roman" w:cs="Times New Roman"/>
          <w:color w:val="auto"/>
          <w:sz w:val="24"/>
          <w:szCs w:val="24"/>
          <w:lang w:val="ru-RU" w:eastAsia="ru-RU" w:bidi="ar-SA"/>
        </w:rPr>
        <w:t>/26</w:t>
      </w:r>
    </w:p>
    <w:p>
      <w:pPr>
        <w:pStyle w:val="Title"/>
        <w:widowControl/>
        <w:suppressAutoHyphens w:val="true"/>
        <w:bidi w:val="0"/>
        <w:spacing w:before="0" w:after="0"/>
        <w:contextualSpacing/>
        <w:rPr>
          <w:b w:val="false"/>
          <w:bCs w:val="false"/>
        </w:rPr>
      </w:pPr>
      <w:r>
        <w:rPr>
          <w:rFonts w:eastAsia="Times New Roman" w:cs="Times New Roman"/>
          <w:b w:val="false"/>
          <w:bCs w:val="false"/>
          <w:color w:val="auto"/>
          <w:sz w:val="24"/>
          <w:szCs w:val="24"/>
          <w:lang w:val="ru-RU" w:eastAsia="ru-RU" w:bidi="ar-SA"/>
        </w:rPr>
        <w:t xml:space="preserve">ИКЗ </w:t>
      </w:r>
      <w:r>
        <w:rPr>
          <w:rFonts w:eastAsia="Times New Roman" w:cs="Times New Roman"/>
          <w:b w:val="false"/>
          <w:bCs w:val="false"/>
          <w:color w:val="auto"/>
          <w:spacing w:val="5"/>
          <w:kern w:val="2"/>
          <w:sz w:val="24"/>
          <w:szCs w:val="24"/>
          <w:lang w:val="ru-RU" w:eastAsia="ru-RU" w:bidi="ar-SA"/>
        </w:rPr>
        <w:t>261632300001663240100100370</w:t>
      </w:r>
      <w:r>
        <w:rPr>
          <w:rFonts w:eastAsia="Times New Roman" w:cs="Times New Roman"/>
          <w:b w:val="false"/>
          <w:bCs w:val="false"/>
          <w:color w:val="auto"/>
          <w:spacing w:val="5"/>
          <w:kern w:val="2"/>
          <w:sz w:val="24"/>
          <w:szCs w:val="24"/>
          <w:lang w:val="ru-RU" w:eastAsia="ru-RU" w:bidi="ar-SA"/>
        </w:rPr>
        <w:t>71</w:t>
      </w:r>
      <w:r>
        <w:rPr>
          <w:rFonts w:eastAsia="Times New Roman" w:cs="Times New Roman"/>
          <w:b w:val="false"/>
          <w:bCs w:val="false"/>
          <w:color w:val="auto"/>
          <w:spacing w:val="5"/>
          <w:kern w:val="2"/>
          <w:sz w:val="24"/>
          <w:szCs w:val="24"/>
          <w:lang w:val="ru-RU" w:eastAsia="ru-RU" w:bidi="ar-SA"/>
        </w:rPr>
        <w:t>0000244</w:t>
      </w:r>
    </w:p>
    <w:p>
      <w:pPr>
        <w:pStyle w:val="Title"/>
        <w:widowControl/>
        <w:suppressAutoHyphens w:val="true"/>
        <w:bidi w:val="0"/>
        <w:spacing w:before="0" w:after="0"/>
        <w:contextualSpacing/>
        <w:rPr>
          <w:rFonts w:ascii="Times New Roman" w:hAnsi="Times New Roman" w:eastAsia="Times New Roman" w:cs="Times New Roman"/>
          <w:color w:val="auto"/>
          <w:sz w:val="24"/>
          <w:szCs w:val="24"/>
          <w:lang w:val="ru-RU" w:eastAsia="ru-RU" w:bidi="ar-SA"/>
        </w:rPr>
      </w:pPr>
      <w:r>
        <w:rPr>
          <w:rFonts w:eastAsia="Times New Roman" w:cs="Times New Roman"/>
          <w:color w:val="auto"/>
          <w:sz w:val="24"/>
          <w:szCs w:val="24"/>
          <w:lang w:val="ru-RU" w:eastAsia="ru-RU" w:bidi="ar-SA"/>
        </w:rPr>
        <w:t xml:space="preserve"> </w:t>
      </w:r>
    </w:p>
    <w:p>
      <w:pPr>
        <w:pStyle w:val="Normal"/>
        <w:spacing w:lineRule="auto" w:line="240" w:before="0" w:after="0"/>
        <w:jc w:val="center"/>
        <w:rPr>
          <w:b/>
          <w:spacing w:val="5"/>
          <w:kern w:val="2"/>
          <w:sz w:val="24"/>
          <w:szCs w:val="24"/>
        </w:rPr>
      </w:pPr>
      <w:r>
        <w:rPr>
          <w:b/>
          <w:spacing w:val="5"/>
          <w:kern w:val="2"/>
          <w:sz w:val="24"/>
          <w:szCs w:val="24"/>
        </w:rPr>
      </w:r>
    </w:p>
    <w:tbl>
      <w:tblPr>
        <w:tblW w:w="5000" w:type="pct"/>
        <w:jc w:val="left"/>
        <w:tblInd w:w="108" w:type="dxa"/>
        <w:tblLayout w:type="fixed"/>
        <w:tblCellMar>
          <w:top w:w="0" w:type="dxa"/>
          <w:left w:w="108" w:type="dxa"/>
          <w:bottom w:w="0" w:type="dxa"/>
          <w:right w:w="108" w:type="dxa"/>
        </w:tblCellMar>
        <w:tblLook w:val="04a0"/>
      </w:tblPr>
      <w:tblGrid>
        <w:gridCol w:w="4178"/>
        <w:gridCol w:w="6026"/>
      </w:tblGrid>
      <w:tr>
        <w:trPr/>
        <w:tc>
          <w:tcPr>
            <w:tcW w:w="4178" w:type="dxa"/>
            <w:tcBorders/>
          </w:tcPr>
          <w:p>
            <w:pPr>
              <w:pStyle w:val="Normalunindented"/>
              <w:keepNext w:val="true"/>
              <w:spacing w:lineRule="auto" w:line="240" w:before="0" w:after="0"/>
              <w:jc w:val="left"/>
              <w:rPr>
                <w:b w:val="false"/>
                <w:bCs w:val="false"/>
              </w:rPr>
            </w:pPr>
            <w:r>
              <w:rPr>
                <w:b w:val="false"/>
                <w:bCs w:val="false"/>
                <w:spacing w:val="5"/>
                <w:kern w:val="2"/>
                <w:sz w:val="24"/>
                <w:szCs w:val="24"/>
              </w:rPr>
              <w:t>г. Тольятти</w:t>
            </w:r>
          </w:p>
        </w:tc>
        <w:tc>
          <w:tcPr>
            <w:tcW w:w="6026" w:type="dxa"/>
            <w:tcBorders/>
          </w:tcPr>
          <w:p>
            <w:pPr>
              <w:pStyle w:val="Normalunindented"/>
              <w:keepNext w:val="true"/>
              <w:spacing w:lineRule="auto" w:line="240" w:before="0" w:after="0"/>
              <w:jc w:val="right"/>
              <w:rPr>
                <w:b w:val="false"/>
                <w:bCs w:val="false"/>
              </w:rPr>
            </w:pPr>
            <w:r>
              <w:rPr>
                <w:b w:val="false"/>
                <w:bCs w:val="false"/>
                <w:spacing w:val="5"/>
                <w:kern w:val="2"/>
                <w:sz w:val="24"/>
                <w:szCs w:val="24"/>
              </w:rPr>
              <w:t>                                </w:t>
            </w:r>
            <w:r>
              <w:rPr>
                <w:b w:val="false"/>
                <w:bCs w:val="false"/>
                <w:spacing w:val="5"/>
                <w:kern w:val="2"/>
                <w:sz w:val="24"/>
                <w:szCs w:val="24"/>
              </w:rPr>
              <w:t>"___ "  ________2026г.</w:t>
            </w:r>
          </w:p>
          <w:p>
            <w:pPr>
              <w:pStyle w:val="Normalunindented"/>
              <w:keepNext w:val="true"/>
              <w:spacing w:lineRule="auto" w:line="240" w:before="0" w:after="0"/>
              <w:jc w:val="right"/>
              <w:rPr>
                <w:b w:val="false"/>
                <w:bCs w:val="false"/>
                <w:spacing w:val="5"/>
                <w:kern w:val="2"/>
                <w:sz w:val="24"/>
                <w:szCs w:val="24"/>
              </w:rPr>
            </w:pPr>
            <w:r>
              <w:rPr>
                <w:b w:val="false"/>
                <w:bCs w:val="false"/>
                <w:spacing w:val="5"/>
                <w:kern w:val="2"/>
                <w:sz w:val="24"/>
                <w:szCs w:val="24"/>
              </w:rPr>
            </w:r>
          </w:p>
        </w:tc>
      </w:tr>
    </w:tbl>
    <w:p>
      <w:pPr>
        <w:pStyle w:val="Normal"/>
        <w:widowControl w:val="false"/>
        <w:spacing w:lineRule="auto" w:line="240" w:before="0" w:after="0"/>
        <w:ind w:firstLine="720"/>
        <w:rPr>
          <w:sz w:val="24"/>
          <w:szCs w:val="24"/>
        </w:rPr>
      </w:pPr>
      <w:r>
        <w:rPr>
          <w:b/>
          <w:sz w:val="24"/>
          <w:szCs w:val="24"/>
        </w:rPr>
        <w:t xml:space="preserve">Федеральное государственное бюджетное учреждение санаторий «Лесное» Министерства здравоохранения Российской Федерации </w:t>
      </w:r>
      <w:r>
        <w:rPr>
          <w:rFonts w:cs="Courier New"/>
          <w:bCs/>
          <w:sz w:val="24"/>
          <w:szCs w:val="24"/>
          <w:lang w:eastAsia="ar-SA"/>
        </w:rPr>
        <w:t xml:space="preserve">(далее - </w:t>
      </w:r>
      <w:r>
        <w:rPr>
          <w:b/>
          <w:sz w:val="24"/>
          <w:szCs w:val="24"/>
        </w:rPr>
        <w:t>ФГБУ санаторий «Лесное» Минздрава России</w:t>
      </w:r>
      <w:r>
        <w:rPr>
          <w:rFonts w:cs="Courier New"/>
          <w:bCs/>
          <w:sz w:val="24"/>
          <w:szCs w:val="24"/>
          <w:lang w:eastAsia="ar-SA"/>
        </w:rPr>
        <w:t xml:space="preserve">),  </w:t>
      </w:r>
      <w:r>
        <w:rPr>
          <w:rFonts w:cs="Courier New"/>
          <w:sz w:val="24"/>
          <w:szCs w:val="24"/>
          <w:lang w:eastAsia="ar-SA"/>
        </w:rPr>
        <w:t xml:space="preserve">именуемое в дальнейшем </w:t>
      </w:r>
      <w:r>
        <w:rPr>
          <w:rFonts w:cs="Courier New"/>
          <w:b/>
          <w:sz w:val="24"/>
          <w:szCs w:val="24"/>
          <w:lang w:eastAsia="ar-SA"/>
        </w:rPr>
        <w:t>Заказчик</w:t>
      </w:r>
      <w:r>
        <w:rPr>
          <w:rFonts w:cs="Courier New"/>
          <w:sz w:val="24"/>
          <w:szCs w:val="24"/>
          <w:lang w:eastAsia="ar-SA"/>
        </w:rPr>
        <w:t>, в лице г</w:t>
      </w:r>
      <w:r>
        <w:rPr>
          <w:rFonts w:eastAsia="MS Mincho"/>
          <w:sz w:val="24"/>
          <w:szCs w:val="24"/>
        </w:rPr>
        <w:t>лавного врача Солдатовой Светланы Викторовны</w:t>
      </w:r>
      <w:r>
        <w:rPr>
          <w:rFonts w:eastAsia="MS Mincho"/>
          <w:bCs/>
          <w:sz w:val="24"/>
          <w:szCs w:val="24"/>
        </w:rPr>
        <w:t>,</w:t>
      </w:r>
      <w:r>
        <w:rPr>
          <w:sz w:val="24"/>
          <w:szCs w:val="24"/>
        </w:rPr>
        <w:t xml:space="preserve"> действующего на основании Устава, с одной стороны, и </w:t>
      </w:r>
      <w:r>
        <w:rPr>
          <w:b/>
          <w:sz w:val="24"/>
          <w:szCs w:val="24"/>
        </w:rPr>
        <w:t xml:space="preserve">_____________, </w:t>
      </w:r>
      <w:r>
        <w:rPr>
          <w:sz w:val="24"/>
          <w:szCs w:val="24"/>
        </w:rPr>
        <w:t xml:space="preserve">именуемое в дальнейшем </w:t>
      </w:r>
      <w:r>
        <w:rPr>
          <w:b/>
          <w:sz w:val="24"/>
          <w:szCs w:val="24"/>
        </w:rPr>
        <w:t>Поставщик</w:t>
      </w:r>
      <w:r>
        <w:rPr>
          <w:sz w:val="24"/>
          <w:szCs w:val="24"/>
        </w:rPr>
        <w:t>, в лице _______________,  действующего на основании _____________ с другой стороны, здесь и далее именуемые "Стороны", 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pPr>
        <w:pStyle w:val="Normal"/>
        <w:widowControl w:val="false"/>
        <w:spacing w:lineRule="auto" w:line="240" w:before="0" w:after="0"/>
        <w:ind w:firstLine="720"/>
        <w:rPr>
          <w:sz w:val="24"/>
          <w:szCs w:val="24"/>
        </w:rPr>
      </w:pPr>
      <w:r>
        <w:rPr>
          <w:sz w:val="24"/>
          <w:szCs w:val="24"/>
        </w:rPr>
      </w:r>
    </w:p>
    <w:p>
      <w:pPr>
        <w:pStyle w:val="Heading1"/>
        <w:spacing w:lineRule="auto" w:line="240" w:before="0" w:after="0"/>
        <w:ind w:hanging="0"/>
        <w:rPr>
          <w:szCs w:val="24"/>
          <w:u w:val="none" w:color="FFFFFF" w:themeColor="light1"/>
        </w:rPr>
      </w:pPr>
      <w:bookmarkStart w:id="2" w:name="_ref_1-506013bd3e0a42"/>
      <w:r>
        <w:rPr>
          <w:szCs w:val="24"/>
          <w:u w:val="none" w:color="FFFFFF" w:themeColor="light1"/>
        </w:rPr>
        <w:t>Предмет Контракта</w:t>
      </w:r>
      <w:bookmarkEnd w:id="2"/>
    </w:p>
    <w:p>
      <w:pPr>
        <w:pStyle w:val="Heading2"/>
        <w:spacing w:lineRule="auto" w:line="240" w:before="0" w:after="0"/>
        <w:ind w:hanging="0"/>
        <w:rPr>
          <w:sz w:val="24"/>
          <w:szCs w:val="24"/>
        </w:rPr>
      </w:pPr>
      <w:r>
        <w:rPr>
          <w:sz w:val="24"/>
          <w:szCs w:val="24"/>
          <w:u w:val="none" w:color="FFFFFF" w:themeColor="light1"/>
        </w:rPr>
        <w:t xml:space="preserve">По настоящему Контракту Поставщик передает в собственность Заказчику, а Заказчик принимает и оплачивает </w:t>
      </w:r>
      <w:r>
        <w:rPr>
          <w:sz w:val="24"/>
          <w:szCs w:val="24"/>
          <w:u w:val="none" w:color="FFFFFF" w:themeColor="light1"/>
        </w:rPr>
        <w:t>лабораторные реактивы и реагенты</w:t>
      </w:r>
      <w:r>
        <w:rPr>
          <w:sz w:val="24"/>
          <w:szCs w:val="24"/>
          <w:u w:val="none" w:color="FFFFFF" w:themeColor="light1"/>
        </w:rPr>
        <w:t xml:space="preserve"> -</w:t>
      </w:r>
      <w:r>
        <w:rPr>
          <w:sz w:val="24"/>
          <w:szCs w:val="24"/>
        </w:rPr>
        <w:t xml:space="preserve"> </w:t>
      </w:r>
      <w:r>
        <w:rPr>
          <w:sz w:val="24"/>
          <w:szCs w:val="24"/>
          <w:u w:val="none" w:color="FFFFFF" w:themeColor="light1"/>
        </w:rPr>
        <w:t>(далее Товар). Наименование, стоимость, количество Товара указываются в Спецификации (Приложение №1 к Контракту), технические и функциональные характеристики, потребительские свойства и требования к упаковке, гарантийные обязательства Товара указываются в Техническом задании (Приложение №2 к Контракту), прилагаемых к настоящему Контракту и являющихся его неотъемлемой частью</w:t>
      </w:r>
      <w:r>
        <w:rPr>
          <w:sz w:val="24"/>
          <w:szCs w:val="24"/>
        </w:rPr>
        <w:t>.</w:t>
      </w:r>
    </w:p>
    <w:p>
      <w:pPr>
        <w:pStyle w:val="Heading2"/>
        <w:numPr>
          <w:ilvl w:val="0"/>
          <w:numId w:val="0"/>
        </w:numPr>
        <w:spacing w:lineRule="auto" w:line="240" w:before="0" w:after="0"/>
        <w:ind w:hanging="0" w:left="482"/>
        <w:rPr>
          <w:sz w:val="24"/>
          <w:szCs w:val="24"/>
          <w:u w:val="none" w:color="FFFFFF" w:themeColor="light1"/>
        </w:rPr>
      </w:pPr>
      <w:r>
        <w:rPr>
          <w:sz w:val="24"/>
          <w:szCs w:val="24"/>
          <w:u w:val="none" w:color="FFFFFF" w:themeColor="light1"/>
        </w:rPr>
      </w:r>
    </w:p>
    <w:p>
      <w:pPr>
        <w:pStyle w:val="Heading1"/>
        <w:spacing w:lineRule="auto" w:line="240" w:before="0" w:after="0"/>
        <w:ind w:hanging="0"/>
        <w:rPr>
          <w:szCs w:val="24"/>
          <w:u w:val="none" w:color="FFFFFF" w:themeColor="light1"/>
        </w:rPr>
      </w:pPr>
      <w:bookmarkStart w:id="3" w:name="_ref_1-6a5aeba61cdd45"/>
      <w:r>
        <w:rPr>
          <w:szCs w:val="24"/>
          <w:u w:val="none" w:color="FFFFFF" w:themeColor="light1"/>
        </w:rPr>
        <w:t>Комплектность и документы на товар</w:t>
      </w:r>
      <w:bookmarkEnd w:id="3"/>
    </w:p>
    <w:p>
      <w:pPr>
        <w:pStyle w:val="Heading2"/>
        <w:spacing w:lineRule="auto" w:line="240" w:before="0" w:after="0"/>
        <w:ind w:hanging="0"/>
        <w:rPr>
          <w:sz w:val="24"/>
          <w:szCs w:val="24"/>
          <w:u w:val="none" w:color="FFFFFF" w:themeColor="light1"/>
        </w:rPr>
      </w:pPr>
      <w:bookmarkStart w:id="4" w:name="_ref_1-67860289f0e444"/>
      <w:r>
        <w:rPr>
          <w:sz w:val="24"/>
          <w:szCs w:val="24"/>
          <w:u w:val="none" w:color="FFFFFF" w:themeColor="light1"/>
        </w:rPr>
        <w:t>Комплектность товара указана в Приложении № 1 к Контракту ("Спецификация").</w:t>
      </w:r>
      <w:bookmarkEnd w:id="4"/>
    </w:p>
    <w:p>
      <w:pPr>
        <w:pStyle w:val="Heading2"/>
        <w:spacing w:lineRule="auto" w:line="240" w:before="0" w:after="0"/>
        <w:ind w:hanging="0"/>
        <w:rPr>
          <w:sz w:val="24"/>
          <w:szCs w:val="24"/>
          <w:u w:val="none" w:color="FFFFFF" w:themeColor="light1"/>
        </w:rPr>
      </w:pPr>
      <w:bookmarkStart w:id="5" w:name="_ref_1-47fa261e8a954d"/>
      <w:r>
        <w:rPr>
          <w:sz w:val="24"/>
          <w:szCs w:val="24"/>
          <w:u w:val="none" w:color="FFFFFF" w:themeColor="light1"/>
        </w:rPr>
        <w:t xml:space="preserve">При передаче товара Поставщик обязан передать Заказчику </w:t>
      </w:r>
      <w:bookmarkEnd w:id="5"/>
      <w:r>
        <w:rPr>
          <w:sz w:val="24"/>
          <w:szCs w:val="24"/>
          <w:u w:val="none" w:color="FFFFFF" w:themeColor="light1"/>
        </w:rPr>
        <w:t>товарную накладную (либо УПД) в двух экземплярах на каждую партию товара (один экземпляр возвращается Поставщику после подписания Заказчиком).</w:t>
      </w:r>
    </w:p>
    <w:p>
      <w:pPr>
        <w:pStyle w:val="ListParagraph"/>
        <w:spacing w:lineRule="auto" w:line="240" w:before="0" w:after="0"/>
        <w:ind w:hanging="0"/>
        <w:contextualSpacing/>
        <w:jc w:val="both"/>
        <w:rPr>
          <w:sz w:val="24"/>
          <w:szCs w:val="24"/>
          <w:u w:val="none" w:color="FFFFFF" w:themeColor="light1"/>
        </w:rPr>
      </w:pPr>
      <w:r>
        <w:rPr>
          <w:sz w:val="24"/>
          <w:szCs w:val="24"/>
          <w:u w:val="none" w:color="FFFFFF" w:themeColor="light1"/>
        </w:rPr>
      </w:r>
    </w:p>
    <w:p>
      <w:pPr>
        <w:pStyle w:val="Heading1"/>
        <w:spacing w:lineRule="auto" w:line="240" w:before="0" w:after="0"/>
        <w:ind w:hanging="0"/>
        <w:rPr>
          <w:szCs w:val="24"/>
          <w:u w:val="none" w:color="FFFFFF" w:themeColor="light1"/>
        </w:rPr>
      </w:pPr>
      <w:bookmarkStart w:id="6" w:name="_ref_1-66c854198f1b40"/>
      <w:r>
        <w:rPr>
          <w:szCs w:val="24"/>
          <w:u w:val="none" w:color="FFFFFF" w:themeColor="light1"/>
        </w:rPr>
        <w:t>Качество и безопасность товара.</w:t>
      </w:r>
      <w:bookmarkEnd w:id="6"/>
    </w:p>
    <w:p>
      <w:pPr>
        <w:pStyle w:val="Heading2"/>
        <w:spacing w:lineRule="auto" w:line="240" w:before="0" w:after="0"/>
        <w:ind w:hanging="0"/>
        <w:rPr>
          <w:sz w:val="24"/>
          <w:szCs w:val="24"/>
          <w:u w:val="none" w:color="FFFFFF" w:themeColor="light1"/>
        </w:rPr>
      </w:pPr>
      <w:bookmarkStart w:id="7" w:name="_ref_1-e2ea86e9660d48"/>
      <w:r>
        <w:rPr>
          <w:sz w:val="24"/>
          <w:szCs w:val="24"/>
          <w:u w:val="none" w:color="FFFFFF" w:themeColor="light1"/>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7"/>
    </w:p>
    <w:p>
      <w:pPr>
        <w:pStyle w:val="Heading2"/>
        <w:spacing w:lineRule="auto" w:line="240" w:before="0" w:after="0"/>
        <w:ind w:hanging="0"/>
        <w:rPr>
          <w:sz w:val="24"/>
          <w:szCs w:val="24"/>
          <w:u w:val="none" w:color="FFFFFF" w:themeColor="light1"/>
        </w:rPr>
      </w:pPr>
      <w:bookmarkStart w:id="8" w:name="_ref_1-70ae48b033fe4f"/>
      <w:r>
        <w:rPr>
          <w:sz w:val="24"/>
          <w:szCs w:val="24"/>
          <w:u w:val="none" w:color="FFFFFF" w:themeColor="light1"/>
        </w:rPr>
        <w:t>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r>
        <w:rPr>
          <w:sz w:val="24"/>
          <w:szCs w:val="24"/>
          <w:u w:val="none" w:color="FFFFFF" w:themeColor="light1"/>
        </w:rPr>
        <w:t xml:space="preserve"> Обязательно наличие сертификата качества и/или декларации о соответствии.</w:t>
      </w:r>
    </w:p>
    <w:p>
      <w:pPr>
        <w:pStyle w:val="Heading2"/>
        <w:spacing w:lineRule="auto" w:line="240" w:before="0" w:after="0"/>
        <w:ind w:hanging="0"/>
        <w:rPr>
          <w:sz w:val="24"/>
          <w:szCs w:val="24"/>
          <w:u w:val="none" w:color="FFFFFF" w:themeColor="light1"/>
        </w:rPr>
      </w:pPr>
      <w:bookmarkStart w:id="9" w:name="_ref_1-7ef767c1813f4d"/>
      <w:r>
        <w:rPr>
          <w:sz w:val="24"/>
          <w:szCs w:val="24"/>
          <w:u w:val="none" w:color="FFFFFF" w:themeColor="light1"/>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9"/>
    </w:p>
    <w:p>
      <w:pPr>
        <w:pStyle w:val="Heading2"/>
        <w:spacing w:lineRule="auto" w:line="240" w:before="0" w:after="0"/>
        <w:ind w:hanging="0"/>
        <w:rPr>
          <w:sz w:val="24"/>
          <w:szCs w:val="24"/>
        </w:rPr>
      </w:pPr>
      <w:bookmarkStart w:id="10" w:name="_ref_1-2a2864e5c24b48"/>
      <w:r>
        <w:rPr>
          <w:sz w:val="24"/>
          <w:szCs w:val="24"/>
          <w:u w:val="none" w:color="FFFFFF" w:themeColor="light1"/>
        </w:rPr>
        <w:t>Если Поставщику предъявлено требование о безвозмездном устранении недостатков товара согласно</w:t>
      </w:r>
      <w:r>
        <w:rPr>
          <w:sz w:val="24"/>
          <w:szCs w:val="24"/>
        </w:rPr>
        <w:t xml:space="preserve"> п. 1 ст. 518, п. 1 ст. 475 ГК РФ, оно должно быть исполнено в течение 10 (Десяти) дней с момента его получения.</w:t>
      </w:r>
      <w:bookmarkEnd w:id="10"/>
    </w:p>
    <w:p>
      <w:pPr>
        <w:pStyle w:val="Heading1"/>
        <w:spacing w:lineRule="auto" w:line="240" w:before="0" w:after="0"/>
        <w:ind w:hanging="0"/>
        <w:rPr>
          <w:szCs w:val="24"/>
        </w:rPr>
      </w:pPr>
      <w:bookmarkStart w:id="11" w:name="_ref_1-c61d016606a447"/>
      <w:r>
        <w:rPr>
          <w:szCs w:val="24"/>
        </w:rPr>
        <w:t>Цена и порядок оплаты</w:t>
      </w:r>
      <w:bookmarkEnd w:id="11"/>
    </w:p>
    <w:p>
      <w:pPr>
        <w:pStyle w:val="Heading2"/>
        <w:spacing w:lineRule="auto" w:line="240" w:before="0" w:after="0"/>
        <w:ind w:hanging="0"/>
        <w:rPr>
          <w:sz w:val="24"/>
          <w:szCs w:val="24"/>
        </w:rPr>
      </w:pPr>
      <w:r>
        <w:rPr>
          <w:sz w:val="24"/>
          <w:szCs w:val="24"/>
        </w:rPr>
        <w:t xml:space="preserve">Цена товара (цена Контракта) составляет </w:t>
      </w:r>
      <w:bookmarkStart w:id="12" w:name="_ref_1-cfb6c263fcf747"/>
      <w:r>
        <w:rPr>
          <w:sz w:val="24"/>
          <w:szCs w:val="24"/>
        </w:rPr>
        <w:t xml:space="preserve"> _________ рублей __ копеек, </w:t>
      </w:r>
      <w:r>
        <w:rPr>
          <w:i/>
          <w:sz w:val="24"/>
          <w:szCs w:val="24"/>
        </w:rPr>
        <w:t>в том числе НДС/ либо без налога НДС</w:t>
      </w:r>
      <w:r>
        <w:rPr>
          <w:sz w:val="24"/>
          <w:szCs w:val="24"/>
        </w:rPr>
        <w:t>.</w:t>
      </w:r>
    </w:p>
    <w:p>
      <w:pPr>
        <w:pStyle w:val="Heading2"/>
        <w:spacing w:lineRule="auto" w:line="240" w:before="0" w:after="0"/>
        <w:ind w:hanging="0"/>
        <w:rPr>
          <w:sz w:val="24"/>
          <w:szCs w:val="24"/>
        </w:rPr>
      </w:pPr>
      <w:r>
        <w:rPr>
          <w:sz w:val="24"/>
          <w:szCs w:val="24"/>
        </w:rPr>
        <w:t xml:space="preserve"> </w:t>
      </w:r>
      <w:r>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 на выгрузку товара.</w:t>
      </w:r>
      <w:bookmarkEnd w:id="12"/>
    </w:p>
    <w:p>
      <w:pPr>
        <w:pStyle w:val="Heading2"/>
        <w:spacing w:lineRule="auto" w:line="240" w:before="0" w:after="0"/>
        <w:ind w:hanging="0"/>
        <w:rPr>
          <w:sz w:val="24"/>
          <w:szCs w:val="24"/>
        </w:rPr>
      </w:pPr>
      <w:bookmarkStart w:id="13" w:name="_ref_1-452406948e984e"/>
      <w:r>
        <w:rPr>
          <w:sz w:val="24"/>
          <w:szCs w:val="24"/>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bookmarkEnd w:id="13"/>
      <w:r>
        <w:rPr>
          <w:sz w:val="24"/>
          <w:szCs w:val="24"/>
        </w:rPr>
        <w:t>Законодательством РФ.</w:t>
      </w:r>
    </w:p>
    <w:p>
      <w:pPr>
        <w:pStyle w:val="Normal"/>
        <w:widowControl w:val="false"/>
        <w:spacing w:lineRule="auto" w:line="240" w:before="0" w:after="0"/>
        <w:ind w:hanging="0"/>
        <w:rPr>
          <w:color w:val="000000"/>
          <w:sz w:val="24"/>
          <w:szCs w:val="24"/>
        </w:rPr>
      </w:pPr>
      <w:r>
        <w:rPr>
          <w:sz w:val="24"/>
          <w:szCs w:val="24"/>
        </w:rPr>
        <w:t xml:space="preserve">4.4. Оплата по настоящему Контракту осуществляется по безналичному расчету, путем перечисления денежных средств на расчетный счет Поставщика в течение 10 (десяти) рабочих дней </w:t>
      </w:r>
      <w:r>
        <w:rPr>
          <w:color w:val="000000"/>
          <w:sz w:val="24"/>
          <w:szCs w:val="24"/>
        </w:rPr>
        <w:t xml:space="preserve">с даты завершения приемки товара  и подписания Заказчиком  акта  приемки (ф.0510452), на основании представленных Поставщиком  документов: </w:t>
      </w:r>
    </w:p>
    <w:p>
      <w:pPr>
        <w:pStyle w:val="Normal"/>
        <w:spacing w:lineRule="auto" w:line="240" w:before="0" w:after="0"/>
        <w:rPr>
          <w:color w:val="222222"/>
          <w:sz w:val="24"/>
          <w:szCs w:val="24"/>
        </w:rPr>
      </w:pPr>
      <w:r>
        <w:rPr>
          <w:color w:val="222222"/>
          <w:sz w:val="24"/>
          <w:szCs w:val="24"/>
        </w:rPr>
        <w:t>а) товарная накладная, составленная по форме в соответствии с законодательством РФ;</w:t>
      </w:r>
    </w:p>
    <w:p>
      <w:pPr>
        <w:pStyle w:val="Normal"/>
        <w:spacing w:lineRule="auto" w:line="240" w:before="0" w:after="0"/>
        <w:rPr>
          <w:color w:val="222222"/>
          <w:sz w:val="24"/>
          <w:szCs w:val="24"/>
        </w:rPr>
      </w:pPr>
      <w:r>
        <w:rPr>
          <w:color w:val="222222"/>
          <w:sz w:val="24"/>
          <w:szCs w:val="24"/>
        </w:rPr>
        <w:t>б) счет и счет-фактуру (при необходимости);</w:t>
      </w:r>
    </w:p>
    <w:p>
      <w:pPr>
        <w:pStyle w:val="Normal"/>
        <w:spacing w:lineRule="auto" w:line="240" w:before="0" w:after="0"/>
        <w:rPr>
          <w:color w:val="222222"/>
          <w:sz w:val="24"/>
          <w:szCs w:val="24"/>
        </w:rPr>
      </w:pPr>
      <w:r>
        <w:rPr>
          <w:color w:val="222222"/>
          <w:sz w:val="24"/>
          <w:szCs w:val="24"/>
        </w:rPr>
        <w:t>в) иные сопроводительные документы на Товар.</w:t>
      </w:r>
    </w:p>
    <w:p>
      <w:pPr>
        <w:pStyle w:val="Normal"/>
        <w:spacing w:lineRule="auto" w:line="240" w:before="0" w:after="0"/>
        <w:ind w:hanging="0"/>
        <w:rPr>
          <w:bCs/>
          <w:sz w:val="24"/>
          <w:szCs w:val="24"/>
        </w:rPr>
      </w:pPr>
      <w:r>
        <w:rPr>
          <w:bCs/>
          <w:sz w:val="24"/>
          <w:szCs w:val="24"/>
        </w:rPr>
        <w:t>4.5. Источник финансирования-субсидии из федерального бюджета. КВР 244</w:t>
      </w:r>
    </w:p>
    <w:p>
      <w:pPr>
        <w:pStyle w:val="Normal"/>
        <w:spacing w:lineRule="auto" w:line="240" w:before="0" w:after="0"/>
        <w:ind w:hanging="0"/>
        <w:rPr>
          <w:bCs/>
          <w:sz w:val="24"/>
          <w:szCs w:val="24"/>
        </w:rPr>
      </w:pPr>
      <w:r>
        <w:rPr>
          <w:bCs/>
          <w:sz w:val="24"/>
          <w:szCs w:val="24"/>
        </w:rPr>
      </w:r>
    </w:p>
    <w:p>
      <w:pPr>
        <w:pStyle w:val="Heading1"/>
        <w:spacing w:lineRule="auto" w:line="240" w:before="0" w:after="0"/>
        <w:ind w:hanging="0"/>
        <w:rPr>
          <w:szCs w:val="24"/>
        </w:rPr>
      </w:pPr>
      <w:bookmarkStart w:id="14" w:name="_ref_1-680da066e09745"/>
      <w:r>
        <w:rPr>
          <w:szCs w:val="24"/>
        </w:rPr>
        <w:t>Срок и условия поставки</w:t>
      </w:r>
      <w:bookmarkEnd w:id="14"/>
    </w:p>
    <w:p>
      <w:pPr>
        <w:pStyle w:val="Heading2"/>
        <w:spacing w:lineRule="auto" w:line="240" w:before="0" w:after="0"/>
        <w:ind w:hanging="0"/>
        <w:rPr>
          <w:sz w:val="24"/>
          <w:szCs w:val="24"/>
        </w:rPr>
      </w:pPr>
      <w:bookmarkStart w:id="15" w:name="_ref_1-4f6190a7591343"/>
      <w:r>
        <w:rPr>
          <w:sz w:val="24"/>
          <w:szCs w:val="24"/>
        </w:rPr>
        <w:t>По</w:t>
      </w:r>
      <w:r>
        <w:rPr>
          <w:rFonts w:eastAsia="Times New Roman" w:cs="Times New Roman"/>
          <w:bCs/>
          <w:color w:val="auto"/>
          <w:kern w:val="0"/>
          <w:sz w:val="24"/>
          <w:szCs w:val="24"/>
          <w:lang w:val="ru-RU" w:eastAsia="ru-RU" w:bidi="ar-SA"/>
        </w:rPr>
        <w:t xml:space="preserve">ставка товара должна быть осуществлена с даты подписания Контракта до 30.10.2026г. </w:t>
      </w:r>
      <w:r>
        <w:rPr>
          <w:rFonts w:eastAsia="Times New Roman" w:cs="Times New Roman"/>
          <w:bCs/>
          <w:color w:val="auto"/>
          <w:kern w:val="0"/>
          <w:sz w:val="24"/>
          <w:szCs w:val="24"/>
          <w:lang w:val="ru-RU" w:eastAsia="ru-RU" w:bidi="ar-SA"/>
        </w:rPr>
        <w:t>п</w:t>
      </w:r>
      <w:r>
        <w:rPr>
          <w:rFonts w:eastAsia="Times New Roman" w:cs="Times New Roman"/>
          <w:bCs/>
          <w:color w:val="auto"/>
          <w:kern w:val="0"/>
          <w:sz w:val="24"/>
          <w:szCs w:val="24"/>
          <w:lang w:val="ru-RU" w:eastAsia="ru-RU" w:bidi="ar-SA"/>
        </w:rPr>
        <w:t xml:space="preserve">о заявкам Заказчика, в течение 7 (семи) рабочих дней со дня отправки заявки. </w:t>
      </w:r>
      <w:bookmarkEnd w:id="15"/>
    </w:p>
    <w:p>
      <w:pPr>
        <w:pStyle w:val="Heading2"/>
        <w:spacing w:lineRule="auto" w:line="240" w:before="0" w:after="0"/>
        <w:ind w:hanging="0"/>
        <w:rPr>
          <w:sz w:val="24"/>
          <w:szCs w:val="24"/>
        </w:rPr>
      </w:pPr>
      <w:bookmarkStart w:id="16" w:name="_ref_1-2fa0b4fb106a4a"/>
      <w:r>
        <w:rPr>
          <w:sz w:val="24"/>
          <w:szCs w:val="24"/>
        </w:rPr>
        <w:t>Поставка товара осуществляется путем его доставки Заказчику по адресу:  445003, г.Тольятти, Лесопарковое шоссе, д. 2</w:t>
      </w:r>
      <w:bookmarkEnd w:id="16"/>
      <w:r>
        <w:rPr>
          <w:sz w:val="24"/>
          <w:szCs w:val="24"/>
        </w:rPr>
        <w:t xml:space="preserve"> (аптечный склад)</w:t>
      </w:r>
      <w:bookmarkStart w:id="17" w:name="_ref_1-544da105dcbe44"/>
      <w:r>
        <w:rPr>
          <w:sz w:val="24"/>
          <w:szCs w:val="24"/>
        </w:rPr>
        <w:t>. Доставка товара осуществляется силами Поставщика.</w:t>
      </w:r>
      <w:bookmarkEnd w:id="17"/>
    </w:p>
    <w:p>
      <w:pPr>
        <w:pStyle w:val="Normal"/>
        <w:spacing w:lineRule="auto" w:line="240" w:before="0" w:after="0"/>
        <w:rPr>
          <w:sz w:val="24"/>
          <w:szCs w:val="24"/>
        </w:rPr>
      </w:pPr>
      <w:r>
        <w:rPr>
          <w:sz w:val="24"/>
          <w:szCs w:val="24"/>
        </w:rPr>
        <w:t>Доставка товара осуществляется за счет Поставщика.</w:t>
      </w:r>
    </w:p>
    <w:p>
      <w:pPr>
        <w:pStyle w:val="Normal"/>
        <w:spacing w:lineRule="auto" w:line="240" w:before="0" w:after="0"/>
        <w:rPr>
          <w:sz w:val="24"/>
          <w:szCs w:val="24"/>
        </w:rPr>
      </w:pPr>
      <w:r>
        <w:rPr>
          <w:sz w:val="24"/>
          <w:szCs w:val="24"/>
        </w:rPr>
        <w:t>При транспортировке товара должны соблюдаться условия согласно Законодательства РФ.</w:t>
      </w:r>
    </w:p>
    <w:p>
      <w:pPr>
        <w:pStyle w:val="Heading2"/>
        <w:spacing w:lineRule="auto" w:line="240" w:before="0" w:after="0"/>
        <w:ind w:hanging="0"/>
        <w:rPr>
          <w:sz w:val="24"/>
          <w:szCs w:val="24"/>
        </w:rPr>
      </w:pPr>
      <w:bookmarkStart w:id="18" w:name="_ref_1-6c2d8f7a7c9e4c"/>
      <w:r>
        <w:rPr>
          <w:sz w:val="24"/>
          <w:szCs w:val="24"/>
        </w:rPr>
        <w:t>Выгрузка товара с транспорта Поставщика осуществляется силами и за счет Поставщика.</w:t>
      </w:r>
      <w:bookmarkEnd w:id="18"/>
    </w:p>
    <w:p>
      <w:pPr>
        <w:pStyle w:val="Heading2"/>
        <w:spacing w:lineRule="auto" w:line="240" w:before="0" w:after="0"/>
        <w:ind w:hanging="0"/>
        <w:rPr>
          <w:sz w:val="24"/>
          <w:szCs w:val="24"/>
        </w:rPr>
      </w:pPr>
      <w:bookmarkStart w:id="19" w:name="_ref_1-52f716fca3bf42"/>
      <w:r>
        <w:rPr>
          <w:sz w:val="24"/>
          <w:szCs w:val="24"/>
        </w:rPr>
        <w:t>Поставщик обязан восполнить недопоставленное количество товара в течение 5 (Пяти) дней после истечения срока поставки.</w:t>
      </w:r>
      <w:bookmarkEnd w:id="19"/>
    </w:p>
    <w:p>
      <w:pPr>
        <w:pStyle w:val="Normal"/>
        <w:spacing w:lineRule="auto" w:line="240" w:before="0" w:after="0"/>
        <w:rPr>
          <w:sz w:val="24"/>
          <w:szCs w:val="24"/>
        </w:rPr>
      </w:pPr>
      <w:r>
        <w:rPr>
          <w:sz w:val="24"/>
          <w:szCs w:val="24"/>
        </w:rPr>
        <w:t>Окончание срока действия Контракта не прекращает обязанности Поставщика по восполнению недопоставки товара.</w:t>
      </w:r>
    </w:p>
    <w:p>
      <w:pPr>
        <w:pStyle w:val="Heading2"/>
        <w:spacing w:lineRule="auto" w:line="240" w:before="0" w:after="0"/>
        <w:ind w:hanging="0"/>
        <w:rPr>
          <w:sz w:val="24"/>
          <w:szCs w:val="24"/>
        </w:rPr>
      </w:pPr>
      <w:bookmarkStart w:id="20" w:name="_ref_1-b4b82d016fd148"/>
      <w:r>
        <w:rPr>
          <w:sz w:val="24"/>
          <w:szCs w:val="24"/>
        </w:rPr>
        <w:t>Заказчик вправе, уведомив Поставщика, отказаться от принятия товаров, срок поставки которых просрочен.</w:t>
      </w:r>
      <w:bookmarkEnd w:id="20"/>
    </w:p>
    <w:p>
      <w:pPr>
        <w:pStyle w:val="Heading2"/>
        <w:spacing w:lineRule="auto" w:line="240" w:before="0" w:after="0"/>
        <w:ind w:hanging="0"/>
        <w:rPr>
          <w:sz w:val="24"/>
          <w:szCs w:val="24"/>
        </w:rPr>
      </w:pPr>
      <w:bookmarkStart w:id="21" w:name="_ref_1-28022e3e855842"/>
      <w:r>
        <w:rPr>
          <w:sz w:val="24"/>
          <w:szCs w:val="24"/>
        </w:rPr>
        <w:t>Тара (упаковка)</w:t>
      </w:r>
      <w:bookmarkEnd w:id="21"/>
    </w:p>
    <w:p>
      <w:pPr>
        <w:pStyle w:val="Heading3"/>
        <w:spacing w:lineRule="auto" w:line="240" w:before="0" w:after="0"/>
        <w:rPr>
          <w:sz w:val="24"/>
          <w:szCs w:val="24"/>
        </w:rPr>
      </w:pPr>
      <w:bookmarkStart w:id="22" w:name="_ref_1-13d9ebd112f945"/>
      <w:r>
        <w:rPr>
          <w:sz w:val="24"/>
          <w:szCs w:val="24"/>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2"/>
    </w:p>
    <w:p>
      <w:pPr>
        <w:pStyle w:val="Heading3"/>
        <w:spacing w:lineRule="auto" w:line="240" w:before="0" w:after="0"/>
        <w:rPr>
          <w:sz w:val="24"/>
          <w:szCs w:val="24"/>
        </w:rPr>
      </w:pPr>
      <w:bookmarkStart w:id="23" w:name="_ref_1-6d50692c797448"/>
      <w:r>
        <w:rPr>
          <w:sz w:val="24"/>
          <w:szCs w:val="24"/>
        </w:rPr>
        <w:t>Тара (упаковка) является одноразовой, возврату Поставщику не подлежит.</w:t>
      </w:r>
      <w:bookmarkEnd w:id="23"/>
    </w:p>
    <w:p>
      <w:pPr>
        <w:pStyle w:val="Heading3"/>
        <w:spacing w:lineRule="auto" w:line="240" w:before="0" w:after="0"/>
        <w:rPr>
          <w:sz w:val="24"/>
          <w:szCs w:val="24"/>
        </w:rPr>
      </w:pPr>
      <w:bookmarkStart w:id="24" w:name="_ref_1-107679b578454c"/>
      <w:r>
        <w:rPr>
          <w:sz w:val="24"/>
          <w:szCs w:val="24"/>
        </w:rPr>
        <w:t>Стоимость тары (упаковки) товара входит в его цену и отдельно не оплачивается.</w:t>
      </w:r>
      <w:bookmarkEnd w:id="24"/>
    </w:p>
    <w:p>
      <w:pPr>
        <w:pStyle w:val="Heading3"/>
        <w:spacing w:lineRule="auto" w:line="240" w:before="0" w:after="0"/>
        <w:rPr>
          <w:sz w:val="24"/>
          <w:szCs w:val="24"/>
        </w:rPr>
      </w:pPr>
      <w:bookmarkStart w:id="25" w:name="_ref_1-74d76ac09ff842"/>
      <w:r>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5"/>
    </w:p>
    <w:p>
      <w:pPr>
        <w:pStyle w:val="Heading2"/>
        <w:spacing w:lineRule="auto" w:line="240" w:before="0" w:after="0"/>
        <w:ind w:hanging="0"/>
        <w:rPr>
          <w:sz w:val="24"/>
          <w:szCs w:val="24"/>
        </w:rPr>
      </w:pPr>
      <w:bookmarkStart w:id="26" w:name="_ref_1-5a0514315a0c4d"/>
      <w:r>
        <w:rPr>
          <w:sz w:val="24"/>
          <w:szCs w:val="24"/>
        </w:rPr>
        <w:t>Маркировка товара должна соответствовать требованиям, установленным техническими регламентами и нормативными актами.</w:t>
      </w:r>
      <w:bookmarkEnd w:id="26"/>
    </w:p>
    <w:p>
      <w:pPr>
        <w:pStyle w:val="Heading2"/>
        <w:spacing w:lineRule="auto" w:line="240" w:before="0" w:after="0"/>
        <w:ind w:hanging="0"/>
        <w:rPr>
          <w:sz w:val="24"/>
          <w:szCs w:val="24"/>
        </w:rPr>
      </w:pPr>
      <w:bookmarkStart w:id="27" w:name="_ref_1-1976e3c8b5b34b"/>
      <w:r>
        <w:rPr>
          <w:sz w:val="24"/>
          <w:szCs w:val="24"/>
        </w:rPr>
        <w:t>Право собственности на товар переходит к Заказчику в момент передачи товара и подписания первичных документов.</w:t>
      </w:r>
      <w:bookmarkEnd w:id="27"/>
    </w:p>
    <w:p>
      <w:pPr>
        <w:pStyle w:val="Heading2"/>
        <w:spacing w:lineRule="auto" w:line="240" w:before="0" w:after="0"/>
        <w:ind w:hanging="0"/>
        <w:rPr>
          <w:sz w:val="24"/>
          <w:szCs w:val="24"/>
        </w:rPr>
      </w:pPr>
      <w:bookmarkStart w:id="28" w:name="_ref_1-d891dc8737ee43"/>
      <w:r>
        <w:rPr>
          <w:sz w:val="24"/>
          <w:szCs w:val="24"/>
        </w:rPr>
        <w:t>Поставщик обязан передать товар свободным от любых прав третьих лиц.</w:t>
      </w:r>
      <w:bookmarkEnd w:id="28"/>
    </w:p>
    <w:p>
      <w:pPr>
        <w:pStyle w:val="Heading1"/>
        <w:numPr>
          <w:ilvl w:val="0"/>
          <w:numId w:val="0"/>
        </w:numPr>
        <w:spacing w:lineRule="auto" w:line="240" w:before="0" w:after="0"/>
        <w:ind w:hanging="0" w:left="0"/>
        <w:jc w:val="both"/>
        <w:rPr>
          <w:szCs w:val="24"/>
        </w:rPr>
      </w:pPr>
      <w:r>
        <w:rPr>
          <w:szCs w:val="24"/>
        </w:rPr>
      </w:r>
    </w:p>
    <w:p>
      <w:pPr>
        <w:pStyle w:val="Heading1"/>
        <w:spacing w:lineRule="auto" w:line="240" w:before="0" w:after="0"/>
        <w:ind w:hanging="0"/>
        <w:rPr>
          <w:szCs w:val="24"/>
        </w:rPr>
      </w:pPr>
      <w:bookmarkStart w:id="29" w:name="_ref_1-b6cfec2d24004b"/>
      <w:r>
        <w:rPr>
          <w:szCs w:val="24"/>
        </w:rPr>
        <w:t>Приемка товара</w:t>
      </w:r>
      <w:bookmarkEnd w:id="29"/>
    </w:p>
    <w:p>
      <w:pPr>
        <w:pStyle w:val="Heading2"/>
        <w:spacing w:lineRule="auto" w:line="240" w:before="0" w:after="0"/>
        <w:ind w:hanging="0"/>
        <w:rPr>
          <w:sz w:val="24"/>
          <w:szCs w:val="24"/>
        </w:rPr>
      </w:pPr>
      <w:bookmarkStart w:id="30" w:name="_ref_1-4dc90b55657c4a"/>
      <w:r>
        <w:rPr>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30"/>
    </w:p>
    <w:p>
      <w:pPr>
        <w:pStyle w:val="Heading2"/>
        <w:spacing w:lineRule="auto" w:line="240" w:before="0" w:after="0"/>
        <w:ind w:hanging="0"/>
        <w:rPr>
          <w:sz w:val="24"/>
          <w:szCs w:val="24"/>
        </w:rPr>
      </w:pPr>
      <w:bookmarkStart w:id="31" w:name="_ref_1-99baf7aad8c548"/>
      <w:r>
        <w:rPr>
          <w:sz w:val="24"/>
          <w:szCs w:val="24"/>
        </w:rPr>
        <w:t xml:space="preserve"> </w:t>
      </w:r>
      <w:r>
        <w:rPr>
          <w:sz w:val="24"/>
          <w:szCs w:val="24"/>
        </w:rPr>
        <w:t>Осмотр товара и проверка его количества, ассортимента, качества и комплектности производятся в месте доставки в течени</w:t>
      </w:r>
      <w:r>
        <w:rPr>
          <w:rFonts w:eastAsia="Times New Roman" w:cs="Times New Roman"/>
          <w:bCs/>
          <w:color w:val="000000"/>
          <w:kern w:val="0"/>
          <w:sz w:val="24"/>
          <w:szCs w:val="24"/>
          <w:shd w:fill="auto" w:val="clear"/>
          <w:lang w:val="ru-RU" w:eastAsia="ru-RU" w:bidi="ar-SA"/>
        </w:rPr>
        <w:t>е 20 (Двадцати) р</w:t>
      </w:r>
      <w:r>
        <w:rPr>
          <w:sz w:val="24"/>
          <w:szCs w:val="24"/>
        </w:rPr>
        <w:t>аб</w:t>
      </w:r>
      <w:r>
        <w:rPr>
          <w:sz w:val="24"/>
          <w:szCs w:val="24"/>
          <w:shd w:fill="auto" w:val="clear"/>
        </w:rPr>
        <w:t>очи</w:t>
      </w:r>
      <w:r>
        <w:rPr>
          <w:sz w:val="24"/>
          <w:szCs w:val="24"/>
        </w:rPr>
        <w:t>х дней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31"/>
    </w:p>
    <w:p>
      <w:pPr>
        <w:pStyle w:val="Normal"/>
        <w:spacing w:lineRule="auto" w:line="240" w:before="0" w:after="0"/>
        <w:rPr>
          <w:sz w:val="24"/>
          <w:szCs w:val="24"/>
        </w:rPr>
      </w:pPr>
      <w:r>
        <w:rPr>
          <w:sz w:val="24"/>
          <w:szCs w:val="24"/>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товар не соответствует условиям Контракта.</w:t>
      </w:r>
    </w:p>
    <w:p>
      <w:pPr>
        <w:pStyle w:val="Heading2"/>
        <w:spacing w:lineRule="auto" w:line="240" w:before="0" w:after="0"/>
        <w:ind w:hanging="0"/>
        <w:rPr>
          <w:sz w:val="24"/>
          <w:szCs w:val="24"/>
        </w:rPr>
      </w:pPr>
      <w:bookmarkStart w:id="32" w:name="_ref_1-07fe9ba8cfd943"/>
      <w:r>
        <w:rPr>
          <w:sz w:val="24"/>
          <w:szCs w:val="24"/>
        </w:rPr>
        <w:t xml:space="preserve"> </w:t>
      </w:r>
      <w:r>
        <w:rPr>
          <w:sz w:val="24"/>
          <w:szCs w:val="24"/>
        </w:rPr>
        <w:t>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сделать необходимые отметки в накладных.</w:t>
      </w:r>
      <w:bookmarkEnd w:id="32"/>
    </w:p>
    <w:p>
      <w:pPr>
        <w:pStyle w:val="Normal"/>
        <w:spacing w:lineRule="auto" w:line="240" w:before="0" w:after="0"/>
        <w:rPr>
          <w:sz w:val="24"/>
          <w:szCs w:val="24"/>
        </w:rPr>
      </w:pPr>
      <w:r>
        <w:rPr>
          <w:sz w:val="24"/>
          <w:szCs w:val="24"/>
        </w:rPr>
        <w:t> </w:t>
      </w:r>
      <w:r>
        <w:rPr>
          <w:sz w:val="24"/>
          <w:szCs w:val="24"/>
        </w:rPr>
        <w:t xml:space="preserve">Осмотр и проверка остального товара производятся согласно условиям Контракта. </w:t>
      </w:r>
      <w:bookmarkStart w:id="33" w:name="_ref_1-ad6fc2f78b6a40"/>
      <w:r>
        <w:rPr>
          <w:sz w:val="24"/>
          <w:szCs w:val="24"/>
        </w:rPr>
        <w:t>Проверка количества товара производится путем подсчета товарных единиц.</w:t>
      </w:r>
      <w:bookmarkEnd w:id="33"/>
    </w:p>
    <w:p>
      <w:pPr>
        <w:pStyle w:val="Heading2"/>
        <w:spacing w:lineRule="auto" w:line="240" w:before="0" w:after="0"/>
        <w:ind w:hanging="0"/>
        <w:rPr>
          <w:sz w:val="24"/>
          <w:szCs w:val="24"/>
        </w:rPr>
      </w:pPr>
      <w:bookmarkStart w:id="34" w:name="_ref_1-023454c061b94f"/>
      <w:r>
        <w:rPr>
          <w:sz w:val="24"/>
          <w:szCs w:val="24"/>
        </w:rPr>
        <w:t>Ассортимент товара проверяется в соответствии с обычно применяемым в отношении данного товара порядком проверки, если иное не предусмотрено законодательством РФ или иным правовым актом.</w:t>
      </w:r>
      <w:bookmarkEnd w:id="34"/>
    </w:p>
    <w:p>
      <w:pPr>
        <w:pStyle w:val="Heading2"/>
        <w:spacing w:lineRule="auto" w:line="240" w:before="0" w:after="0"/>
        <w:ind w:hanging="0"/>
        <w:rPr>
          <w:sz w:val="24"/>
          <w:szCs w:val="24"/>
        </w:rPr>
      </w:pPr>
      <w:bookmarkStart w:id="35" w:name="_ref_1-b4975d042fdc46"/>
      <w:r>
        <w:rPr>
          <w:sz w:val="24"/>
          <w:szCs w:val="24"/>
        </w:rPr>
        <w:t>Проверка комплектности товара осуществляется путем визуального осмотра.</w:t>
      </w:r>
      <w:bookmarkEnd w:id="35"/>
    </w:p>
    <w:p>
      <w:pPr>
        <w:pStyle w:val="Heading2"/>
        <w:spacing w:lineRule="auto" w:line="240" w:before="0" w:after="0"/>
        <w:ind w:firstLine="426"/>
        <w:rPr>
          <w:sz w:val="24"/>
          <w:szCs w:val="24"/>
        </w:rPr>
      </w:pPr>
      <w:bookmarkStart w:id="36" w:name="_ref_1-a56dd70f2c8b4e"/>
      <w:r>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6"/>
    </w:p>
    <w:p>
      <w:pPr>
        <w:pStyle w:val="NoSpacing"/>
        <w:tabs>
          <w:tab w:val="clear" w:pos="720"/>
          <w:tab w:val="left" w:pos="-124" w:leader="none"/>
          <w:tab w:val="left" w:pos="0" w:leader="none"/>
        </w:tabs>
        <w:ind w:firstLine="426"/>
        <w:jc w:val="both"/>
        <w:rPr>
          <w:sz w:val="24"/>
          <w:szCs w:val="24"/>
        </w:rPr>
      </w:pPr>
      <w:r>
        <w:rPr>
          <w:sz w:val="24"/>
          <w:szCs w:val="24"/>
        </w:rPr>
        <w:t xml:space="preserve">6.8. По итогам приемки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w:t>
      </w:r>
    </w:p>
    <w:p>
      <w:pPr>
        <w:pStyle w:val="NoSpacing"/>
        <w:tabs>
          <w:tab w:val="clear" w:pos="720"/>
          <w:tab w:val="left" w:pos="-124" w:leader="none"/>
          <w:tab w:val="left" w:pos="0" w:leader="none"/>
        </w:tabs>
        <w:ind w:firstLine="426"/>
        <w:jc w:val="both"/>
        <w:rPr>
          <w:sz w:val="24"/>
          <w:szCs w:val="24"/>
        </w:rPr>
      </w:pPr>
      <w:r>
        <w:rPr>
          <w:sz w:val="24"/>
          <w:szCs w:val="24"/>
        </w:rPr>
        <w:t>6.9. При наличии количественного и (или) качественного расхождения, а также несоответствия ассортимента товара  сопроводительным документам Поставщика,  Акт приемки товара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pPr>
        <w:pStyle w:val="NoSpacing"/>
        <w:tabs>
          <w:tab w:val="clear" w:pos="720"/>
          <w:tab w:val="left" w:pos="-124" w:leader="none"/>
          <w:tab w:val="left" w:pos="0" w:leader="none"/>
        </w:tabs>
        <w:ind w:firstLine="426"/>
        <w:jc w:val="both"/>
        <w:rPr>
          <w:sz w:val="24"/>
          <w:szCs w:val="24"/>
        </w:rPr>
      </w:pPr>
      <w:r>
        <w:rPr>
          <w:sz w:val="24"/>
          <w:szCs w:val="24"/>
        </w:rPr>
        <w:t>6.10.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pPr>
        <w:pStyle w:val="NoSpacing"/>
        <w:tabs>
          <w:tab w:val="clear" w:pos="720"/>
          <w:tab w:val="left" w:pos="-124" w:leader="none"/>
          <w:tab w:val="left" w:pos="0" w:leader="none"/>
        </w:tabs>
        <w:ind w:firstLine="426"/>
        <w:jc w:val="both"/>
        <w:rPr>
          <w:sz w:val="24"/>
          <w:szCs w:val="24"/>
        </w:rPr>
      </w:pPr>
      <w:r>
        <w:rPr>
          <w:sz w:val="24"/>
          <w:szCs w:val="24"/>
        </w:rPr>
        <w:t>6.11. Оформление и  обмен документами о приемке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pPr>
        <w:pStyle w:val="NoSpacing"/>
        <w:tabs>
          <w:tab w:val="clear" w:pos="720"/>
          <w:tab w:val="left" w:pos="0" w:leader="none"/>
        </w:tabs>
        <w:ind w:firstLine="426"/>
        <w:jc w:val="both"/>
        <w:rPr>
          <w:sz w:val="24"/>
          <w:szCs w:val="24"/>
        </w:rPr>
      </w:pPr>
      <w:r>
        <w:rPr>
          <w:sz w:val="24"/>
          <w:szCs w:val="24"/>
        </w:rPr>
        <w:t>6.12.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pPr>
        <w:pStyle w:val="NoSpacing"/>
        <w:tabs>
          <w:tab w:val="clear" w:pos="720"/>
          <w:tab w:val="left" w:pos="0" w:leader="none"/>
        </w:tabs>
        <w:ind w:firstLine="426"/>
        <w:jc w:val="both"/>
        <w:rPr>
          <w:sz w:val="24"/>
          <w:szCs w:val="24"/>
        </w:rPr>
      </w:pPr>
      <w:r>
        <w:rPr>
          <w:sz w:val="24"/>
          <w:szCs w:val="24"/>
        </w:rPr>
        <w:t>6.13. Товары по Контракту считаются принятыми после подписания Заказчиком Акта приемки (ф. 0510452).</w:t>
      </w:r>
    </w:p>
    <w:p>
      <w:pPr>
        <w:pStyle w:val="Heading1"/>
        <w:spacing w:lineRule="auto" w:line="240" w:before="0" w:after="0"/>
        <w:ind w:hanging="0"/>
        <w:rPr>
          <w:szCs w:val="24"/>
        </w:rPr>
      </w:pPr>
      <w:bookmarkStart w:id="37" w:name="_ref_1-5595ece56ec543"/>
      <w:r>
        <w:rPr>
          <w:szCs w:val="24"/>
        </w:rPr>
        <w:t>Ответственность сторон</w:t>
      </w:r>
      <w:bookmarkEnd w:id="37"/>
    </w:p>
    <w:p>
      <w:pPr>
        <w:pStyle w:val="Heading2"/>
        <w:spacing w:lineRule="auto" w:line="240" w:before="0" w:after="0"/>
        <w:ind w:firstLine="426"/>
        <w:rPr>
          <w:sz w:val="24"/>
          <w:szCs w:val="24"/>
        </w:rPr>
      </w:pPr>
      <w:r>
        <w:rPr>
          <w:sz w:val="24"/>
          <w:szCs w:val="24"/>
        </w:rPr>
        <w:t xml:space="preserve">В случаях неисполнения или ненадлежащего исполнения обязательств по Контракту Стороны несут ответственность в соответствии с действующим законодательством Российской Федерации. </w:t>
      </w:r>
      <w:bookmarkStart w:id="38" w:name="_ref_1-eeced392116742"/>
    </w:p>
    <w:p>
      <w:pPr>
        <w:pStyle w:val="Heading2"/>
        <w:spacing w:lineRule="auto" w:line="240" w:before="0" w:after="0"/>
        <w:ind w:firstLine="426"/>
        <w:rPr>
          <w:sz w:val="24"/>
          <w:szCs w:val="24"/>
        </w:rPr>
      </w:pPr>
      <w:r>
        <w:rPr>
          <w:sz w:val="24"/>
          <w:szCs w:val="24"/>
        </w:rPr>
        <w:t>Взыскание неустойки с Поставщика</w:t>
      </w:r>
      <w:bookmarkEnd w:id="38"/>
      <w:r>
        <w:rPr>
          <w:sz w:val="24"/>
          <w:szCs w:val="24"/>
        </w:rPr>
        <w:t>.</w:t>
      </w:r>
    </w:p>
    <w:p>
      <w:pPr>
        <w:pStyle w:val="Heading3"/>
        <w:spacing w:lineRule="auto" w:line="240" w:before="0" w:after="0"/>
        <w:rPr>
          <w:sz w:val="24"/>
          <w:szCs w:val="24"/>
        </w:rPr>
      </w:pPr>
      <w:bookmarkStart w:id="39" w:name="_ref_1-ccdcae4565a04c"/>
      <w:r>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9"/>
    </w:p>
    <w:p>
      <w:pPr>
        <w:pStyle w:val="Heading3"/>
        <w:spacing w:lineRule="auto" w:line="240" w:before="0" w:after="0"/>
        <w:rPr>
          <w:sz w:val="24"/>
          <w:szCs w:val="24"/>
        </w:rPr>
      </w:pPr>
      <w:bookmarkStart w:id="40" w:name="_ref_1-8a35822de0df47"/>
      <w:r>
        <w:rPr>
          <w:sz w:val="24"/>
          <w:szCs w:val="24"/>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Пени устанавливаются в размере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40"/>
    </w:p>
    <w:p>
      <w:pPr>
        <w:pStyle w:val="Heading3"/>
        <w:spacing w:lineRule="auto" w:line="240" w:before="0" w:after="0"/>
        <w:rPr>
          <w:sz w:val="24"/>
          <w:szCs w:val="24"/>
        </w:rPr>
      </w:pPr>
      <w:bookmarkStart w:id="41" w:name="_ref_1-8dabd287d70244"/>
      <w:r>
        <w:rPr>
          <w:sz w:val="24"/>
          <w:szCs w:val="24"/>
        </w:rPr>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41"/>
      <w:r>
        <w:rPr>
          <w:sz w:val="24"/>
          <w:szCs w:val="24"/>
        </w:rPr>
        <w:t>.</w:t>
      </w:r>
    </w:p>
    <w:p>
      <w:pPr>
        <w:pStyle w:val="Heading2"/>
        <w:spacing w:lineRule="auto" w:line="240" w:before="0" w:after="0"/>
        <w:ind w:firstLine="482"/>
        <w:rPr>
          <w:sz w:val="24"/>
          <w:szCs w:val="24"/>
        </w:rPr>
      </w:pPr>
      <w:bookmarkStart w:id="42" w:name="_ref_1-64ef43cb91d047"/>
      <w:r>
        <w:rPr>
          <w:sz w:val="24"/>
          <w:szCs w:val="24"/>
        </w:rPr>
        <w:t>Взыскание неустойки с Заказчика</w:t>
      </w:r>
      <w:bookmarkEnd w:id="42"/>
    </w:p>
    <w:p>
      <w:pPr>
        <w:pStyle w:val="Heading3"/>
        <w:spacing w:lineRule="auto" w:line="240" w:before="0" w:after="0"/>
        <w:rPr>
          <w:sz w:val="24"/>
          <w:szCs w:val="24"/>
        </w:rPr>
      </w:pPr>
      <w:bookmarkStart w:id="43" w:name="_ref_1-01c322dee6af4a"/>
      <w:r>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3"/>
    </w:p>
    <w:p>
      <w:pPr>
        <w:pStyle w:val="Heading2"/>
        <w:spacing w:lineRule="auto" w:line="240" w:before="0" w:after="0"/>
        <w:ind w:firstLine="482"/>
        <w:rPr>
          <w:sz w:val="24"/>
          <w:szCs w:val="24"/>
        </w:rPr>
      </w:pPr>
      <w:bookmarkStart w:id="44" w:name="_ref_1-330bbf6890f947"/>
      <w:r>
        <w:rPr>
          <w:sz w:val="24"/>
          <w:szCs w:val="24"/>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4"/>
    </w:p>
    <w:p>
      <w:pPr>
        <w:pStyle w:val="Heading3"/>
        <w:spacing w:lineRule="auto" w:line="240" w:before="0" w:after="0"/>
        <w:rPr>
          <w:sz w:val="24"/>
          <w:szCs w:val="24"/>
        </w:rPr>
      </w:pPr>
      <w:bookmarkStart w:id="45" w:name="_ref_1-6a74a193b9db45"/>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w:t>
      </w:r>
      <w:bookmarkEnd w:id="45"/>
    </w:p>
    <w:p>
      <w:pPr>
        <w:pStyle w:val="Heading2"/>
        <w:spacing w:lineRule="auto" w:line="240" w:before="0" w:after="0"/>
        <w:ind w:firstLine="482"/>
        <w:rPr>
          <w:sz w:val="24"/>
          <w:szCs w:val="24"/>
        </w:rPr>
      </w:pPr>
      <w:r>
        <w:rPr>
          <w:sz w:val="24"/>
          <w:szCs w:val="24"/>
        </w:rPr>
        <w:t>При возникновении форс-мажорных обстоятельств, препятствующих выполнению условий настоящего Контракта, Стороны освобождаются от ответственности за полное или частичное неисполнение обязательств по настоящему Контракту, если подобное неисполнение явилось следствием обстоятельств чрезвычайного характера, делающих невозможным исполнение сторонами обязательств. К подобным обстоятельствам относятся: стихийные бедствия (град, ураган), война или военные действия, забастовки, акты гражданского неповиновения, аварии, катастрофы, принятие органами государственной власти или управления нормативных актов, делающих невозможным исполнения сторонами своих обязанностей.</w:t>
      </w:r>
    </w:p>
    <w:p>
      <w:pPr>
        <w:pStyle w:val="Heading1"/>
        <w:numPr>
          <w:ilvl w:val="0"/>
          <w:numId w:val="0"/>
        </w:numPr>
        <w:spacing w:lineRule="auto" w:line="240" w:before="0" w:after="0"/>
        <w:ind w:hanging="0" w:left="0"/>
        <w:jc w:val="both"/>
        <w:rPr>
          <w:szCs w:val="24"/>
        </w:rPr>
      </w:pPr>
      <w:r>
        <w:rPr>
          <w:szCs w:val="24"/>
        </w:rPr>
      </w:r>
    </w:p>
    <w:p>
      <w:pPr>
        <w:pStyle w:val="Heading1"/>
        <w:spacing w:lineRule="auto" w:line="240" w:before="0" w:after="0"/>
        <w:ind w:hanging="0"/>
        <w:rPr>
          <w:szCs w:val="24"/>
        </w:rPr>
      </w:pPr>
      <w:bookmarkStart w:id="46" w:name="_ref_1-3a31ab310a8d42"/>
      <w:r>
        <w:rPr>
          <w:szCs w:val="24"/>
        </w:rPr>
        <w:t>Расторжение Контракта</w:t>
      </w:r>
      <w:bookmarkEnd w:id="46"/>
    </w:p>
    <w:p>
      <w:pPr>
        <w:pStyle w:val="Heading2"/>
        <w:spacing w:lineRule="auto" w:line="240" w:before="0" w:after="0"/>
        <w:ind w:hanging="0"/>
        <w:rPr>
          <w:sz w:val="24"/>
          <w:szCs w:val="24"/>
        </w:rPr>
      </w:pPr>
      <w:bookmarkStart w:id="47" w:name="_ref_1-cf25f2fe01a344"/>
      <w:r>
        <w:rPr>
          <w:sz w:val="24"/>
          <w:szCs w:val="24"/>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Федеральным законом от 05.04.2013 N 44-ФЗ.</w:t>
      </w:r>
      <w:bookmarkEnd w:id="47"/>
    </w:p>
    <w:p>
      <w:pPr>
        <w:pStyle w:val="Heading2"/>
        <w:spacing w:lineRule="auto" w:line="240" w:before="0" w:after="0"/>
        <w:ind w:hanging="0"/>
        <w:rPr>
          <w:sz w:val="24"/>
          <w:szCs w:val="24"/>
        </w:rPr>
      </w:pPr>
      <w:bookmarkStart w:id="48" w:name="_ref_1-a992c7cd874243"/>
      <w:r>
        <w:rPr>
          <w:sz w:val="24"/>
          <w:szCs w:val="24"/>
        </w:rPr>
        <w:t>Заказчик вправе принять решение об одностороннем отказе от исполнения Контракта по основаниям, предусмотренным Федеральным законом от 05.04.2013 N 44-ФЗ, Гражданским кодексом Российской Федерации для одностороннего отказа от исполнения отдельных видов обязательств.</w:t>
      </w:r>
      <w:bookmarkEnd w:id="48"/>
    </w:p>
    <w:p>
      <w:pPr>
        <w:pStyle w:val="Heading2"/>
        <w:spacing w:lineRule="auto" w:line="240" w:before="0" w:after="0"/>
        <w:ind w:hanging="0"/>
        <w:rPr>
          <w:sz w:val="24"/>
          <w:szCs w:val="24"/>
        </w:rPr>
      </w:pPr>
      <w:bookmarkStart w:id="49" w:name="_ref_1-caed8dcdf6bc4a"/>
      <w:r>
        <w:rPr>
          <w:sz w:val="24"/>
          <w:szCs w:val="24"/>
        </w:rPr>
        <w:t>Поставщик вправе принять решение об одностороннем отказе от исполнения Контракта по основаниям, предусмотренным Федеральным законом от 05.04.2013 N 44-ФЗ, Гражданским кодексом Российской Федерации, для одностороннего отказа от исполнения отдельных видов обязательств.</w:t>
      </w:r>
      <w:bookmarkEnd w:id="49"/>
    </w:p>
    <w:p>
      <w:pPr>
        <w:pStyle w:val="Heading2"/>
        <w:spacing w:lineRule="auto" w:line="240" w:before="0" w:after="0"/>
        <w:ind w:hanging="0"/>
        <w:rPr>
          <w:sz w:val="24"/>
          <w:szCs w:val="24"/>
        </w:rPr>
      </w:pPr>
      <w:bookmarkStart w:id="50" w:name="_ref_1-6366059e745141"/>
      <w:r>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50"/>
    </w:p>
    <w:p>
      <w:pPr>
        <w:pStyle w:val="Heading2"/>
        <w:spacing w:lineRule="auto" w:line="240" w:before="0" w:after="0"/>
        <w:ind w:hanging="0"/>
        <w:rPr>
          <w:sz w:val="24"/>
          <w:szCs w:val="24"/>
        </w:rPr>
      </w:pPr>
      <w:bookmarkStart w:id="51" w:name="_ref_1-0ecd496a30dd44"/>
      <w:r>
        <w:rPr>
          <w:sz w:val="24"/>
          <w:szCs w:val="24"/>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1"/>
    </w:p>
    <w:p>
      <w:pPr>
        <w:pStyle w:val="Normal"/>
        <w:spacing w:lineRule="auto" w:line="240" w:before="0" w:after="0"/>
        <w:rPr/>
      </w:pPr>
      <w:r>
        <w:rPr/>
      </w:r>
    </w:p>
    <w:p>
      <w:pPr>
        <w:pStyle w:val="Heading1"/>
        <w:spacing w:lineRule="auto" w:line="240" w:before="0" w:after="0"/>
        <w:ind w:hanging="0"/>
        <w:rPr>
          <w:szCs w:val="24"/>
        </w:rPr>
      </w:pPr>
      <w:bookmarkStart w:id="52" w:name="_ref_1-a157a6c53bc741"/>
      <w:r>
        <w:rPr>
          <w:szCs w:val="24"/>
        </w:rPr>
        <w:t>Разрешение споров</w:t>
      </w:r>
      <w:bookmarkEnd w:id="52"/>
    </w:p>
    <w:p>
      <w:pPr>
        <w:pStyle w:val="Heading2"/>
        <w:spacing w:lineRule="auto" w:line="240" w:before="0" w:after="0"/>
        <w:ind w:hanging="0"/>
        <w:rPr>
          <w:sz w:val="24"/>
          <w:szCs w:val="24"/>
        </w:rPr>
      </w:pPr>
      <w:bookmarkStart w:id="53" w:name="_ref_1-bcbfb86626094c"/>
      <w:r>
        <w:rPr>
          <w:sz w:val="24"/>
          <w:szCs w:val="24"/>
        </w:rPr>
        <w:t>Споры и разногласия по настоящему Контракту подлежат досудебному урегулированию в претензионном  поряд</w:t>
      </w:r>
      <w:bookmarkStart w:id="54" w:name="_ref_1-fddef2849b544f"/>
      <w:bookmarkEnd w:id="53"/>
      <w:r>
        <w:rPr>
          <w:sz w:val="24"/>
          <w:szCs w:val="24"/>
        </w:rPr>
        <w:t>ке.</w:t>
      </w:r>
    </w:p>
    <w:p>
      <w:pPr>
        <w:pStyle w:val="Heading2"/>
        <w:spacing w:lineRule="auto" w:line="240" w:before="0" w:after="0"/>
        <w:ind w:hanging="0"/>
        <w:rPr>
          <w:sz w:val="24"/>
          <w:szCs w:val="24"/>
        </w:rPr>
      </w:pPr>
      <w:r>
        <w:rPr>
          <w:sz w:val="24"/>
          <w:szCs w:val="24"/>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4"/>
    </w:p>
    <w:p>
      <w:pPr>
        <w:pStyle w:val="Heading3"/>
        <w:spacing w:lineRule="auto" w:line="240" w:before="0" w:after="0"/>
        <w:rPr>
          <w:sz w:val="24"/>
          <w:szCs w:val="24"/>
        </w:rPr>
      </w:pPr>
      <w:bookmarkStart w:id="55" w:name="_ref_1-4d50b2a23bf746"/>
      <w:r>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5"/>
    </w:p>
    <w:p>
      <w:pPr>
        <w:pStyle w:val="Heading3"/>
        <w:spacing w:lineRule="auto" w:line="240" w:before="0" w:after="0"/>
        <w:rPr>
          <w:sz w:val="24"/>
          <w:szCs w:val="24"/>
        </w:rPr>
      </w:pPr>
      <w:bookmarkStart w:id="56" w:name="_ref_1-4cd79e9e58b043"/>
      <w:r>
        <w:rPr>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bookmarkEnd w:id="56"/>
    </w:p>
    <w:p>
      <w:pPr>
        <w:pStyle w:val="Heading3"/>
        <w:spacing w:lineRule="auto" w:line="240" w:before="0" w:after="0"/>
        <w:rPr>
          <w:sz w:val="24"/>
          <w:szCs w:val="24"/>
        </w:rPr>
      </w:pPr>
      <w:bookmarkStart w:id="57" w:name="_ref_1-33657cd42f464a"/>
      <w:r>
        <w:rPr>
          <w:sz w:val="24"/>
          <w:szCs w:val="24"/>
        </w:rPr>
        <w:t>Заинтересованная сторона вправе обратиться в суд по истечении 30 (тридцати)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57"/>
    </w:p>
    <w:p>
      <w:pPr>
        <w:pStyle w:val="Heading2"/>
        <w:spacing w:lineRule="auto" w:line="240" w:before="0" w:after="0"/>
        <w:ind w:hanging="0"/>
        <w:rPr>
          <w:sz w:val="24"/>
          <w:szCs w:val="24"/>
        </w:rPr>
      </w:pPr>
      <w:bookmarkStart w:id="58" w:name="_ref_1-28e995a8bb7042"/>
      <w:r>
        <w:rPr>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не урегулированным в претензионном  порядке, подлежат разрешению компетентным судом по адресу Заказчика.</w:t>
      </w:r>
      <w:bookmarkEnd w:id="58"/>
    </w:p>
    <w:p>
      <w:pPr>
        <w:pStyle w:val="Normal"/>
        <w:spacing w:lineRule="auto" w:line="240" w:before="0" w:after="0"/>
        <w:rPr/>
      </w:pPr>
      <w:r>
        <w:rPr/>
      </w:r>
    </w:p>
    <w:p>
      <w:pPr>
        <w:pStyle w:val="Heading1"/>
        <w:spacing w:lineRule="auto" w:line="240" w:before="0" w:after="0"/>
        <w:ind w:hanging="0"/>
        <w:rPr>
          <w:szCs w:val="24"/>
        </w:rPr>
      </w:pPr>
      <w:bookmarkStart w:id="59" w:name="_ref_1-bc65d57c183146"/>
      <w:r>
        <w:rPr>
          <w:szCs w:val="24"/>
        </w:rPr>
        <w:t>Заключительные положения</w:t>
      </w:r>
      <w:bookmarkEnd w:id="59"/>
    </w:p>
    <w:p>
      <w:pPr>
        <w:pStyle w:val="Heading2"/>
        <w:spacing w:lineRule="auto" w:line="240" w:before="0" w:after="0"/>
        <w:ind w:hanging="0"/>
        <w:rPr/>
      </w:pPr>
      <w:bookmarkStart w:id="60" w:name="_ref_1-97c4f636e01c4e"/>
      <w:r>
        <w:rPr>
          <w:sz w:val="24"/>
          <w:szCs w:val="24"/>
        </w:rPr>
        <w:t xml:space="preserve">Контракт вступает в силу и становится обязательным для сторон с даты его подписания сторонами и действует </w:t>
      </w:r>
      <w:bookmarkEnd w:id="60"/>
      <w:r>
        <w:rPr>
          <w:sz w:val="24"/>
          <w:szCs w:val="24"/>
        </w:rPr>
        <w:t>до 30.</w:t>
      </w:r>
      <w:r>
        <w:rPr>
          <w:sz w:val="24"/>
          <w:szCs w:val="24"/>
        </w:rPr>
        <w:t>11</w:t>
      </w:r>
      <w:r>
        <w:rPr>
          <w:sz w:val="24"/>
          <w:szCs w:val="24"/>
        </w:rPr>
        <w:t xml:space="preserve">.2026г., а в части исполнения сторонами обязательств, предусмотренных настоящим Контрактом, до полного их исполнения. </w:t>
      </w:r>
    </w:p>
    <w:p>
      <w:pPr>
        <w:pStyle w:val="Heading2"/>
        <w:spacing w:lineRule="auto" w:line="240" w:before="0" w:after="0"/>
        <w:ind w:hanging="0"/>
        <w:rPr>
          <w:sz w:val="24"/>
          <w:szCs w:val="24"/>
        </w:rPr>
      </w:pPr>
      <w:bookmarkStart w:id="61" w:name="_ref_1-e9a3e3bd1d544c"/>
      <w:r>
        <w:rPr>
          <w:sz w:val="24"/>
          <w:szCs w:val="24"/>
        </w:rPr>
        <w:t xml:space="preserve"> </w:t>
      </w:r>
      <w:r>
        <w:rPr>
          <w:sz w:val="24"/>
          <w:szCs w:val="24"/>
        </w:rPr>
        <w:t>В случае изменения своих реквизитов, указанных в Контракте, Поставщик обязан в течение 5 (пяти) дней уведомить об этом Заказчика и сообщить новые реквизиты.</w:t>
      </w:r>
      <w:bookmarkEnd w:id="61"/>
    </w:p>
    <w:p>
      <w:pPr>
        <w:pStyle w:val="Heading2"/>
        <w:spacing w:lineRule="auto" w:line="240" w:before="0" w:after="0"/>
        <w:ind w:hanging="0"/>
        <w:rPr>
          <w:sz w:val="24"/>
          <w:szCs w:val="24"/>
        </w:rPr>
      </w:pPr>
      <w:bookmarkStart w:id="62" w:name="_ref_1-9c365fb91dc24d"/>
      <w:r>
        <w:rPr>
          <w:sz w:val="24"/>
          <w:szCs w:val="24"/>
        </w:rPr>
        <w:t xml:space="preserve"> </w:t>
      </w:r>
      <w:r>
        <w:rPr>
          <w:sz w:val="24"/>
          <w:szCs w:val="24"/>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с дублированием на эл.почту, указанную в разделе Контракта "Адреса и реквизиты сторон". Направление сообщения по другим адресам не может считаться надлежащим.</w:t>
      </w:r>
      <w:bookmarkEnd w:id="62"/>
      <w:r>
        <w:rPr>
          <w:sz w:val="24"/>
          <w:szCs w:val="24"/>
        </w:rPr>
        <w:t xml:space="preserve">  </w:t>
      </w:r>
      <w:bookmarkStart w:id="63" w:name="_ref_1-bd478a5b9fdf47"/>
    </w:p>
    <w:p>
      <w:pPr>
        <w:pStyle w:val="Heading2"/>
        <w:spacing w:lineRule="auto" w:line="240" w:before="0" w:after="0"/>
        <w:ind w:hanging="0"/>
        <w:rPr>
          <w:sz w:val="24"/>
          <w:szCs w:val="24"/>
        </w:rPr>
      </w:pPr>
      <w:r>
        <w:rPr>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p>
    <w:p>
      <w:pPr>
        <w:pStyle w:val="Normal"/>
        <w:spacing w:lineRule="auto" w:line="240" w:before="0" w:after="0"/>
        <w:rPr>
          <w:sz w:val="24"/>
          <w:szCs w:val="24"/>
        </w:rPr>
      </w:pPr>
      <w:r>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pPr>
        <w:pStyle w:val="Normal"/>
        <w:numPr>
          <w:ilvl w:val="1"/>
          <w:numId w:val="1"/>
        </w:numPr>
        <w:spacing w:lineRule="auto" w:line="240" w:before="0" w:after="0"/>
        <w:rPr>
          <w:sz w:val="24"/>
          <w:szCs w:val="24"/>
        </w:rPr>
      </w:pPr>
      <w:r>
        <w:rPr>
          <w:sz w:val="24"/>
          <w:szCs w:val="24"/>
        </w:rPr>
        <w:t>Контракт заключается в форме электронного документа, подписанного электронными подписями уполномоченными представителями обеих Сторон на ЕАТ (Единый агрегатор торговли) .</w:t>
      </w:r>
    </w:p>
    <w:p>
      <w:pPr>
        <w:pStyle w:val="Normal"/>
        <w:spacing w:lineRule="auto" w:line="240" w:before="0" w:after="0"/>
        <w:rPr>
          <w:sz w:val="24"/>
          <w:szCs w:val="24"/>
        </w:rPr>
      </w:pPr>
      <w:r>
        <w:rPr>
          <w:sz w:val="24"/>
          <w:szCs w:val="24"/>
        </w:rPr>
        <w:t>Все приложения, составленные в надлежащей форме и в соответствии с условиями Контракта, являются его неотъемлемой частью.</w:t>
      </w:r>
    </w:p>
    <w:p>
      <w:pPr>
        <w:pStyle w:val="Normal"/>
        <w:numPr>
          <w:ilvl w:val="1"/>
          <w:numId w:val="1"/>
        </w:numPr>
        <w:spacing w:lineRule="auto" w:line="240" w:before="0" w:after="0"/>
        <w:rPr>
          <w:sz w:val="24"/>
          <w:szCs w:val="24"/>
        </w:rPr>
      </w:pPr>
      <w:bookmarkStart w:id="64" w:name="_ref_1-3315a8502eae44"/>
      <w:r>
        <w:rPr>
          <w:sz w:val="24"/>
          <w:szCs w:val="24"/>
        </w:rPr>
        <w:t>Приложения к Контракту:</w:t>
      </w:r>
      <w:bookmarkStart w:id="65" w:name="_ref_1-f44dcebc0c2f4e"/>
      <w:bookmarkEnd w:id="64"/>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Приложение №1 - Спецификаци</w:t>
      </w:r>
      <w:bookmarkEnd w:id="65"/>
      <w:r>
        <w:rPr>
          <w:rFonts w:eastAsia="Times New Roman" w:cs="Times New Roman"/>
          <w:color w:val="auto"/>
          <w:kern w:val="0"/>
          <w:sz w:val="24"/>
          <w:szCs w:val="24"/>
          <w:lang w:val="ru-RU" w:eastAsia="ru-RU" w:bidi="ar-SA"/>
        </w:rPr>
        <w:t xml:space="preserve">я. </w:t>
      </w:r>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Приложение №2 - Техническое задание.</w:t>
      </w:r>
    </w:p>
    <w:p>
      <w:pPr>
        <w:pStyle w:val="Heading2"/>
        <w:widowControl/>
        <w:numPr>
          <w:ilvl w:val="0"/>
          <w:numId w:val="0"/>
        </w:numPr>
        <w:suppressAutoHyphens w:val="true"/>
        <w:bidi w:val="0"/>
        <w:spacing w:lineRule="auto" w:line="240" w:before="0" w:after="0"/>
        <w:ind w:hanging="0" w:left="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p>
      <w:pPr>
        <w:pStyle w:val="Heading1"/>
        <w:spacing w:lineRule="auto" w:line="240" w:before="0" w:after="0"/>
        <w:ind w:hanging="0"/>
        <w:rPr>
          <w:szCs w:val="24"/>
        </w:rPr>
      </w:pPr>
      <w:bookmarkStart w:id="66" w:name="_ref_1-cf30760efb7949"/>
      <w:bookmarkStart w:id="67" w:name="_docEnd_1"/>
      <w:bookmarkEnd w:id="67"/>
      <w:r>
        <w:rPr>
          <w:szCs w:val="24"/>
        </w:rPr>
        <w:t>Адреса и реквизиты сторон</w:t>
      </w:r>
      <w:bookmarkEnd w:id="66"/>
    </w:p>
    <w:tbl>
      <w:tblPr>
        <w:tblW w:w="5000" w:type="pct"/>
        <w:jc w:val="left"/>
        <w:tblInd w:w="113" w:type="dxa"/>
        <w:tblLayout w:type="fixed"/>
        <w:tblCellMar>
          <w:top w:w="0" w:type="dxa"/>
          <w:left w:w="108" w:type="dxa"/>
          <w:bottom w:w="0" w:type="dxa"/>
          <w:right w:w="108" w:type="dxa"/>
        </w:tblCellMar>
        <w:tblLook w:val="04a0"/>
      </w:tblPr>
      <w:tblGrid>
        <w:gridCol w:w="5102"/>
        <w:gridCol w:w="5102"/>
      </w:tblGrid>
      <w:tr>
        <w:trPr/>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center"/>
              <w:rPr>
                <w:sz w:val="22"/>
                <w:szCs w:val="22"/>
              </w:rPr>
            </w:pPr>
            <w:r>
              <w:rPr>
                <w:b/>
                <w:sz w:val="22"/>
                <w:szCs w:val="22"/>
              </w:rPr>
              <w:t>Заказчик</w:t>
            </w:r>
          </w:p>
        </w:tc>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center"/>
              <w:rPr>
                <w:sz w:val="22"/>
                <w:szCs w:val="22"/>
              </w:rPr>
            </w:pPr>
            <w:r>
              <w:rPr>
                <w:b/>
                <w:sz w:val="22"/>
                <w:szCs w:val="22"/>
              </w:rPr>
              <w:t>Поставщик</w:t>
            </w:r>
          </w:p>
        </w:tc>
      </w:tr>
      <w:tr>
        <w:trPr/>
        <w:tc>
          <w:tcPr>
            <w:tcW w:w="51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left"/>
              <w:rPr/>
            </w:pPr>
            <w:r>
              <w:rPr/>
              <w:t>ФГБУ санаторий «Лесное» Минздрава России</w:t>
            </w:r>
          </w:p>
          <w:p>
            <w:pPr>
              <w:pStyle w:val="Normal"/>
              <w:spacing w:lineRule="auto" w:line="240" w:before="0" w:after="0"/>
              <w:ind w:hanging="0"/>
              <w:jc w:val="left"/>
              <w:rPr/>
            </w:pPr>
            <w:r>
              <w:rPr/>
              <w:t>Юридический адрес: Россия, 445003, г.Тольятти, Лесопарковое шоссе, д. 2.</w:t>
            </w:r>
          </w:p>
          <w:p>
            <w:pPr>
              <w:pStyle w:val="Normal"/>
              <w:spacing w:lineRule="auto" w:line="240" w:before="0" w:after="0"/>
              <w:ind w:hanging="0"/>
              <w:jc w:val="left"/>
              <w:rPr/>
            </w:pPr>
            <w:r>
              <w:rPr/>
              <w:t>Почтовый адрес: 445003, г. Тольятти, Лесопарковое шоссе, д. 2.</w:t>
            </w:r>
          </w:p>
          <w:p>
            <w:pPr>
              <w:pStyle w:val="Normal"/>
              <w:spacing w:lineRule="auto" w:line="240" w:before="0" w:after="0"/>
              <w:ind w:hanging="0"/>
              <w:jc w:val="left"/>
              <w:rPr/>
            </w:pPr>
            <w:r>
              <w:rPr/>
              <w:t>Тел./факс: 8(8482) 290109</w:t>
            </w:r>
          </w:p>
          <w:p>
            <w:pPr>
              <w:pStyle w:val="Normal"/>
              <w:spacing w:lineRule="auto" w:line="240" w:before="0" w:after="0"/>
              <w:ind w:hanging="0"/>
              <w:jc w:val="left"/>
              <w:rPr/>
            </w:pPr>
            <w:r>
              <w:rPr/>
              <w:t>E-mail: s.lesnoe@sanlesnoe.ru</w:t>
            </w:r>
          </w:p>
          <w:p>
            <w:pPr>
              <w:pStyle w:val="Normal"/>
              <w:spacing w:lineRule="auto" w:line="240" w:before="0" w:after="0"/>
              <w:ind w:hanging="0"/>
              <w:jc w:val="left"/>
              <w:rPr/>
            </w:pPr>
            <w:r>
              <w:rPr/>
              <w:t>ИНН/КПП: 6323000016/632401001</w:t>
            </w:r>
          </w:p>
          <w:p>
            <w:pPr>
              <w:pStyle w:val="Normal"/>
              <w:spacing w:lineRule="auto" w:line="240" w:before="0" w:after="0"/>
              <w:ind w:hanging="0"/>
              <w:jc w:val="left"/>
              <w:rPr/>
            </w:pPr>
            <w:r>
              <w:rPr/>
              <w:t>Банк получателя: ОКЦ № 1  ВВГУ Банка России//УФК по Нижегородской области г. Нижний Новгород</w:t>
            </w:r>
          </w:p>
          <w:p>
            <w:pPr>
              <w:pStyle w:val="Normal"/>
              <w:spacing w:lineRule="auto" w:line="240" w:before="0" w:after="0"/>
              <w:ind w:hanging="0"/>
              <w:jc w:val="left"/>
              <w:rPr/>
            </w:pPr>
            <w:r>
              <w:rPr/>
              <w:t>Единый Казначейский Счет: 40102810745370000024</w:t>
            </w:r>
          </w:p>
          <w:p>
            <w:pPr>
              <w:pStyle w:val="Normal"/>
              <w:spacing w:lineRule="auto" w:line="240" w:before="0" w:after="0"/>
              <w:ind w:hanging="0"/>
              <w:jc w:val="left"/>
              <w:rPr/>
            </w:pPr>
            <w:r>
              <w:rPr/>
              <w:t>Номер казначейского счета: 03214643000000013249</w:t>
            </w:r>
          </w:p>
          <w:p>
            <w:pPr>
              <w:pStyle w:val="Normal"/>
              <w:spacing w:lineRule="auto" w:line="240" w:before="0" w:after="0"/>
              <w:ind w:hanging="0"/>
              <w:jc w:val="left"/>
              <w:rPr/>
            </w:pPr>
            <w:r>
              <w:rPr/>
              <w:t>БИК: 012202102</w:t>
            </w:r>
          </w:p>
          <w:p>
            <w:pPr>
              <w:pStyle w:val="Normal"/>
              <w:spacing w:lineRule="auto" w:line="240" w:before="0" w:after="0"/>
              <w:ind w:hanging="0"/>
              <w:jc w:val="left"/>
              <w:rPr/>
            </w:pPr>
            <w:r>
              <w:rPr/>
              <w:t>Получатель: УФК по Самарской области (ФГБУ санаторий «Лесное» Минздрава России, л/с 20426Х73780)</w:t>
            </w:r>
          </w:p>
          <w:p>
            <w:pPr>
              <w:pStyle w:val="Normal"/>
              <w:spacing w:lineRule="auto" w:line="240" w:before="0" w:after="0"/>
              <w:ind w:hanging="0"/>
              <w:jc w:val="left"/>
              <w:rPr/>
            </w:pPr>
            <w:r>
              <w:rPr/>
              <w:t>КБК 000 000 000 000 000 00510</w:t>
            </w:r>
          </w:p>
        </w:tc>
        <w:tc>
          <w:tcPr>
            <w:tcW w:w="51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left"/>
              <w:rPr>
                <w:sz w:val="22"/>
                <w:szCs w:val="22"/>
              </w:rPr>
            </w:pPr>
            <w:r>
              <w:rPr>
                <w:sz w:val="22"/>
                <w:szCs w:val="22"/>
              </w:rPr>
              <w:t>Наименование</w:t>
            </w:r>
          </w:p>
          <w:p>
            <w:pPr>
              <w:pStyle w:val="Normal"/>
              <w:spacing w:lineRule="auto" w:line="240" w:before="0" w:after="0"/>
              <w:ind w:hanging="0"/>
              <w:jc w:val="left"/>
              <w:rPr>
                <w:sz w:val="22"/>
                <w:szCs w:val="22"/>
              </w:rPr>
            </w:pPr>
            <w:r>
              <w:rPr>
                <w:sz w:val="22"/>
                <w:szCs w:val="22"/>
              </w:rPr>
            </w:r>
          </w:p>
          <w:p>
            <w:pPr>
              <w:pStyle w:val="Normal"/>
              <w:spacing w:lineRule="auto" w:line="240" w:before="0" w:after="0"/>
              <w:ind w:hanging="0"/>
              <w:jc w:val="left"/>
              <w:rPr>
                <w:sz w:val="22"/>
                <w:szCs w:val="22"/>
              </w:rPr>
            </w:pPr>
            <w:r>
              <w:rPr>
                <w:sz w:val="22"/>
                <w:szCs w:val="22"/>
              </w:rPr>
              <w:t>Юридический адрес:</w:t>
            </w:r>
          </w:p>
          <w:p>
            <w:pPr>
              <w:pStyle w:val="Normal"/>
              <w:spacing w:lineRule="auto" w:line="240" w:before="0" w:after="0"/>
              <w:ind w:hanging="0"/>
              <w:jc w:val="left"/>
              <w:rPr>
                <w:sz w:val="22"/>
                <w:szCs w:val="22"/>
              </w:rPr>
            </w:pPr>
            <w:r>
              <w:rPr>
                <w:sz w:val="22"/>
                <w:szCs w:val="22"/>
              </w:rPr>
              <w:t>Почтовый адрес:</w:t>
            </w:r>
          </w:p>
          <w:p>
            <w:pPr>
              <w:pStyle w:val="Normal"/>
              <w:spacing w:lineRule="auto" w:line="240" w:before="0" w:after="0"/>
              <w:ind w:hanging="0"/>
              <w:jc w:val="left"/>
              <w:rPr>
                <w:sz w:val="22"/>
                <w:szCs w:val="22"/>
              </w:rPr>
            </w:pPr>
            <w:r>
              <w:rPr>
                <w:sz w:val="22"/>
                <w:szCs w:val="22"/>
              </w:rPr>
              <w:t>Тел./факс:</w:t>
            </w:r>
          </w:p>
          <w:p>
            <w:pPr>
              <w:pStyle w:val="Normal"/>
              <w:spacing w:lineRule="auto" w:line="240" w:before="0" w:after="0"/>
              <w:ind w:hanging="0"/>
              <w:jc w:val="left"/>
              <w:rPr>
                <w:sz w:val="22"/>
                <w:szCs w:val="22"/>
              </w:rPr>
            </w:pPr>
            <w:r>
              <w:rPr>
                <w:sz w:val="22"/>
                <w:szCs w:val="22"/>
              </w:rPr>
              <w:t>эл.адрес</w:t>
            </w:r>
          </w:p>
          <w:p>
            <w:pPr>
              <w:pStyle w:val="Normal"/>
              <w:spacing w:lineRule="auto" w:line="240" w:before="0" w:after="0"/>
              <w:ind w:hanging="0"/>
              <w:jc w:val="left"/>
              <w:rPr>
                <w:sz w:val="22"/>
                <w:szCs w:val="22"/>
              </w:rPr>
            </w:pPr>
            <w:r>
              <w:rPr>
                <w:sz w:val="22"/>
                <w:szCs w:val="22"/>
              </w:rPr>
              <w:t>ИНН / КПП</w:t>
            </w:r>
          </w:p>
          <w:p>
            <w:pPr>
              <w:pStyle w:val="Normal"/>
              <w:spacing w:lineRule="auto" w:line="240" w:before="0" w:after="0"/>
              <w:ind w:hanging="0"/>
              <w:jc w:val="left"/>
              <w:rPr>
                <w:sz w:val="22"/>
                <w:szCs w:val="22"/>
              </w:rPr>
            </w:pPr>
            <w:r>
              <w:rPr>
                <w:sz w:val="22"/>
                <w:szCs w:val="22"/>
              </w:rPr>
              <w:t>Банк</w:t>
            </w:r>
          </w:p>
          <w:p>
            <w:pPr>
              <w:pStyle w:val="Normal"/>
              <w:spacing w:lineRule="auto" w:line="240" w:before="0" w:after="0"/>
              <w:ind w:hanging="0"/>
              <w:jc w:val="left"/>
              <w:rPr>
                <w:sz w:val="22"/>
                <w:szCs w:val="22"/>
              </w:rPr>
            </w:pPr>
            <w:r>
              <w:rPr>
                <w:sz w:val="22"/>
                <w:szCs w:val="22"/>
              </w:rPr>
              <w:t>р/сч</w:t>
            </w:r>
          </w:p>
        </w:tc>
      </w:tr>
      <w:tr>
        <w:trPr/>
        <w:tc>
          <w:tcPr>
            <w:tcW w:w="5102" w:type="dxa"/>
            <w:tcBorders>
              <w:top w:val="single" w:sz="4" w:space="0" w:color="000000"/>
              <w:left w:val="single" w:sz="4" w:space="0" w:color="000000"/>
              <w:bottom w:val="single" w:sz="4" w:space="0" w:color="000000"/>
              <w:right w:val="single" w:sz="4" w:space="0" w:color="000000"/>
            </w:tcBorders>
          </w:tcPr>
          <w:p>
            <w:pPr>
              <w:pStyle w:val="Normalunindented"/>
              <w:keepNext w:val="true"/>
              <w:spacing w:lineRule="auto" w:line="240" w:before="0" w:after="0"/>
              <w:jc w:val="left"/>
              <w:rPr>
                <w:color w:val="000000"/>
                <w:shd w:fill="FFFFFF" w:val="clear"/>
              </w:rPr>
            </w:pPr>
            <w:r>
              <w:rPr>
                <w:color w:val="000000"/>
                <w:shd w:fill="FFFFFF" w:val="clear"/>
              </w:rPr>
            </w:r>
          </w:p>
          <w:p>
            <w:pPr>
              <w:pStyle w:val="Normalunindented"/>
              <w:spacing w:lineRule="auto" w:line="240" w:before="0" w:after="0"/>
              <w:jc w:val="left"/>
              <w:rPr>
                <w:sz w:val="24"/>
                <w:szCs w:val="24"/>
              </w:rPr>
            </w:pPr>
            <w:r>
              <w:rPr>
                <w:color w:val="000000"/>
                <w:sz w:val="24"/>
                <w:szCs w:val="24"/>
                <w:shd w:fill="FFFFFF" w:val="clear"/>
              </w:rPr>
              <w:t>Главный врач</w:t>
            </w:r>
          </w:p>
          <w:p>
            <w:pPr>
              <w:pStyle w:val="Normalunindented"/>
              <w:keepNext w:val="true"/>
              <w:spacing w:lineRule="auto" w:line="240" w:before="0" w:after="0"/>
              <w:jc w:val="left"/>
              <w:rPr>
                <w:sz w:val="22"/>
                <w:szCs w:val="22"/>
              </w:rPr>
            </w:pPr>
            <w:r>
              <w:rPr>
                <w:sz w:val="22"/>
                <w:szCs w:val="22"/>
                <w:u w:val="single"/>
              </w:rPr>
              <w:t>                                  </w:t>
            </w:r>
            <w:r>
              <w:rPr>
                <w:sz w:val="22"/>
                <w:szCs w:val="22"/>
              </w:rPr>
              <w:t xml:space="preserve"> </w:t>
            </w:r>
            <w:r>
              <w:rPr>
                <w:color w:val="000000"/>
                <w:sz w:val="22"/>
                <w:szCs w:val="22"/>
                <w:shd w:fill="FFFFFF" w:val="clear"/>
              </w:rPr>
              <w:t>С.В. Солдатова</w:t>
            </w:r>
            <w:r>
              <w:rPr>
                <w:sz w:val="22"/>
                <w:szCs w:val="22"/>
              </w:rPr>
              <w:br/>
            </w:r>
            <w:r>
              <w:rPr>
                <w:i/>
                <w:sz w:val="22"/>
                <w:szCs w:val="22"/>
              </w:rPr>
              <w:t>М.П.</w:t>
            </w:r>
          </w:p>
        </w:tc>
        <w:tc>
          <w:tcPr>
            <w:tcW w:w="5102" w:type="dxa"/>
            <w:tcBorders>
              <w:top w:val="single" w:sz="4" w:space="0" w:color="000000"/>
              <w:left w:val="single" w:sz="4" w:space="0" w:color="000000"/>
              <w:bottom w:val="single" w:sz="4" w:space="0" w:color="000000"/>
              <w:right w:val="single" w:sz="4" w:space="0" w:color="000000"/>
            </w:tcBorders>
          </w:tcPr>
          <w:p>
            <w:pPr>
              <w:pStyle w:val="Normal"/>
              <w:spacing w:before="120" w:after="120"/>
              <w:ind w:hanging="0"/>
              <w:rPr>
                <w:sz w:val="22"/>
                <w:szCs w:val="22"/>
              </w:rPr>
            </w:pPr>
            <w:r>
              <w:rPr>
                <w:sz w:val="22"/>
                <w:szCs w:val="22"/>
              </w:rPr>
              <w:t>_</w:t>
            </w:r>
          </w:p>
          <w:p>
            <w:pPr>
              <w:pStyle w:val="Normal"/>
              <w:ind w:hanging="0"/>
              <w:rPr>
                <w:sz w:val="22"/>
                <w:szCs w:val="22"/>
              </w:rPr>
            </w:pPr>
            <w:r>
              <w:rPr>
                <w:sz w:val="22"/>
                <w:szCs w:val="22"/>
              </w:rPr>
              <w:t>_____________________ /</w:t>
            </w:r>
            <w:r>
              <w:rPr>
                <w:sz w:val="22"/>
                <w:szCs w:val="22"/>
                <w:lang w:val="en-US"/>
              </w:rPr>
              <w:t>___________</w:t>
            </w:r>
            <w:r>
              <w:rPr>
                <w:sz w:val="22"/>
                <w:szCs w:val="22"/>
              </w:rPr>
              <w:t>/</w:t>
            </w:r>
          </w:p>
          <w:p>
            <w:pPr>
              <w:pStyle w:val="Normalunindented"/>
              <w:keepNext w:val="true"/>
              <w:spacing w:lineRule="auto" w:line="240" w:before="0" w:after="0"/>
              <w:jc w:val="left"/>
              <w:rPr>
                <w:sz w:val="22"/>
                <w:szCs w:val="22"/>
              </w:rPr>
            </w:pPr>
            <w:r>
              <w:rPr>
                <w:sz w:val="22"/>
                <w:szCs w:val="22"/>
              </w:rPr>
              <w:t>М.П.</w:t>
            </w:r>
          </w:p>
        </w:tc>
      </w:tr>
    </w:tbl>
    <w:p>
      <w:pPr>
        <w:sectPr>
          <w:footerReference w:type="even" r:id="rId2"/>
          <w:footerReference w:type="default" r:id="rId3"/>
          <w:footerReference w:type="first" r:id="rId4"/>
          <w:type w:val="nextPage"/>
          <w:pgSz w:w="11906" w:h="16838"/>
          <w:pgMar w:left="1134" w:right="567" w:gutter="0" w:header="0" w:top="567" w:footer="720" w:bottom="777"/>
          <w:pgNumType w:start="1" w:fmt="decimal"/>
          <w:formProt w:val="false"/>
          <w:titlePg/>
          <w:textDirection w:val="lrTb"/>
          <w:docGrid w:type="default" w:linePitch="100" w:charSpace="0"/>
        </w:sectPr>
      </w:pPr>
    </w:p>
    <w:p>
      <w:pPr>
        <w:pStyle w:val="Normal"/>
        <w:keepNext w:val="true"/>
        <w:keepLines/>
        <w:spacing w:lineRule="auto" w:line="240" w:before="0" w:after="0"/>
        <w:ind w:hanging="0"/>
        <w:jc w:val="right"/>
        <w:rPr>
          <w:sz w:val="24"/>
          <w:szCs w:val="24"/>
        </w:rPr>
      </w:pPr>
      <w:r>
        <w:rPr>
          <w:sz w:val="24"/>
          <w:szCs w:val="24"/>
        </w:rPr>
      </w:r>
    </w:p>
    <w:p>
      <w:pPr>
        <w:pStyle w:val="Normal"/>
        <w:keepNext w:val="true"/>
        <w:keepLines/>
        <w:spacing w:lineRule="auto" w:line="240" w:before="0" w:after="0"/>
        <w:ind w:hanging="0"/>
        <w:jc w:val="right"/>
        <w:rPr>
          <w:sz w:val="24"/>
          <w:szCs w:val="24"/>
        </w:rPr>
      </w:pPr>
      <w:r>
        <w:rPr>
          <w:sz w:val="24"/>
          <w:szCs w:val="24"/>
        </w:rPr>
        <w:t>Приложение № 1</w:t>
        <w:br/>
        <w:t>к Контракту  № __________</w:t>
        <w:br/>
        <w:t xml:space="preserve"> от "___" __________ 2026г.</w:t>
      </w:r>
    </w:p>
    <w:p>
      <w:pPr>
        <w:pStyle w:val="Title"/>
        <w:spacing w:before="0" w:after="0"/>
        <w:contextualSpacing/>
        <w:rPr>
          <w:sz w:val="24"/>
          <w:szCs w:val="24"/>
        </w:rPr>
      </w:pPr>
      <w:r>
        <w:rPr>
          <w:sz w:val="24"/>
          <w:szCs w:val="24"/>
        </w:rPr>
        <w:t xml:space="preserve">Спецификация </w:t>
      </w:r>
    </w:p>
    <w:p>
      <w:pPr>
        <w:pStyle w:val="Normal"/>
        <w:spacing w:before="0" w:after="0"/>
        <w:contextualSpacing/>
        <w:rPr>
          <w:sz w:val="24"/>
          <w:szCs w:val="24"/>
        </w:rPr>
      </w:pPr>
      <w:r>
        <w:rPr>
          <w:sz w:val="24"/>
          <w:szCs w:val="24"/>
        </w:rPr>
      </w:r>
    </w:p>
    <w:tbl>
      <w:tblPr>
        <w:tblW w:w="14877" w:type="dxa"/>
        <w:jc w:val="left"/>
        <w:tblInd w:w="55" w:type="dxa"/>
        <w:tblLayout w:type="fixed"/>
        <w:tblCellMar>
          <w:top w:w="55" w:type="dxa"/>
          <w:left w:w="55" w:type="dxa"/>
          <w:bottom w:w="55" w:type="dxa"/>
          <w:right w:w="55" w:type="dxa"/>
        </w:tblCellMar>
      </w:tblPr>
      <w:tblGrid>
        <w:gridCol w:w="623"/>
        <w:gridCol w:w="3682"/>
        <w:gridCol w:w="1186"/>
        <w:gridCol w:w="1304"/>
        <w:gridCol w:w="1531"/>
        <w:gridCol w:w="1815"/>
        <w:gridCol w:w="1305"/>
        <w:gridCol w:w="3429"/>
      </w:tblGrid>
      <w:tr>
        <w:trPr>
          <w:trHeight w:val="1759" w:hRule="atLeast"/>
        </w:trPr>
        <w:tc>
          <w:tcPr>
            <w:tcW w:w="623"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bookmarkStart w:id="68" w:name="_docStart_2"/>
            <w:bookmarkEnd w:id="68"/>
            <w:r>
              <w:rPr>
                <w:color w:val="000000"/>
              </w:rPr>
              <w:t xml:space="preserve">№ </w:t>
            </w:r>
            <w:r>
              <w:rPr>
                <w:color w:val="000000"/>
              </w:rPr>
              <w:t>пп</w:t>
            </w:r>
          </w:p>
        </w:tc>
        <w:tc>
          <w:tcPr>
            <w:tcW w:w="3682"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Наименование Товара</w:t>
            </w:r>
          </w:p>
        </w:tc>
        <w:tc>
          <w:tcPr>
            <w:tcW w:w="1186"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Ед.</w:t>
            </w:r>
          </w:p>
          <w:p>
            <w:pPr>
              <w:pStyle w:val="Normal"/>
              <w:spacing w:lineRule="auto" w:line="240" w:before="0" w:after="0"/>
              <w:ind w:hanging="0"/>
              <w:jc w:val="center"/>
              <w:rPr>
                <w:color w:val="000000"/>
              </w:rPr>
            </w:pPr>
            <w:r>
              <w:rPr>
                <w:color w:val="000000"/>
              </w:rPr>
              <w:t>изм.</w:t>
            </w:r>
          </w:p>
        </w:tc>
        <w:tc>
          <w:tcPr>
            <w:tcW w:w="1304"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Количество</w:t>
            </w:r>
          </w:p>
        </w:tc>
        <w:tc>
          <w:tcPr>
            <w:tcW w:w="1531"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Цена за ед., руб</w:t>
            </w:r>
          </w:p>
        </w:tc>
        <w:tc>
          <w:tcPr>
            <w:tcW w:w="181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Сумма, руб</w:t>
            </w:r>
          </w:p>
        </w:tc>
        <w:tc>
          <w:tcPr>
            <w:tcW w:w="1305" w:type="dxa"/>
            <w:tcBorders>
              <w:top w:val="single" w:sz="4" w:space="0" w:color="000000"/>
              <w:left w:val="single" w:sz="4" w:space="0" w:color="000000"/>
              <w:bottom w:val="single" w:sz="4" w:space="0" w:color="000000"/>
            </w:tcBorders>
          </w:tcPr>
          <w:p>
            <w:pPr>
              <w:pStyle w:val="Normal"/>
              <w:spacing w:lineRule="auto" w:line="240" w:before="0" w:after="0"/>
              <w:ind w:hanging="0"/>
              <w:jc w:val="center"/>
              <w:rPr>
                <w:color w:val="000000"/>
              </w:rPr>
            </w:pPr>
            <w:r>
              <w:rPr>
                <w:color w:val="000000"/>
              </w:rPr>
              <w:t>Ставка НДС, %</w:t>
            </w:r>
          </w:p>
        </w:tc>
        <w:tc>
          <w:tcPr>
            <w:tcW w:w="34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jc w:val="center"/>
              <w:rPr>
                <w:color w:val="000000"/>
              </w:rPr>
            </w:pPr>
            <w:r>
              <w:rPr>
                <w:color w:val="000000"/>
              </w:rPr>
              <w:t>Страна происхождения</w:t>
            </w:r>
          </w:p>
        </w:tc>
      </w:tr>
      <w:tr>
        <w:trPr>
          <w:trHeight w:val="379" w:hRule="atLeast"/>
        </w:trPr>
        <w:tc>
          <w:tcPr>
            <w:tcW w:w="623"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1</w:t>
            </w:r>
          </w:p>
        </w:tc>
        <w:tc>
          <w:tcPr>
            <w:tcW w:w="3682"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2</w:t>
            </w:r>
          </w:p>
        </w:tc>
        <w:tc>
          <w:tcPr>
            <w:tcW w:w="1186"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3</w:t>
            </w:r>
          </w:p>
        </w:tc>
        <w:tc>
          <w:tcPr>
            <w:tcW w:w="1304"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4</w:t>
            </w:r>
          </w:p>
        </w:tc>
        <w:tc>
          <w:tcPr>
            <w:tcW w:w="1531"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5</w:t>
            </w:r>
          </w:p>
        </w:tc>
        <w:tc>
          <w:tcPr>
            <w:tcW w:w="1815"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6</w:t>
            </w:r>
          </w:p>
        </w:tc>
        <w:tc>
          <w:tcPr>
            <w:tcW w:w="1305" w:type="dxa"/>
            <w:tcBorders>
              <w:left w:val="single" w:sz="4" w:space="0" w:color="000000"/>
              <w:bottom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7</w:t>
            </w:r>
          </w:p>
        </w:tc>
        <w:tc>
          <w:tcPr>
            <w:tcW w:w="3429" w:type="dxa"/>
            <w:tcBorders>
              <w:left w:val="single" w:sz="4" w:space="0" w:color="000000"/>
              <w:bottom w:val="single" w:sz="4" w:space="0" w:color="000000"/>
              <w:right w:val="single" w:sz="4" w:space="0" w:color="000000"/>
            </w:tcBorders>
          </w:tcPr>
          <w:p>
            <w:pPr>
              <w:pStyle w:val="user4"/>
              <w:widowControl w:val="false"/>
              <w:suppressLineNumbers/>
              <w:suppressAutoHyphens w:val="true"/>
              <w:bidi w:val="0"/>
              <w:spacing w:lineRule="auto" w:line="240" w:before="120" w:after="120"/>
              <w:ind w:hanging="0" w:left="0" w:right="0"/>
              <w:jc w:val="center"/>
              <w:rPr>
                <w:sz w:val="16"/>
                <w:szCs w:val="16"/>
              </w:rPr>
            </w:pPr>
            <w:r>
              <w:rPr>
                <w:sz w:val="16"/>
                <w:szCs w:val="16"/>
              </w:rPr>
              <w:t>8</w:t>
            </w:r>
          </w:p>
        </w:tc>
      </w:tr>
      <w:tr>
        <w:trPr/>
        <w:tc>
          <w:tcPr>
            <w:tcW w:w="623" w:type="dxa"/>
            <w:tcBorders>
              <w:left w:val="single" w:sz="4" w:space="0" w:color="000000"/>
              <w:bottom w:val="single" w:sz="4" w:space="0" w:color="000000"/>
            </w:tcBorders>
          </w:tcPr>
          <w:p>
            <w:pPr>
              <w:pStyle w:val="user4"/>
              <w:spacing w:lineRule="auto" w:line="240" w:before="120" w:after="120"/>
              <w:ind w:hanging="0" w:left="0" w:right="0"/>
              <w:jc w:val="center"/>
              <w:rPr>
                <w:rFonts w:ascii="Times New Roman" w:hAnsi="Times New Roman"/>
                <w:sz w:val="22"/>
                <w:szCs w:val="22"/>
              </w:rPr>
            </w:pPr>
            <w:r>
              <w:rPr>
                <w:color w:val="000000"/>
                <w:sz w:val="22"/>
                <w:szCs w:val="22"/>
              </w:rPr>
              <w:t>1</w:t>
            </w:r>
          </w:p>
        </w:tc>
        <w:tc>
          <w:tcPr>
            <w:tcW w:w="3682" w:type="dxa"/>
            <w:tcBorders>
              <w:left w:val="single" w:sz="4" w:space="0" w:color="000000"/>
              <w:bottom w:val="single" w:sz="4" w:space="0" w:color="000000"/>
            </w:tcBorders>
          </w:tcPr>
          <w:p>
            <w:pPr>
              <w:pStyle w:val="Style19"/>
              <w:spacing w:before="120" w:after="120"/>
              <w:ind w:hanging="0" w:left="0" w:right="0"/>
              <w:jc w:val="left"/>
              <w:rPr>
                <w:rFonts w:ascii="Times New Roman" w:hAnsi="Times New Roman"/>
                <w:color w:val="000000"/>
                <w:sz w:val="22"/>
                <w:szCs w:val="22"/>
              </w:rPr>
            </w:pPr>
            <w:r>
              <w:rPr>
                <w:color w:val="000000"/>
                <w:sz w:val="22"/>
                <w:szCs w:val="22"/>
              </w:rPr>
            </w:r>
          </w:p>
        </w:tc>
        <w:tc>
          <w:tcPr>
            <w:tcW w:w="1186"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304"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531"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815"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user4"/>
              <w:spacing w:lineRule="auto" w:line="240" w:before="120" w:after="120"/>
              <w:rPr/>
            </w:pPr>
            <w:r>
              <w:rPr/>
            </w:r>
          </w:p>
        </w:tc>
        <w:tc>
          <w:tcPr>
            <w:tcW w:w="3429" w:type="dxa"/>
            <w:tcBorders>
              <w:left w:val="single" w:sz="4" w:space="0" w:color="000000"/>
              <w:bottom w:val="single" w:sz="4" w:space="0" w:color="000000"/>
              <w:right w:val="single" w:sz="4" w:space="0" w:color="000000"/>
            </w:tcBorders>
          </w:tcPr>
          <w:p>
            <w:pPr>
              <w:pStyle w:val="user4"/>
              <w:spacing w:lineRule="auto" w:line="240" w:before="120" w:after="120"/>
              <w:rPr/>
            </w:pPr>
            <w:r>
              <w:rPr/>
            </w:r>
          </w:p>
        </w:tc>
      </w:tr>
      <w:tr>
        <w:trPr/>
        <w:tc>
          <w:tcPr>
            <w:tcW w:w="623" w:type="dxa"/>
            <w:tcBorders>
              <w:left w:val="single" w:sz="4" w:space="0" w:color="000000"/>
              <w:bottom w:val="single" w:sz="4" w:space="0" w:color="000000"/>
            </w:tcBorders>
          </w:tcPr>
          <w:p>
            <w:pPr>
              <w:pStyle w:val="user4"/>
              <w:spacing w:lineRule="auto" w:line="240" w:before="120" w:after="120"/>
              <w:ind w:hanging="0" w:left="0" w:right="0"/>
              <w:jc w:val="center"/>
              <w:rPr>
                <w:rFonts w:ascii="Times New Roman" w:hAnsi="Times New Roman"/>
                <w:sz w:val="22"/>
                <w:szCs w:val="22"/>
              </w:rPr>
            </w:pPr>
            <w:r>
              <w:rPr>
                <w:color w:val="000000"/>
                <w:sz w:val="22"/>
                <w:szCs w:val="22"/>
              </w:rPr>
              <w:t>2</w:t>
            </w:r>
          </w:p>
        </w:tc>
        <w:tc>
          <w:tcPr>
            <w:tcW w:w="3682" w:type="dxa"/>
            <w:tcBorders>
              <w:left w:val="single" w:sz="4" w:space="0" w:color="000000"/>
              <w:bottom w:val="single" w:sz="4" w:space="0" w:color="000000"/>
            </w:tcBorders>
          </w:tcPr>
          <w:p>
            <w:pPr>
              <w:pStyle w:val="Style19"/>
              <w:spacing w:before="120" w:after="120"/>
              <w:ind w:hanging="0" w:left="0" w:right="0"/>
              <w:jc w:val="left"/>
              <w:rPr>
                <w:rFonts w:ascii="Times New Roman" w:hAnsi="Times New Roman"/>
                <w:color w:val="000000"/>
                <w:sz w:val="22"/>
                <w:szCs w:val="22"/>
              </w:rPr>
            </w:pPr>
            <w:r>
              <w:rPr>
                <w:color w:val="000000"/>
                <w:sz w:val="22"/>
                <w:szCs w:val="22"/>
              </w:rPr>
            </w:r>
          </w:p>
        </w:tc>
        <w:tc>
          <w:tcPr>
            <w:tcW w:w="1186"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304"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531"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815"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user4"/>
              <w:spacing w:lineRule="auto" w:line="240" w:before="120" w:after="120"/>
              <w:rPr/>
            </w:pPr>
            <w:r>
              <w:rPr/>
            </w:r>
          </w:p>
        </w:tc>
        <w:tc>
          <w:tcPr>
            <w:tcW w:w="3429" w:type="dxa"/>
            <w:tcBorders>
              <w:left w:val="single" w:sz="4" w:space="0" w:color="000000"/>
              <w:bottom w:val="single" w:sz="4" w:space="0" w:color="000000"/>
              <w:right w:val="single" w:sz="4" w:space="0" w:color="000000"/>
            </w:tcBorders>
          </w:tcPr>
          <w:p>
            <w:pPr>
              <w:pStyle w:val="user4"/>
              <w:spacing w:lineRule="auto" w:line="240" w:before="120" w:after="120"/>
              <w:rPr/>
            </w:pPr>
            <w:r>
              <w:rPr/>
            </w:r>
          </w:p>
        </w:tc>
      </w:tr>
      <w:tr>
        <w:trPr/>
        <w:tc>
          <w:tcPr>
            <w:tcW w:w="623" w:type="dxa"/>
            <w:tcBorders>
              <w:left w:val="single" w:sz="4" w:space="0" w:color="000000"/>
              <w:bottom w:val="single" w:sz="4" w:space="0" w:color="000000"/>
            </w:tcBorders>
          </w:tcPr>
          <w:p>
            <w:pPr>
              <w:pStyle w:val="user4"/>
              <w:spacing w:lineRule="auto" w:line="240" w:before="120" w:after="120"/>
              <w:ind w:hanging="0" w:left="0" w:right="0"/>
              <w:jc w:val="center"/>
              <w:rPr>
                <w:rFonts w:ascii="Times New Roman" w:hAnsi="Times New Roman"/>
                <w:sz w:val="22"/>
                <w:szCs w:val="22"/>
              </w:rPr>
            </w:pPr>
            <w:r>
              <w:rPr>
                <w:sz w:val="22"/>
                <w:szCs w:val="22"/>
              </w:rPr>
              <w:t>3</w:t>
            </w:r>
          </w:p>
        </w:tc>
        <w:tc>
          <w:tcPr>
            <w:tcW w:w="3682" w:type="dxa"/>
            <w:tcBorders>
              <w:left w:val="single" w:sz="4" w:space="0" w:color="000000"/>
              <w:bottom w:val="single" w:sz="4" w:space="0" w:color="000000"/>
            </w:tcBorders>
          </w:tcPr>
          <w:p>
            <w:pPr>
              <w:pStyle w:val="Style19"/>
              <w:spacing w:before="120" w:after="120"/>
              <w:ind w:hanging="0" w:left="0" w:right="0"/>
              <w:jc w:val="left"/>
              <w:rPr>
                <w:rFonts w:ascii="Times New Roman" w:hAnsi="Times New Roman"/>
                <w:color w:val="000000"/>
                <w:sz w:val="22"/>
                <w:szCs w:val="22"/>
              </w:rPr>
            </w:pPr>
            <w:r>
              <w:rPr>
                <w:color w:val="000000"/>
                <w:sz w:val="22"/>
                <w:szCs w:val="22"/>
              </w:rPr>
            </w:r>
          </w:p>
        </w:tc>
        <w:tc>
          <w:tcPr>
            <w:tcW w:w="1186"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304" w:type="dxa"/>
            <w:tcBorders>
              <w:left w:val="single" w:sz="4" w:space="0" w:color="000000"/>
              <w:bottom w:val="single" w:sz="4" w:space="0" w:color="000000"/>
            </w:tcBorders>
            <w:vAlign w:val="bottom"/>
          </w:tcPr>
          <w:p>
            <w:pPr>
              <w:pStyle w:val="Style19"/>
              <w:spacing w:lineRule="auto" w:line="240" w:before="120" w:after="120"/>
              <w:ind w:hanging="0" w:left="0" w:right="0"/>
              <w:jc w:val="center"/>
              <w:rPr>
                <w:rFonts w:ascii="Times New Roman" w:hAnsi="Times New Roman"/>
                <w:color w:val="000000"/>
                <w:sz w:val="22"/>
                <w:szCs w:val="22"/>
              </w:rPr>
            </w:pPr>
            <w:r>
              <w:rPr>
                <w:color w:val="000000"/>
                <w:sz w:val="22"/>
                <w:szCs w:val="22"/>
              </w:rPr>
            </w:r>
          </w:p>
        </w:tc>
        <w:tc>
          <w:tcPr>
            <w:tcW w:w="1531"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815" w:type="dxa"/>
            <w:tcBorders>
              <w:left w:val="single" w:sz="4" w:space="0" w:color="000000"/>
              <w:bottom w:val="single" w:sz="4" w:space="0" w:color="000000"/>
            </w:tcBorders>
          </w:tcPr>
          <w:p>
            <w:pPr>
              <w:pStyle w:val="user4"/>
              <w:spacing w:lineRule="auto" w:line="240" w:before="120" w:after="120"/>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user4"/>
              <w:spacing w:lineRule="auto" w:line="240" w:before="120" w:after="120"/>
              <w:rPr/>
            </w:pPr>
            <w:r>
              <w:rPr/>
            </w:r>
          </w:p>
        </w:tc>
        <w:tc>
          <w:tcPr>
            <w:tcW w:w="3429" w:type="dxa"/>
            <w:tcBorders>
              <w:left w:val="single" w:sz="4" w:space="0" w:color="000000"/>
              <w:bottom w:val="single" w:sz="4" w:space="0" w:color="000000"/>
              <w:right w:val="single" w:sz="4" w:space="0" w:color="000000"/>
            </w:tcBorders>
          </w:tcPr>
          <w:p>
            <w:pPr>
              <w:pStyle w:val="user4"/>
              <w:spacing w:lineRule="auto" w:line="240" w:before="120" w:after="120"/>
              <w:rPr/>
            </w:pPr>
            <w:r>
              <w:rPr/>
            </w:r>
          </w:p>
        </w:tc>
      </w:tr>
      <w:tr>
        <w:trPr/>
        <w:tc>
          <w:tcPr>
            <w:tcW w:w="8326" w:type="dxa"/>
            <w:gridSpan w:val="5"/>
            <w:tcBorders>
              <w:left w:val="single" w:sz="4" w:space="0" w:color="000000"/>
              <w:bottom w:val="single" w:sz="4" w:space="0" w:color="000000"/>
            </w:tcBorders>
          </w:tcPr>
          <w:p>
            <w:pPr>
              <w:pStyle w:val="user4"/>
              <w:spacing w:before="120" w:after="120"/>
              <w:jc w:val="right"/>
              <w:rPr>
                <w:rFonts w:ascii="Times New Roman" w:hAnsi="Times New Roman"/>
                <w:sz w:val="22"/>
                <w:szCs w:val="22"/>
              </w:rPr>
            </w:pPr>
            <w:r>
              <w:rPr>
                <w:sz w:val="22"/>
                <w:szCs w:val="22"/>
              </w:rPr>
              <w:t>Итого:</w:t>
            </w:r>
          </w:p>
        </w:tc>
        <w:tc>
          <w:tcPr>
            <w:tcW w:w="1815" w:type="dxa"/>
            <w:tcBorders>
              <w:left w:val="single" w:sz="4" w:space="0" w:color="000000"/>
              <w:bottom w:val="single" w:sz="4" w:space="0" w:color="000000"/>
            </w:tcBorders>
          </w:tcPr>
          <w:p>
            <w:pPr>
              <w:pStyle w:val="user4"/>
              <w:spacing w:before="120" w:after="120"/>
              <w:jc w:val="right"/>
              <w:rPr>
                <w:rFonts w:ascii="Times New Roman" w:hAnsi="Times New Roman"/>
                <w:sz w:val="22"/>
                <w:szCs w:val="22"/>
              </w:rPr>
            </w:pPr>
            <w:r>
              <w:rPr>
                <w:sz w:val="22"/>
                <w:szCs w:val="22"/>
              </w:rPr>
            </w:r>
          </w:p>
        </w:tc>
        <w:tc>
          <w:tcPr>
            <w:tcW w:w="1305" w:type="dxa"/>
            <w:tcBorders>
              <w:left w:val="single" w:sz="4" w:space="0" w:color="000000"/>
              <w:bottom w:val="single" w:sz="4" w:space="0" w:color="000000"/>
            </w:tcBorders>
          </w:tcPr>
          <w:p>
            <w:pPr>
              <w:pStyle w:val="user4"/>
              <w:widowControl w:val="false"/>
              <w:suppressLineNumbers/>
              <w:spacing w:before="120" w:after="120"/>
              <w:rPr/>
            </w:pPr>
            <w:r>
              <w:rPr/>
            </w:r>
          </w:p>
        </w:tc>
        <w:tc>
          <w:tcPr>
            <w:tcW w:w="3429" w:type="dxa"/>
            <w:tcBorders>
              <w:left w:val="single" w:sz="4" w:space="0" w:color="000000"/>
              <w:bottom w:val="single" w:sz="4" w:space="0" w:color="000000"/>
              <w:right w:val="single" w:sz="4" w:space="0" w:color="000000"/>
            </w:tcBorders>
          </w:tcPr>
          <w:p>
            <w:pPr>
              <w:pStyle w:val="user4"/>
              <w:widowControl w:val="false"/>
              <w:suppressLineNumbers/>
              <w:spacing w:before="120" w:after="120"/>
              <w:rPr/>
            </w:pPr>
            <w:r>
              <w:rPr/>
            </w:r>
          </w:p>
        </w:tc>
      </w:tr>
    </w:tbl>
    <w:p>
      <w:pPr>
        <w:pStyle w:val="NoSpacing"/>
        <w:rPr>
          <w:sz w:val="24"/>
          <w:szCs w:val="24"/>
        </w:rPr>
      </w:pPr>
      <w:r>
        <w:rPr>
          <w:sz w:val="24"/>
          <w:szCs w:val="24"/>
        </w:rPr>
      </w:r>
    </w:p>
    <w:p>
      <w:pPr>
        <w:pStyle w:val="Heading2"/>
        <w:numPr>
          <w:ilvl w:val="0"/>
          <w:numId w:val="0"/>
        </w:numPr>
        <w:spacing w:lineRule="auto" w:line="240" w:before="0" w:after="0"/>
        <w:ind w:hanging="0" w:left="0"/>
        <w:rPr>
          <w:sz w:val="24"/>
          <w:szCs w:val="24"/>
        </w:rPr>
      </w:pPr>
      <w:r>
        <w:rPr/>
        <w:t>Цена товара (цена Контракта) составляет  _________</w:t>
      </w:r>
    </w:p>
    <w:p>
      <w:pPr>
        <w:pStyle w:val="Normal"/>
        <w:numPr>
          <w:ilvl w:val="0"/>
          <w:numId w:val="0"/>
        </w:numPr>
        <w:spacing w:lineRule="auto" w:line="240" w:before="0" w:after="0"/>
        <w:ind w:hanging="0" w:left="0"/>
        <w:rPr>
          <w:sz w:val="24"/>
          <w:szCs w:val="24"/>
        </w:rPr>
      </w:pPr>
      <w:r>
        <w:rPr/>
      </w:r>
    </w:p>
    <w:p>
      <w:pPr>
        <w:pStyle w:val="Normal"/>
        <w:numPr>
          <w:ilvl w:val="0"/>
          <w:numId w:val="0"/>
        </w:numPr>
        <w:spacing w:lineRule="auto" w:line="240" w:before="0" w:after="0"/>
        <w:ind w:hanging="0" w:left="0"/>
        <w:rPr>
          <w:sz w:val="24"/>
          <w:szCs w:val="24"/>
        </w:rPr>
      </w:pPr>
      <w:r>
        <w:rPr/>
      </w:r>
    </w:p>
    <w:tbl>
      <w:tblPr>
        <w:tblpPr w:vertAnchor="text" w:horzAnchor="margin" w:leftFromText="180" w:rightFromText="180" w:tblpX="-3" w:tblpY="-58"/>
        <w:tblW w:w="5000" w:type="pct"/>
        <w:jc w:val="left"/>
        <w:tblInd w:w="108" w:type="dxa"/>
        <w:tblLayout w:type="fixed"/>
        <w:tblCellMar>
          <w:top w:w="0" w:type="dxa"/>
          <w:left w:w="108" w:type="dxa"/>
          <w:bottom w:w="0" w:type="dxa"/>
          <w:right w:w="108" w:type="dxa"/>
        </w:tblCellMar>
        <w:tblLook w:val="04a0"/>
      </w:tblPr>
      <w:tblGrid>
        <w:gridCol w:w="7441"/>
        <w:gridCol w:w="7441"/>
      </w:tblGrid>
      <w:tr>
        <w:trPr/>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Заказчик</w:t>
            </w:r>
          </w:p>
        </w:tc>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Поставщик</w:t>
            </w:r>
          </w:p>
        </w:tc>
      </w:tr>
      <w:tr>
        <w:trPr>
          <w:trHeight w:val="1290" w:hRule="atLeast"/>
        </w:trPr>
        <w:tc>
          <w:tcPr>
            <w:tcW w:w="7441" w:type="dxa"/>
            <w:tcBorders>
              <w:top w:val="single" w:sz="6" w:space="0" w:color="000000"/>
              <w:left w:val="single" w:sz="6" w:space="0" w:color="000000"/>
              <w:bottom w:val="single" w:sz="6" w:space="0" w:color="000000"/>
              <w:right w:val="single" w:sz="6" w:space="0" w:color="000000"/>
            </w:tcBorders>
          </w:tcPr>
          <w:p>
            <w:pPr>
              <w:pStyle w:val="Normalunindented"/>
              <w:keepNext w:val="true"/>
              <w:spacing w:lineRule="auto" w:line="240" w:before="0" w:after="0"/>
              <w:jc w:val="left"/>
              <w:rPr>
                <w:sz w:val="24"/>
                <w:szCs w:val="24"/>
              </w:rPr>
            </w:pPr>
            <w:r>
              <w:rPr>
                <w:color w:val="000000"/>
                <w:sz w:val="24"/>
                <w:szCs w:val="24"/>
                <w:shd w:fill="FFFFFF" w:val="clear"/>
              </w:rPr>
              <w:t>Главный врач</w:t>
            </w:r>
          </w:p>
          <w:p>
            <w:pPr>
              <w:pStyle w:val="Normalunindented"/>
              <w:keepNext w:val="true"/>
              <w:spacing w:lineRule="auto" w:line="240" w:before="0" w:after="0"/>
              <w:jc w:val="left"/>
              <w:rPr>
                <w:sz w:val="24"/>
                <w:szCs w:val="24"/>
              </w:rPr>
            </w:pPr>
            <w:r>
              <w:rPr>
                <w:sz w:val="24"/>
                <w:szCs w:val="24"/>
              </w:rPr>
              <w:t>ФГБУ санаторий «Лесное» Минздрава России</w:t>
            </w:r>
          </w:p>
          <w:p>
            <w:pPr>
              <w:pStyle w:val="Normalunindented"/>
              <w:keepNext w:val="true"/>
              <w:spacing w:lineRule="auto" w:line="240" w:before="0" w:after="0"/>
              <w:jc w:val="left"/>
              <w:rPr>
                <w:sz w:val="24"/>
                <w:szCs w:val="24"/>
              </w:rPr>
            </w:pPr>
            <w:r>
              <w:rPr>
                <w:sz w:val="24"/>
                <w:szCs w:val="24"/>
              </w:rPr>
            </w:r>
          </w:p>
          <w:p>
            <w:pPr>
              <w:pStyle w:val="Normalunindented"/>
              <w:keepNext w:val="true"/>
              <w:spacing w:lineRule="auto" w:line="240" w:before="0" w:after="0"/>
              <w:jc w:val="left"/>
              <w:rPr>
                <w:sz w:val="24"/>
                <w:szCs w:val="24"/>
              </w:rPr>
            </w:pPr>
            <w:r>
              <w:rPr>
                <w:sz w:val="24"/>
                <w:szCs w:val="24"/>
                <w:u w:val="single"/>
              </w:rPr>
              <w:t xml:space="preserve">                                   </w:t>
            </w:r>
            <w:r>
              <w:rPr>
                <w:sz w:val="24"/>
                <w:szCs w:val="24"/>
              </w:rPr>
              <w:t xml:space="preserve"> </w:t>
            </w:r>
            <w:r>
              <w:rPr>
                <w:sz w:val="24"/>
                <w:szCs w:val="24"/>
              </w:rPr>
              <w:t>С.</w:t>
            </w:r>
            <w:r>
              <w:rPr>
                <w:color w:val="000000"/>
                <w:sz w:val="24"/>
                <w:szCs w:val="24"/>
                <w:shd w:fill="FFFFFF" w:val="clear"/>
              </w:rPr>
              <w:t xml:space="preserve">В. Солдатова </w:t>
            </w:r>
            <w:r>
              <w:rPr>
                <w:sz w:val="24"/>
                <w:szCs w:val="24"/>
              </w:rPr>
              <w:br/>
              <w:t>М.П.</w:t>
            </w:r>
          </w:p>
        </w:tc>
        <w:tc>
          <w:tcPr>
            <w:tcW w:w="744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ind w:hanging="0"/>
              <w:rPr>
                <w:sz w:val="24"/>
                <w:szCs w:val="24"/>
              </w:rPr>
            </w:pPr>
            <w:r>
              <w:rPr>
                <w:sz w:val="24"/>
                <w:szCs w:val="24"/>
              </w:rPr>
            </w:r>
          </w:p>
          <w:p>
            <w:pPr>
              <w:pStyle w:val="Normal"/>
              <w:spacing w:lineRule="auto" w:line="240" w:before="0" w:after="0"/>
              <w:ind w:hanging="0"/>
              <w:rPr>
                <w:sz w:val="24"/>
                <w:szCs w:val="24"/>
              </w:rPr>
            </w:pPr>
            <w:r>
              <w:rPr>
                <w:sz w:val="24"/>
                <w:szCs w:val="24"/>
              </w:rPr>
            </w:r>
          </w:p>
          <w:p>
            <w:pPr>
              <w:pStyle w:val="Normal"/>
              <w:ind w:hanging="0"/>
              <w:rPr>
                <w:color w:val="000000"/>
                <w:sz w:val="24"/>
                <w:szCs w:val="24"/>
              </w:rPr>
            </w:pPr>
            <w:r>
              <w:rPr>
                <w:sz w:val="24"/>
                <w:szCs w:val="24"/>
              </w:rPr>
              <w:t>______________________ /__________</w:t>
            </w:r>
            <w:r>
              <w:rPr>
                <w:color w:val="000000"/>
                <w:sz w:val="24"/>
                <w:szCs w:val="24"/>
              </w:rPr>
              <w:t xml:space="preserve"> </w:t>
            </w:r>
            <w:r>
              <w:rPr>
                <w:sz w:val="24"/>
                <w:szCs w:val="24"/>
              </w:rPr>
              <w:t>/</w:t>
            </w:r>
          </w:p>
          <w:p>
            <w:pPr>
              <w:pStyle w:val="Normalunindented"/>
              <w:keepNext w:val="true"/>
              <w:spacing w:lineRule="auto" w:line="240" w:before="0" w:after="0"/>
              <w:jc w:val="left"/>
              <w:rPr>
                <w:sz w:val="24"/>
                <w:szCs w:val="24"/>
              </w:rPr>
            </w:pPr>
            <w:r>
              <w:rPr>
                <w:sz w:val="24"/>
                <w:szCs w:val="24"/>
              </w:rPr>
              <w:t>М.П.</w:t>
            </w:r>
          </w:p>
        </w:tc>
      </w:tr>
    </w:tbl>
    <w:p>
      <w:pPr>
        <w:pStyle w:val="Normal"/>
        <w:numPr>
          <w:ilvl w:val="0"/>
          <w:numId w:val="0"/>
        </w:numPr>
        <w:spacing w:lineRule="auto" w:line="240" w:before="0" w:after="0"/>
        <w:ind w:hanging="0" w:left="0"/>
        <w:rPr>
          <w:sz w:val="24"/>
          <w:szCs w:val="24"/>
        </w:rPr>
      </w:pPr>
      <w:r>
        <w:rPr>
          <w:sz w:val="24"/>
          <w:szCs w:val="24"/>
        </w:rPr>
      </w:r>
      <w:r>
        <w:br w:type="page"/>
      </w:r>
    </w:p>
    <w:p>
      <w:pPr>
        <w:pStyle w:val="Normal"/>
        <w:keepNext w:val="true"/>
        <w:keepLines/>
        <w:spacing w:lineRule="auto" w:line="240" w:before="0" w:after="0"/>
        <w:ind w:hanging="0"/>
        <w:jc w:val="right"/>
        <w:rPr>
          <w:sz w:val="24"/>
          <w:szCs w:val="24"/>
        </w:rPr>
      </w:pPr>
      <w:r>
        <w:rPr>
          <w:sz w:val="24"/>
          <w:szCs w:val="24"/>
        </w:rPr>
        <w:t xml:space="preserve">Приложение №2   </w:t>
        <w:br/>
        <w:t xml:space="preserve">к Контракту  № ___________   </w:t>
        <w:br/>
        <w:t xml:space="preserve"> от "___" _______ 2026 г.</w:t>
      </w:r>
    </w:p>
    <w:p>
      <w:pPr>
        <w:pStyle w:val="Normal"/>
        <w:spacing w:lineRule="auto" w:line="240" w:before="0" w:after="0"/>
        <w:jc w:val="center"/>
        <w:rPr>
          <w:b/>
          <w:sz w:val="20"/>
          <w:szCs w:val="20"/>
        </w:rPr>
      </w:pPr>
      <w:r>
        <w:rPr>
          <w:b/>
          <w:sz w:val="20"/>
          <w:szCs w:val="20"/>
        </w:rPr>
        <w:t xml:space="preserve">ТЕХНИЧЕСКОЕ ЗАДАНИЕ </w:t>
      </w:r>
    </w:p>
    <w:p>
      <w:pPr>
        <w:pStyle w:val="Normal"/>
        <w:spacing w:lineRule="auto" w:line="240" w:before="0" w:after="0"/>
        <w:jc w:val="center"/>
        <w:rPr>
          <w:b/>
          <w:sz w:val="20"/>
          <w:szCs w:val="20"/>
        </w:rPr>
      </w:pPr>
      <w:r>
        <w:rPr>
          <w:b/>
          <w:sz w:val="20"/>
          <w:szCs w:val="20"/>
        </w:rPr>
      </w:r>
    </w:p>
    <w:p>
      <w:pPr>
        <w:pStyle w:val="ListParagraph"/>
        <w:numPr>
          <w:ilvl w:val="0"/>
          <w:numId w:val="2"/>
        </w:numPr>
        <w:suppressAutoHyphens w:val="false"/>
        <w:spacing w:lineRule="auto" w:line="276" w:before="0" w:after="200"/>
        <w:contextualSpacing/>
        <w:jc w:val="both"/>
        <w:rPr>
          <w:rFonts w:eastAsia="Calibri"/>
          <w:b/>
        </w:rPr>
      </w:pPr>
      <w:r>
        <w:rPr>
          <w:rFonts w:eastAsia="Calibri"/>
          <w:b/>
        </w:rPr>
        <w:t>Заказчик:</w:t>
      </w:r>
      <w:r>
        <w:rPr>
          <w:rFonts w:eastAsia="Calibri"/>
          <w:color w:themeColor="text1" w:val="000000"/>
        </w:rPr>
        <w:t xml:space="preserve"> Федеральное государственное бюджетное учреждение санаторий «Лесное» Министерства здравоохранения Российской Федерации.</w:t>
      </w:r>
    </w:p>
    <w:p>
      <w:pPr>
        <w:pStyle w:val="ListParagraph"/>
        <w:numPr>
          <w:ilvl w:val="0"/>
          <w:numId w:val="2"/>
        </w:numPr>
        <w:suppressAutoHyphens w:val="false"/>
        <w:spacing w:lineRule="auto" w:line="276" w:before="0" w:after="200"/>
        <w:contextualSpacing/>
        <w:jc w:val="both"/>
        <w:rPr>
          <w:rFonts w:eastAsia="Calibri"/>
          <w:color w:themeColor="text1" w:val="000000"/>
        </w:rPr>
      </w:pPr>
      <w:r>
        <w:rPr>
          <w:rFonts w:eastAsia="Calibri"/>
          <w:b/>
        </w:rPr>
        <w:t>Предмет закупки</w:t>
      </w:r>
      <w:r>
        <w:rPr>
          <w:rFonts w:eastAsia="Calibri"/>
          <w:color w:themeColor="text1" w:val="000000"/>
        </w:rPr>
        <w:t xml:space="preserve">:  Поставка лабораторных реактивов. </w:t>
      </w:r>
    </w:p>
    <w:p>
      <w:pPr>
        <w:pStyle w:val="ListParagraph"/>
        <w:numPr>
          <w:ilvl w:val="0"/>
          <w:numId w:val="2"/>
        </w:numPr>
        <w:suppressAutoHyphens w:val="false"/>
        <w:spacing w:lineRule="auto" w:line="276" w:before="0" w:after="200"/>
        <w:contextualSpacing/>
        <w:jc w:val="both"/>
        <w:rPr>
          <w:rFonts w:eastAsia="Calibri"/>
          <w:color w:themeColor="text1" w:val="000000"/>
        </w:rPr>
      </w:pPr>
      <w:r>
        <w:rPr>
          <w:rFonts w:eastAsia="Calibri"/>
          <w:b/>
        </w:rPr>
        <w:t>Наименование, характеристики и количество товара:</w:t>
      </w:r>
    </w:p>
    <w:tbl>
      <w:tblPr>
        <w:tblStyle w:val="TableStyle0"/>
        <w:tblW w:w="15588" w:type="dxa"/>
        <w:jc w:val="left"/>
        <w:tblInd w:w="-403" w:type="dxa"/>
        <w:tblLayout w:type="fixed"/>
        <w:tblCellMar>
          <w:top w:w="0" w:type="dxa"/>
          <w:left w:w="7" w:type="dxa"/>
          <w:bottom w:w="0" w:type="dxa"/>
          <w:right w:w="7" w:type="dxa"/>
        </w:tblCellMar>
        <w:tblLook w:val="04a0"/>
      </w:tblPr>
      <w:tblGrid>
        <w:gridCol w:w="425"/>
        <w:gridCol w:w="1135"/>
        <w:gridCol w:w="1512"/>
        <w:gridCol w:w="330"/>
        <w:gridCol w:w="3121"/>
        <w:gridCol w:w="1275"/>
        <w:gridCol w:w="2977"/>
        <w:gridCol w:w="2619"/>
        <w:gridCol w:w="1074"/>
        <w:gridCol w:w="1118"/>
      </w:tblGrid>
      <w:tr>
        <w:trPr/>
        <w:tc>
          <w:tcPr>
            <w:tcW w:w="425"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 xml:space="preserve">№ </w:t>
            </w:r>
            <w:r>
              <w:rPr>
                <w:kern w:val="0"/>
                <w:sz w:val="20"/>
                <w:szCs w:val="20"/>
                <w:lang w:val="ru-RU" w:bidi="ar-SA"/>
              </w:rPr>
              <w:t>п/п</w:t>
            </w:r>
          </w:p>
          <w:p>
            <w:pPr>
              <w:pStyle w:val="Normal"/>
              <w:suppressAutoHyphens w:val="true"/>
              <w:spacing w:before="0" w:after="0"/>
              <w:jc w:val="center"/>
              <w:rPr>
                <w:sz w:val="20"/>
                <w:szCs w:val="20"/>
              </w:rPr>
            </w:pPr>
            <w:r>
              <w:rPr>
                <w:sz w:val="20"/>
                <w:szCs w:val="20"/>
              </w:rPr>
            </w:r>
          </w:p>
        </w:tc>
        <w:tc>
          <w:tcPr>
            <w:tcW w:w="1135"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Код ОКПД 2/КТРУ</w:t>
            </w:r>
          </w:p>
          <w:p>
            <w:pPr>
              <w:pStyle w:val="Normal"/>
              <w:suppressAutoHyphens w:val="true"/>
              <w:spacing w:before="0" w:after="0"/>
              <w:jc w:val="center"/>
              <w:rPr>
                <w:sz w:val="20"/>
                <w:szCs w:val="20"/>
              </w:rPr>
            </w:pPr>
            <w:r>
              <w:rPr>
                <w:sz w:val="20"/>
                <w:szCs w:val="20"/>
              </w:rPr>
            </w:r>
          </w:p>
        </w:tc>
        <w:tc>
          <w:tcPr>
            <w:tcW w:w="1512"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Наименование товара</w:t>
            </w:r>
          </w:p>
          <w:p>
            <w:pPr>
              <w:pStyle w:val="Normal"/>
              <w:suppressAutoHyphens w:val="true"/>
              <w:spacing w:before="0" w:after="0"/>
              <w:jc w:val="center"/>
              <w:rPr>
                <w:sz w:val="20"/>
                <w:szCs w:val="20"/>
              </w:rPr>
            </w:pPr>
            <w:r>
              <w:rPr>
                <w:sz w:val="20"/>
                <w:szCs w:val="20"/>
              </w:rPr>
            </w:r>
          </w:p>
        </w:tc>
        <w:tc>
          <w:tcPr>
            <w:tcW w:w="10322" w:type="dxa"/>
            <w:gridSpan w:val="5"/>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Требования к функциональным, техническим и качественным характеристикам, эксплуатационным характеристикам (при необходимости) товара</w:t>
            </w:r>
          </w:p>
        </w:tc>
        <w:tc>
          <w:tcPr>
            <w:tcW w:w="107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Единица измерения по ОКЕИ</w:t>
            </w:r>
          </w:p>
        </w:tc>
        <w:tc>
          <w:tcPr>
            <w:tcW w:w="1118" w:type="dxa"/>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kern w:val="0"/>
                <w:sz w:val="20"/>
                <w:szCs w:val="20"/>
                <w:lang w:val="ru-RU" w:bidi="ar-SA"/>
              </w:rPr>
              <w:t>Количество товара</w:t>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suppressAutoHyphens w:val="true"/>
              <w:spacing w:before="0" w:after="0"/>
              <w:jc w:val="center"/>
              <w:rPr>
                <w:sz w:val="20"/>
                <w:szCs w:val="20"/>
              </w:rPr>
            </w:pPr>
            <w:r>
              <w:rPr>
                <w:sz w:val="20"/>
                <w:szCs w:val="20"/>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20"/>
                <w:szCs w:val="20"/>
              </w:rPr>
            </w:pPr>
            <w:r>
              <w:rPr>
                <w:sz w:val="20"/>
                <w:szCs w:val="20"/>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20"/>
                <w:szCs w:val="20"/>
              </w:rPr>
            </w:pPr>
            <w:r>
              <w:rPr>
                <w:sz w:val="20"/>
                <w:szCs w:val="20"/>
              </w:rPr>
            </w:r>
          </w:p>
        </w:tc>
        <w:tc>
          <w:tcPr>
            <w:tcW w:w="330"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 xml:space="preserve">№ </w:t>
            </w:r>
            <w:r>
              <w:rPr>
                <w:kern w:val="0"/>
                <w:sz w:val="20"/>
                <w:szCs w:val="20"/>
                <w:lang w:val="ru-RU" w:bidi="ar-SA"/>
              </w:rPr>
              <w:t>п/п</w:t>
            </w:r>
          </w:p>
        </w:tc>
        <w:tc>
          <w:tcPr>
            <w:tcW w:w="312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Наименование показателя</w:t>
            </w:r>
          </w:p>
        </w:tc>
        <w:tc>
          <w:tcPr>
            <w:tcW w:w="127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Единица измерения показателя</w:t>
            </w:r>
          </w:p>
        </w:tc>
        <w:tc>
          <w:tcPr>
            <w:tcW w:w="2977"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Значения показателей</w:t>
            </w:r>
          </w:p>
        </w:tc>
        <w:tc>
          <w:tcPr>
            <w:tcW w:w="26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Обоснование необходимости использования иной и дополнительной информации в соответствии с Постановлением Правительства РФ от 08.02.2017г. № 145.</w:t>
            </w:r>
          </w:p>
        </w:tc>
        <w:tc>
          <w:tcPr>
            <w:tcW w:w="1074" w:type="dxa"/>
            <w:tcBorders>
              <w:top w:val="single" w:sz="6" w:space="0" w:color="000000"/>
              <w:left w:val="single" w:sz="6" w:space="0" w:color="000000"/>
              <w:bottom w:val="single" w:sz="6" w:space="0" w:color="000000"/>
              <w:right w:val="single" w:sz="6" w:space="0" w:color="000000"/>
            </w:tcBorders>
            <w:shd w:color="auto" w:fill="auto" w:val="clear"/>
            <w:vAlign w:val="bottom"/>
          </w:tcPr>
          <w:p>
            <w:pPr>
              <w:pStyle w:val="Normal"/>
              <w:suppressAutoHyphens w:val="true"/>
              <w:spacing w:before="0" w:after="0"/>
              <w:jc w:val="center"/>
              <w:rPr>
                <w:sz w:val="20"/>
                <w:szCs w:val="20"/>
              </w:rPr>
            </w:pPr>
            <w:r>
              <w:rPr>
                <w:kern w:val="0"/>
                <w:sz w:val="20"/>
                <w:szCs w:val="20"/>
                <w:lang w:val="ru-RU" w:bidi="ar-SA"/>
              </w:rPr>
              <w:t>Единица измерения по ОКЕИ</w:t>
            </w:r>
          </w:p>
        </w:tc>
        <w:tc>
          <w:tcPr>
            <w:tcW w:w="1118" w:type="dxa"/>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1</w:t>
            </w:r>
          </w:p>
        </w:tc>
        <w:tc>
          <w:tcPr>
            <w:tcW w:w="113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20"/>
                <w:szCs w:val="20"/>
              </w:rPr>
            </w:pPr>
            <w:r>
              <w:rPr>
                <w:kern w:val="0"/>
                <w:sz w:val="20"/>
                <w:szCs w:val="20"/>
                <w:lang w:val="ru-RU" w:bidi="ar-SA"/>
              </w:rPr>
              <w:t>2</w:t>
            </w:r>
          </w:p>
        </w:tc>
        <w:tc>
          <w:tcPr>
            <w:tcW w:w="1512"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20"/>
                <w:szCs w:val="20"/>
              </w:rPr>
            </w:pPr>
            <w:r>
              <w:rPr>
                <w:kern w:val="0"/>
                <w:sz w:val="20"/>
                <w:szCs w:val="20"/>
                <w:lang w:val="ru-RU" w:bidi="ar-SA"/>
              </w:rPr>
              <w:t>3</w:t>
            </w:r>
          </w:p>
        </w:tc>
        <w:tc>
          <w:tcPr>
            <w:tcW w:w="330"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4</w:t>
            </w:r>
          </w:p>
        </w:tc>
        <w:tc>
          <w:tcPr>
            <w:tcW w:w="3121"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5</w:t>
            </w:r>
          </w:p>
        </w:tc>
        <w:tc>
          <w:tcPr>
            <w:tcW w:w="1275"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6</w:t>
            </w:r>
          </w:p>
        </w:tc>
        <w:tc>
          <w:tcPr>
            <w:tcW w:w="2977"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7</w:t>
            </w:r>
          </w:p>
        </w:tc>
        <w:tc>
          <w:tcPr>
            <w:tcW w:w="261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8</w:t>
            </w:r>
          </w:p>
        </w:tc>
        <w:tc>
          <w:tcPr>
            <w:tcW w:w="107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suppressAutoHyphens w:val="true"/>
              <w:spacing w:before="0" w:after="0"/>
              <w:jc w:val="center"/>
              <w:rPr>
                <w:sz w:val="20"/>
                <w:szCs w:val="20"/>
              </w:rPr>
            </w:pPr>
            <w:r>
              <w:rPr>
                <w:kern w:val="0"/>
                <w:sz w:val="20"/>
                <w:szCs w:val="20"/>
                <w:lang w:val="ru-RU" w:bidi="ar-SA"/>
              </w:rPr>
              <w:t>9</w:t>
            </w:r>
          </w:p>
        </w:tc>
        <w:tc>
          <w:tcPr>
            <w:tcW w:w="1118" w:type="dxa"/>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1</w:t>
            </w:r>
          </w:p>
        </w:tc>
        <w:tc>
          <w:tcPr>
            <w:tcW w:w="113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hyperlink r:id="rId5" w:tgtFrame="_blank">
              <w:r>
                <w:rPr>
                  <w:rStyle w:val="Hyperlink"/>
                  <w:color w:val="000000"/>
                  <w:kern w:val="0"/>
                  <w:sz w:val="18"/>
                  <w:szCs w:val="18"/>
                  <w:u w:val="none"/>
                  <w:shd w:fill="FFFFFF" w:val="clear"/>
                  <w:lang w:val="ru-RU" w:bidi="ar-SA"/>
                </w:rPr>
                <w:t>21.20.23.110-00000099</w:t>
              </w:r>
            </w:hyperlink>
          </w:p>
        </w:tc>
        <w:tc>
          <w:tcPr>
            <w:tcW w:w="1512"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kern w:val="0"/>
                <w:sz w:val="18"/>
                <w:szCs w:val="18"/>
                <w:shd w:fill="FFFFFF" w:val="clear"/>
                <w:lang w:val="ru-RU" w:bidi="ar-SA"/>
              </w:rPr>
              <w:t>Множественные аналиты мочи ИВД, набор, колориметрический экспресс-анализ, клинический</w:t>
            </w:r>
          </w:p>
          <w:p>
            <w:pPr>
              <w:pStyle w:val="Normal"/>
              <w:suppressAutoHyphens w:val="true"/>
              <w:spacing w:before="0" w:after="0"/>
              <w:jc w:val="center"/>
              <w:rPr>
                <w:sz w:val="18"/>
                <w:szCs w:val="18"/>
                <w:shd w:fill="FFFFFF" w:val="clear"/>
              </w:rPr>
            </w:pPr>
            <w:r>
              <w:rPr>
                <w:sz w:val="18"/>
                <w:szCs w:val="18"/>
                <w:shd w:fill="FFFFFF" w:val="clear"/>
              </w:rPr>
            </w:r>
          </w:p>
          <w:p>
            <w:pPr>
              <w:pStyle w:val="Normal"/>
              <w:suppressAutoHyphens w:val="true"/>
              <w:spacing w:before="0" w:after="0"/>
              <w:jc w:val="center"/>
              <w:rPr>
                <w:sz w:val="18"/>
                <w:szCs w:val="18"/>
                <w:shd w:fill="FFFFFF" w:val="clear"/>
              </w:rPr>
            </w:pPr>
            <w:r>
              <w:rPr>
                <w:kern w:val="0"/>
                <w:sz w:val="18"/>
                <w:szCs w:val="18"/>
                <w:shd w:fill="FFFFFF" w:val="clear"/>
                <w:lang w:val="ru-RU" w:bidi="ar-SA"/>
              </w:rPr>
              <w:t>(Тест-полоски для анализа мочи Multistix 10 SG)</w:t>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1</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both"/>
              <w:rPr>
                <w:sz w:val="18"/>
                <w:szCs w:val="18"/>
                <w:shd w:fill="FFFFFF" w:val="clear"/>
              </w:rPr>
            </w:pPr>
            <w:r>
              <w:rPr>
                <w:kern w:val="0"/>
                <w:sz w:val="18"/>
                <w:szCs w:val="18"/>
                <w:lang w:val="ru-RU" w:bidi="ar-SA"/>
              </w:rPr>
              <w:t xml:space="preserve"> </w:t>
            </w:r>
            <w:r>
              <w:rPr>
                <w:kern w:val="0"/>
                <w:sz w:val="18"/>
                <w:szCs w:val="18"/>
                <w:lang w:val="ru-RU" w:bidi="ar-SA"/>
              </w:rPr>
              <w:t>Описание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rPr>
            </w:pPr>
            <w:r>
              <w:rPr>
                <w:color w:themeColor="text1" w:val="000000"/>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334059"/>
                <w:sz w:val="18"/>
                <w:szCs w:val="18"/>
              </w:rPr>
            </w:pPr>
            <w:r>
              <w:rPr>
                <w:kern w:val="0"/>
                <w:sz w:val="18"/>
                <w:szCs w:val="18"/>
                <w:lang w:val="ru-RU" w:bidi="ar-SA"/>
              </w:rPr>
              <w:t>Набор реагентов и других связанных с ними материалов, предназначенный для качественного и/или полуколичественного определения множества аналитов мочи за короткое время по сравнению со стандартными лабораторными процедурами исследований методом колориметрического экспресс-анализа. Этот экспресс-тест обычно используется в лабораторных анализах или анализах вблизи пациента для скрининга немикробных маркеров, связанных с инфекцией мочевыводящих путей (ИМП) [например, лейкоцитов, крови, нитритов, белков]. Не предназначен</w:t>
            </w:r>
            <w:r>
              <w:rPr>
                <w:color w:val="334059"/>
                <w:kern w:val="0"/>
                <w:sz w:val="18"/>
                <w:szCs w:val="18"/>
                <w:lang w:val="ru-RU" w:bidi="ar-SA"/>
              </w:rPr>
              <w:t xml:space="preserve"> для самотестирования.</w:t>
            </w:r>
          </w:p>
          <w:p>
            <w:pPr>
              <w:pStyle w:val="Normal"/>
              <w:suppressAutoHyphens w:val="true"/>
              <w:spacing w:before="0" w:after="0"/>
              <w:jc w:val="center"/>
              <w:rPr>
                <w:rFonts w:eastAsia="MS Mincho"/>
                <w:bCs/>
                <w:color w:themeColor="text1" w:val="000000"/>
                <w:sz w:val="18"/>
                <w:szCs w:val="18"/>
              </w:rPr>
            </w:pPr>
            <w:r>
              <w:rPr>
                <w:rFonts w:eastAsia="MS Mincho"/>
                <w:bCs/>
                <w:color w:themeColor="text1" w:val="000000"/>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rPr>
            </w:pPr>
            <w:r>
              <w:rPr>
                <w:color w:themeColor="text1" w:val="000000"/>
                <w:kern w:val="0"/>
                <w:sz w:val="18"/>
                <w:szCs w:val="18"/>
                <w:lang w:val="ru-RU" w:bidi="ar-SA"/>
              </w:rPr>
              <w:t>Соответствует КТРУ</w:t>
            </w:r>
          </w:p>
        </w:tc>
        <w:tc>
          <w:tcPr>
            <w:tcW w:w="1074"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kern w:val="0"/>
                <w:sz w:val="20"/>
                <w:szCs w:val="20"/>
                <w:lang w:val="ru-RU" w:bidi="ar-SA"/>
              </w:rPr>
              <w:t>набор</w:t>
            </w:r>
          </w:p>
        </w:tc>
        <w:tc>
          <w:tcPr>
            <w:tcW w:w="1118" w:type="dxa"/>
            <w:vMerge w:val="restart"/>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kern w:val="0"/>
                <w:sz w:val="20"/>
                <w:szCs w:val="20"/>
                <w:lang w:val="ru-RU" w:bidi="ar-SA"/>
              </w:rPr>
              <w:t>5</w:t>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2</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Количество выполняемых исследований</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шт</w:t>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rFonts w:eastAsia="MS Mincho"/>
                <w:bCs/>
                <w:kern w:val="0"/>
                <w:sz w:val="18"/>
                <w:szCs w:val="18"/>
                <w:lang w:val="ru-RU" w:bidi="ar-SA"/>
              </w:rPr>
              <w:t>100</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rPr>
            </w:pPr>
            <w:r>
              <w:rPr>
                <w:color w:themeColor="text1" w:val="000000"/>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3</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Метод</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kern w:val="0"/>
                <w:sz w:val="18"/>
                <w:szCs w:val="18"/>
                <w:shd w:fill="FFFFFF" w:val="clear"/>
                <w:lang w:val="ru-RU" w:bidi="ar-SA"/>
              </w:rPr>
              <w:t>Полуколичественный</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rPr>
            </w:pPr>
            <w:r>
              <w:rPr>
                <w:color w:themeColor="text1" w:val="000000"/>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4</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Назначение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Для анализаторов серии Clinitek</w:t>
            </w:r>
          </w:p>
          <w:p>
            <w:pPr>
              <w:pStyle w:val="Normal"/>
              <w:suppressAutoHyphens w:val="true"/>
              <w:spacing w:before="0" w:after="0"/>
              <w:jc w:val="center"/>
              <w:rPr>
                <w:color w:val="334059"/>
                <w:sz w:val="18"/>
                <w:szCs w:val="18"/>
                <w:shd w:fill="FFFFFF" w:val="clear"/>
              </w:rPr>
            </w:pPr>
            <w:r>
              <w:rPr>
                <w:color w:val="334059"/>
                <w:sz w:val="18"/>
                <w:szCs w:val="18"/>
                <w:shd w:fill="FFFFFF" w:val="clear"/>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rPr>
            </w:pPr>
            <w:r>
              <w:rPr>
                <w:color w:themeColor="text1" w:val="000000"/>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shd w:fill="FFFFFF" w:val="clear"/>
              </w:rPr>
            </w:pPr>
            <w:r>
              <w:rPr>
                <w:color w:themeColor="text1" w:val="000000"/>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5</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*Совместимость</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kern w:val="0"/>
                <w:sz w:val="18"/>
                <w:szCs w:val="18"/>
                <w:lang w:val="ru-RU" w:bidi="ar-SA"/>
              </w:rPr>
              <w:t>Для анализатора Клинитек Статус</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Анализатор мочи Клинитек Статус  имеющийся у заказчика</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shd w:fill="FFFFFF" w:val="clear"/>
              </w:rPr>
            </w:pPr>
            <w:r>
              <w:rPr>
                <w:color w:themeColor="text1" w:val="000000"/>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6</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*Определяемые параметры:</w:t>
            </w:r>
          </w:p>
          <w:p>
            <w:pPr>
              <w:pStyle w:val="Normal"/>
              <w:suppressAutoHyphens w:val="true"/>
              <w:spacing w:before="0" w:after="0"/>
              <w:jc w:val="left"/>
              <w:rPr>
                <w:sz w:val="18"/>
                <w:szCs w:val="18"/>
                <w:shd w:fill="FFFFFF" w:val="clear"/>
              </w:rPr>
            </w:pPr>
            <w:r>
              <w:rPr>
                <w:kern w:val="0"/>
                <w:sz w:val="18"/>
                <w:szCs w:val="18"/>
                <w:shd w:fill="FFFFFF" w:val="clear"/>
                <w:lang w:val="ru-RU" w:bidi="ar-SA"/>
              </w:rPr>
              <w:t>(определение белка, крови, лейкоцитов, нитратов, глюкозы, кетонов, кислотности, удельного веса, билирубина,  уробилиногена)</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 xml:space="preserve">≥ </w:t>
            </w:r>
            <w:r>
              <w:rPr>
                <w:color w:val="000000"/>
                <w:kern w:val="0"/>
                <w:sz w:val="18"/>
                <w:szCs w:val="18"/>
                <w:lang w:val="ru-RU" w:bidi="ar-SA"/>
              </w:rPr>
              <w:t>10</w:t>
            </w:r>
          </w:p>
          <w:p>
            <w:pPr>
              <w:pStyle w:val="Normal"/>
              <w:suppressAutoHyphens w:val="true"/>
              <w:spacing w:before="0" w:after="0"/>
              <w:jc w:val="center"/>
              <w:rPr>
                <w:sz w:val="18"/>
                <w:szCs w:val="18"/>
              </w:rPr>
            </w:pPr>
            <w:r>
              <w:rPr>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Экономическая составляющая - большое число исследований единовременно  выполняется с помощью одного теста реагента или одной тест-полоски.</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themeColor="text1" w:val="000000"/>
                <w:sz w:val="18"/>
                <w:szCs w:val="18"/>
                <w:shd w:fill="FFFFFF" w:val="clear"/>
              </w:rPr>
            </w:pPr>
            <w:r>
              <w:rPr>
                <w:color w:themeColor="text1" w:val="000000"/>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7</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color w:val="FF0000"/>
                <w:sz w:val="18"/>
                <w:szCs w:val="18"/>
              </w:rPr>
            </w:pPr>
            <w:r>
              <w:rPr>
                <w:rFonts w:eastAsia="MS Mincho"/>
                <w:bCs/>
                <w:color w:val="000000"/>
                <w:kern w:val="0"/>
                <w:sz w:val="18"/>
                <w:szCs w:val="18"/>
                <w:lang w:val="ru-RU" w:bidi="ar-SA"/>
              </w:rPr>
              <w:t>*Остаточный срок годности  на момент поставки</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color w:val="FF0000"/>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rFonts w:eastAsia="MS Mincho"/>
                <w:bCs/>
                <w:kern w:val="0"/>
                <w:sz w:val="18"/>
                <w:szCs w:val="18"/>
                <w:lang w:val="ru-RU" w:bidi="ar-SA"/>
              </w:rPr>
              <w:t>не менее 8 месяцев</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kern w:val="0"/>
                <w:sz w:val="18"/>
                <w:szCs w:val="18"/>
                <w:lang w:val="ru-RU" w:bidi="ar-SA"/>
              </w:rPr>
              <w:t>Для обеспечения запаса на складе</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2</w:t>
            </w:r>
          </w:p>
        </w:tc>
        <w:tc>
          <w:tcPr>
            <w:tcW w:w="113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hyperlink r:id="rId6" w:tgtFrame="_blank">
              <w:r>
                <w:rPr>
                  <w:rStyle w:val="Hyperlink"/>
                  <w:color w:val="000000"/>
                  <w:kern w:val="0"/>
                  <w:sz w:val="18"/>
                  <w:szCs w:val="18"/>
                  <w:u w:val="none"/>
                  <w:shd w:fill="FFFFFF" w:val="clear"/>
                  <w:lang w:val="ru-RU" w:bidi="ar-SA"/>
                </w:rPr>
                <w:t>21.20.23.110-00002742</w:t>
              </w:r>
            </w:hyperlink>
          </w:p>
        </w:tc>
        <w:tc>
          <w:tcPr>
            <w:tcW w:w="1512"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kern w:val="0"/>
                <w:sz w:val="18"/>
                <w:szCs w:val="18"/>
                <w:shd w:fill="FFFFFF" w:val="clear"/>
                <w:lang w:val="ru-RU" w:bidi="ar-SA"/>
              </w:rPr>
              <w:t>С-реактивный белок (СРБ) ИВД, калибратор</w:t>
            </w:r>
          </w:p>
          <w:p>
            <w:pPr>
              <w:pStyle w:val="Normal"/>
              <w:suppressAutoHyphens w:val="true"/>
              <w:spacing w:before="0" w:after="0"/>
              <w:jc w:val="center"/>
              <w:rPr>
                <w:sz w:val="18"/>
                <w:szCs w:val="18"/>
                <w:shd w:fill="FFFFFF" w:val="clear"/>
              </w:rPr>
            </w:pPr>
            <w:r>
              <w:rPr>
                <w:kern w:val="0"/>
                <w:sz w:val="18"/>
                <w:szCs w:val="18"/>
                <w:shd w:fill="FFFFFF" w:val="clear"/>
                <w:lang w:val="en-US" w:bidi="ar-SA"/>
              </w:rPr>
              <w:t>(</w:t>
            </w:r>
            <w:r>
              <w:rPr>
                <w:kern w:val="0"/>
                <w:sz w:val="18"/>
                <w:szCs w:val="18"/>
                <w:shd w:fill="FFFFFF" w:val="clear"/>
                <w:lang w:val="ru-RU" w:bidi="ar-SA"/>
              </w:rPr>
              <w:t xml:space="preserve"> Товарный знак </w:t>
            </w:r>
            <w:r>
              <w:rPr>
                <w:kern w:val="0"/>
                <w:sz w:val="18"/>
                <w:szCs w:val="18"/>
                <w:shd w:fill="FFFFFF" w:val="clear"/>
                <w:lang w:val="en-US" w:bidi="ar-SA"/>
              </w:rPr>
              <w:t>Trucal</w:t>
            </w:r>
            <w:r>
              <w:rPr>
                <w:kern w:val="0"/>
                <w:sz w:val="18"/>
                <w:szCs w:val="18"/>
                <w:shd w:fill="FFFFFF" w:val="clear"/>
                <w:lang w:val="ru-RU" w:bidi="ar-SA"/>
              </w:rPr>
              <w:t xml:space="preserve"> )</w:t>
            </w:r>
          </w:p>
          <w:p>
            <w:pPr>
              <w:pStyle w:val="Normal"/>
              <w:suppressAutoHyphens w:val="true"/>
              <w:spacing w:before="0" w:after="0"/>
              <w:jc w:val="center"/>
              <w:rPr>
                <w:sz w:val="18"/>
                <w:szCs w:val="18"/>
                <w:shd w:fill="FFFFFF" w:val="clear"/>
              </w:rPr>
            </w:pPr>
            <w:r>
              <w:rPr>
                <w:sz w:val="18"/>
                <w:szCs w:val="18"/>
                <w:shd w:fill="FFFFFF" w:val="clear"/>
              </w:rPr>
            </w:r>
          </w:p>
          <w:p>
            <w:pPr>
              <w:pStyle w:val="Normal"/>
              <w:suppressAutoHyphens w:val="true"/>
              <w:spacing w:before="0" w:after="0"/>
              <w:jc w:val="center"/>
              <w:rPr>
                <w:sz w:val="18"/>
                <w:szCs w:val="18"/>
                <w:shd w:fill="FFFFFF" w:val="clear"/>
              </w:rPr>
            </w:pPr>
            <w:r>
              <w:rPr>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p>
            <w:pPr>
              <w:pStyle w:val="Normal"/>
              <w:suppressAutoHyphens w:val="true"/>
              <w:spacing w:before="0" w:after="0"/>
              <w:jc w:val="center"/>
              <w:rPr>
                <w:sz w:val="18"/>
                <w:szCs w:val="18"/>
              </w:rPr>
            </w:pPr>
            <w:r>
              <w:rPr>
                <w:kern w:val="0"/>
                <w:sz w:val="18"/>
                <w:szCs w:val="18"/>
                <w:lang w:val="ru-RU" w:bidi="ar-SA"/>
              </w:rPr>
              <w:t>1</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Описание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kern w:val="0"/>
                <w:sz w:val="18"/>
                <w:szCs w:val="18"/>
                <w:shd w:fill="FFFFFF" w:val="clear"/>
                <w:lang w:val="ru-RU" w:bidi="ar-SA"/>
              </w:rPr>
              <w:t>Материал, используемый для установления референтных значений для анализа, предназначенный для количественного определения С-реактивного белка (СРБ) (C-reactive protein (CRP)) в клиническом образце.</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Соответствует КТРУ</w:t>
            </w:r>
          </w:p>
        </w:tc>
        <w:tc>
          <w:tcPr>
            <w:tcW w:w="1074"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kern w:val="0"/>
                <w:sz w:val="20"/>
                <w:szCs w:val="20"/>
                <w:lang w:val="ru-RU" w:bidi="ar-SA"/>
              </w:rPr>
              <w:t>набор</w:t>
            </w:r>
          </w:p>
        </w:tc>
        <w:tc>
          <w:tcPr>
            <w:tcW w:w="1118" w:type="dxa"/>
            <w:vMerge w:val="restart"/>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kern w:val="0"/>
                <w:sz w:val="20"/>
                <w:szCs w:val="20"/>
                <w:lang w:val="ru-RU" w:bidi="ar-SA"/>
              </w:rPr>
              <w:t>1</w:t>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sz w:val="18"/>
                <w:szCs w:val="18"/>
                <w:shd w:fill="FFFFFF" w:val="clear"/>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2</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shd w:fill="FFFFFF" w:val="clear"/>
              </w:rPr>
            </w:pPr>
            <w:r>
              <w:rPr>
                <w:kern w:val="0"/>
                <w:sz w:val="18"/>
                <w:szCs w:val="18"/>
                <w:shd w:fill="FFFFFF" w:val="clear"/>
                <w:lang w:val="ru-RU" w:bidi="ar-SA"/>
              </w:rPr>
              <w:t>Назначение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Для анализаторов открытого типа</w:t>
            </w:r>
          </w:p>
          <w:p>
            <w:pPr>
              <w:pStyle w:val="Normal"/>
              <w:suppressAutoHyphens w:val="true"/>
              <w:spacing w:before="0" w:after="0"/>
              <w:jc w:val="center"/>
              <w:rPr>
                <w:rFonts w:eastAsia="MS Mincho"/>
                <w:bCs/>
                <w:sz w:val="18"/>
                <w:szCs w:val="18"/>
              </w:rPr>
            </w:pPr>
            <w:r>
              <w:rPr>
                <w:rFonts w:eastAsia="MS Mincho"/>
                <w:bCs/>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3</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sz w:val="18"/>
                <w:szCs w:val="18"/>
              </w:rPr>
            </w:pPr>
            <w:r>
              <w:rPr>
                <w:kern w:val="0"/>
                <w:sz w:val="18"/>
                <w:szCs w:val="18"/>
                <w:shd w:fill="FFFFFF" w:val="clear"/>
                <w:lang w:val="ru-RU" w:bidi="ar-SA"/>
              </w:rPr>
              <w:t>Объем реагента</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См3мл</w:t>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 xml:space="preserve">≥ </w:t>
            </w:r>
            <w:r>
              <w:rPr>
                <w:color w:val="000000"/>
                <w:kern w:val="0"/>
                <w:sz w:val="18"/>
                <w:szCs w:val="18"/>
                <w:lang w:val="ru-RU" w:bidi="ar-SA"/>
              </w:rPr>
              <w:t>5</w:t>
            </w:r>
          </w:p>
          <w:p>
            <w:pPr>
              <w:pStyle w:val="Normal"/>
              <w:suppressAutoHyphens w:val="true"/>
              <w:spacing w:before="0" w:after="0"/>
              <w:jc w:val="center"/>
              <w:rPr>
                <w:rFonts w:eastAsia="MS Mincho"/>
                <w:bCs/>
                <w:sz w:val="18"/>
                <w:szCs w:val="18"/>
              </w:rPr>
            </w:pPr>
            <w:r>
              <w:rPr>
                <w:rFonts w:eastAsia="MS Mincho"/>
                <w:bCs/>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4</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rPr>
            </w:pPr>
            <w:r>
              <w:rPr>
                <w:kern w:val="0"/>
                <w:sz w:val="18"/>
                <w:szCs w:val="18"/>
                <w:lang w:val="ru-RU" w:bidi="ar-SA"/>
              </w:rPr>
              <w:t>*Формат выпуска</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жидкий</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Требование к жидкой форме выпуска калибраторов установлены в связи с потребностью заказчика.</w:t>
            </w:r>
          </w:p>
          <w:p>
            <w:pPr>
              <w:pStyle w:val="Normal"/>
              <w:suppressAutoHyphens w:val="true"/>
              <w:spacing w:before="0" w:after="0"/>
              <w:jc w:val="center"/>
              <w:rPr>
                <w:sz w:val="18"/>
                <w:szCs w:val="18"/>
              </w:rPr>
            </w:pPr>
            <w:r>
              <w:rPr>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5</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rPr>
            </w:pPr>
            <w:r>
              <w:rPr>
                <w:kern w:val="0"/>
                <w:sz w:val="18"/>
                <w:szCs w:val="18"/>
                <w:lang w:val="ru-RU" w:bidi="ar-SA"/>
              </w:rPr>
              <w:t>*Комплектность</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не менее 5 флаконов по не менее 1 мл</w:t>
            </w:r>
          </w:p>
          <w:p>
            <w:pPr>
              <w:pStyle w:val="Normal"/>
              <w:suppressAutoHyphens w:val="true"/>
              <w:spacing w:before="0" w:after="0"/>
              <w:jc w:val="center"/>
              <w:rPr>
                <w:sz w:val="18"/>
                <w:szCs w:val="18"/>
              </w:rPr>
            </w:pPr>
            <w:r>
              <w:rPr>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Набор калибраторов пяти уровней - калибратор предназначен для калибровки при определении иммунотурбидиметрических тестов, которые имеют нелинейный тип калибровки, поэтому 5 уровней калибраторов обеспечивает более точное построение калибровочного графика.</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rHeight w:val="543" w:hRule="atLeast"/>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t>6</w:t>
            </w:r>
          </w:p>
        </w:tc>
        <w:tc>
          <w:tcPr>
            <w:tcW w:w="3121"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rPr>
            </w:pPr>
            <w:r>
              <w:rPr>
                <w:sz w:val="18"/>
                <w:szCs w:val="18"/>
              </w:rPr>
              <w:t>*Совместимость с реагентом СРБ (DiaSys)</w:t>
            </w:r>
          </w:p>
        </w:tc>
        <w:tc>
          <w:tcPr>
            <w:tcW w:w="1275"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t>наличие</w:t>
            </w:r>
          </w:p>
        </w:tc>
        <w:tc>
          <w:tcPr>
            <w:tcW w:w="2619"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t>7</w:t>
            </w:r>
          </w:p>
        </w:tc>
        <w:tc>
          <w:tcPr>
            <w:tcW w:w="3121"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rPr>
            </w:pPr>
            <w:r>
              <w:rPr>
                <w:sz w:val="18"/>
                <w:szCs w:val="18"/>
              </w:rPr>
              <w:t>*Совместимость</w:t>
            </w:r>
          </w:p>
        </w:tc>
        <w:tc>
          <w:tcPr>
            <w:tcW w:w="1275"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sz w:val="18"/>
                <w:szCs w:val="18"/>
              </w:rPr>
            </w:pPr>
            <w:r>
              <w:rPr>
                <w:sz w:val="18"/>
                <w:szCs w:val="18"/>
              </w:rPr>
              <w:t>биохимический анализатор «Сапфир 400»</w:t>
            </w:r>
          </w:p>
        </w:tc>
        <w:tc>
          <w:tcPr>
            <w:tcW w:w="2619"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 xml:space="preserve">биохимический анализатор «Сапфир 400» </w:t>
            </w:r>
            <w:r>
              <w:rPr>
                <w:kern w:val="0"/>
                <w:sz w:val="18"/>
                <w:lang w:val="ru-RU" w:bidi="ar-SA"/>
              </w:rPr>
              <w:t>имеющийся у заказчика</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8</w:t>
            </w:r>
          </w:p>
        </w:tc>
        <w:tc>
          <w:tcPr>
            <w:tcW w:w="3121"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color w:val="FF0000"/>
                <w:sz w:val="18"/>
                <w:szCs w:val="18"/>
              </w:rPr>
            </w:pPr>
            <w:r>
              <w:rPr>
                <w:rFonts w:eastAsia="MS Mincho"/>
                <w:bCs/>
                <w:color w:val="000000"/>
                <w:kern w:val="0"/>
                <w:sz w:val="18"/>
                <w:szCs w:val="18"/>
                <w:lang w:val="ru-RU" w:bidi="ar-SA"/>
              </w:rPr>
              <w:t>*Остаточный срок годности  на момент поставки</w:t>
            </w:r>
          </w:p>
        </w:tc>
        <w:tc>
          <w:tcPr>
            <w:tcW w:w="1275"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color w:val="FF0000"/>
                <w:sz w:val="18"/>
                <w:szCs w:val="18"/>
              </w:rPr>
            </w:r>
          </w:p>
        </w:tc>
        <w:tc>
          <w:tcPr>
            <w:tcW w:w="2977"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rFonts w:eastAsia="MS Mincho"/>
                <w:bCs/>
                <w:kern w:val="0"/>
                <w:sz w:val="18"/>
                <w:szCs w:val="18"/>
                <w:lang w:val="ru-RU" w:bidi="ar-SA"/>
              </w:rPr>
              <w:t>не менее 8 месяцев</w:t>
            </w:r>
          </w:p>
        </w:tc>
        <w:tc>
          <w:tcPr>
            <w:tcW w:w="2619" w:type="dxa"/>
            <w:tcBorders>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kern w:val="0"/>
                <w:sz w:val="18"/>
                <w:szCs w:val="18"/>
                <w:lang w:val="ru-RU" w:bidi="ar-SA"/>
              </w:rPr>
              <w:t>Для обеспечения запаса на складе</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3</w:t>
            </w:r>
          </w:p>
        </w:tc>
        <w:tc>
          <w:tcPr>
            <w:tcW w:w="1135"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hyperlink r:id="rId7" w:tgtFrame="_blank">
              <w:r>
                <w:rPr>
                  <w:rStyle w:val="Hyperlink"/>
                  <w:color w:val="000000"/>
                  <w:kern w:val="0"/>
                  <w:sz w:val="18"/>
                  <w:szCs w:val="18"/>
                  <w:u w:val="none"/>
                  <w:shd w:fill="FFFFFF" w:val="clear"/>
                  <w:lang w:val="ru-RU" w:bidi="ar-SA"/>
                </w:rPr>
                <w:t>21.20.23.110-00005578</w:t>
              </w:r>
            </w:hyperlink>
          </w:p>
        </w:tc>
        <w:tc>
          <w:tcPr>
            <w:tcW w:w="1512"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shd w:fill="FFFFFF" w:val="clear"/>
              </w:rPr>
            </w:pPr>
            <w:r>
              <w:rPr>
                <w:kern w:val="0"/>
                <w:sz w:val="18"/>
                <w:szCs w:val="18"/>
                <w:shd w:fill="FFFFFF" w:val="clear"/>
                <w:lang w:val="ru-RU" w:bidi="ar-SA"/>
              </w:rPr>
              <w:t>Моющий/чистящий раствор ИВД, для автоматических/полуавтоматических систем</w:t>
            </w:r>
          </w:p>
          <w:p>
            <w:pPr>
              <w:pStyle w:val="Normal"/>
              <w:suppressAutoHyphens w:val="true"/>
              <w:spacing w:before="0" w:after="0"/>
              <w:jc w:val="center"/>
              <w:rPr>
                <w:sz w:val="18"/>
                <w:szCs w:val="18"/>
              </w:rPr>
            </w:pPr>
            <w:r>
              <w:rPr>
                <w:sz w:val="18"/>
                <w:szCs w:val="18"/>
              </w:rPr>
            </w:r>
          </w:p>
          <w:p>
            <w:pPr>
              <w:pStyle w:val="Normal"/>
              <w:suppressAutoHyphens w:val="true"/>
              <w:spacing w:before="0" w:after="0"/>
              <w:jc w:val="center"/>
              <w:rPr>
                <w:sz w:val="18"/>
                <w:szCs w:val="18"/>
              </w:rPr>
            </w:pPr>
            <w:r>
              <w:rPr>
                <w:kern w:val="0"/>
                <w:sz w:val="18"/>
                <w:szCs w:val="18"/>
                <w:lang w:val="ru-RU" w:bidi="ar-SA"/>
              </w:rPr>
              <w:t>(Реагент для очистки зонда (50мл) Mindray М-53P)</w:t>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1</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color w:val="000000"/>
                <w:sz w:val="18"/>
                <w:szCs w:val="18"/>
              </w:rPr>
            </w:pPr>
            <w:r>
              <w:rPr>
                <w:rFonts w:eastAsia="MS Mincho"/>
                <w:bCs/>
                <w:color w:val="000000"/>
                <w:kern w:val="0"/>
                <w:sz w:val="18"/>
                <w:szCs w:val="18"/>
                <w:lang w:val="ru-RU" w:bidi="ar-SA"/>
              </w:rPr>
              <w:t>Описание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kern w:val="0"/>
                <w:sz w:val="18"/>
                <w:szCs w:val="18"/>
                <w:shd w:fill="FFFFFF" w:val="clear"/>
                <w:lang w:val="ru-RU" w:bidi="ar-SA"/>
              </w:rPr>
              <w:t>Концентрированный промывающий или очищающий раствор, предназначенный для использования как расходный материал на борту автоматических или полуавтоматических приборов, который используются в процессе подготовки, окрашивания и/или анализа клинических лабораторных образцов.</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Соответствует КТРУ</w:t>
            </w:r>
          </w:p>
        </w:tc>
        <w:tc>
          <w:tcPr>
            <w:tcW w:w="1074" w:type="dxa"/>
            <w:vMerge w:val="restart"/>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kern w:val="0"/>
                <w:sz w:val="20"/>
                <w:szCs w:val="20"/>
                <w:lang w:val="ru-RU" w:bidi="ar-SA"/>
              </w:rPr>
              <w:t>шт</w:t>
            </w:r>
          </w:p>
        </w:tc>
        <w:tc>
          <w:tcPr>
            <w:tcW w:w="1118" w:type="dxa"/>
            <w:vMerge w:val="restart"/>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kern w:val="0"/>
                <w:sz w:val="20"/>
                <w:szCs w:val="20"/>
                <w:lang w:val="ru-RU" w:bidi="ar-SA"/>
              </w:rPr>
              <w:t>5</w:t>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2</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sz w:val="18"/>
                <w:szCs w:val="18"/>
              </w:rPr>
            </w:pPr>
            <w:r>
              <w:rPr>
                <w:kern w:val="0"/>
                <w:sz w:val="18"/>
                <w:szCs w:val="18"/>
                <w:shd w:fill="FFFFFF" w:val="clear"/>
                <w:lang w:val="ru-RU" w:bidi="ar-SA"/>
              </w:rPr>
              <w:t>Назначение</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Для анализаторов серии BC</w:t>
            </w:r>
          </w:p>
          <w:p>
            <w:pPr>
              <w:pStyle w:val="Normal"/>
              <w:suppressAutoHyphens w:val="true"/>
              <w:spacing w:before="0" w:after="0"/>
              <w:jc w:val="center"/>
              <w:rPr>
                <w:rFonts w:eastAsia="MS Mincho"/>
                <w:bCs/>
                <w:sz w:val="18"/>
                <w:szCs w:val="18"/>
              </w:rPr>
            </w:pPr>
            <w:r>
              <w:rPr>
                <w:rFonts w:eastAsia="MS Mincho"/>
                <w:bCs/>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3</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sz w:val="18"/>
                <w:szCs w:val="18"/>
              </w:rPr>
            </w:pPr>
            <w:r>
              <w:rPr>
                <w:kern w:val="0"/>
                <w:sz w:val="18"/>
                <w:szCs w:val="18"/>
                <w:shd w:fill="FFFFFF" w:val="clear"/>
                <w:lang w:val="ru-RU" w:bidi="ar-SA"/>
              </w:rPr>
              <w:t>Объем</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См3мл</w:t>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rFonts w:eastAsia="MS Mincho"/>
                <w:bCs/>
                <w:sz w:val="18"/>
                <w:szCs w:val="18"/>
              </w:rPr>
            </w:pPr>
            <w:r>
              <w:rPr>
                <w:rFonts w:eastAsia="MS Mincho"/>
                <w:bCs/>
                <w:kern w:val="0"/>
                <w:sz w:val="18"/>
                <w:szCs w:val="18"/>
                <w:lang w:val="ru-RU" w:bidi="ar-SA"/>
              </w:rPr>
              <w:t>50</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4</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color w:val="000000"/>
                <w:sz w:val="18"/>
                <w:szCs w:val="18"/>
              </w:rPr>
            </w:pPr>
            <w:r>
              <w:rPr>
                <w:rFonts w:eastAsia="MS Mincho"/>
                <w:bCs/>
                <w:color w:val="000000"/>
                <w:kern w:val="0"/>
                <w:sz w:val="18"/>
                <w:szCs w:val="18"/>
                <w:lang w:val="ru-RU" w:bidi="ar-SA"/>
              </w:rPr>
              <w:t>*Совместимость</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color w:val="FF0000"/>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Для гематологического анализатоа Mindray BC-30s</w:t>
            </w:r>
          </w:p>
          <w:p>
            <w:pPr>
              <w:pStyle w:val="Normal"/>
              <w:suppressAutoHyphens w:val="true"/>
              <w:spacing w:before="0" w:after="0"/>
              <w:jc w:val="center"/>
              <w:rPr>
                <w:rFonts w:eastAsia="MS Mincho"/>
                <w:bCs/>
                <w:sz w:val="18"/>
                <w:szCs w:val="18"/>
              </w:rPr>
            </w:pPr>
            <w:r>
              <w:rPr>
                <w:rFonts w:eastAsia="MS Mincho"/>
                <w:bCs/>
                <w:sz w:val="18"/>
                <w:szCs w:val="18"/>
              </w:rPr>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000000"/>
                <w:sz w:val="18"/>
                <w:szCs w:val="18"/>
              </w:rPr>
            </w:pPr>
            <w:r>
              <w:rPr>
                <w:color w:val="000000"/>
                <w:kern w:val="0"/>
                <w:sz w:val="18"/>
                <w:szCs w:val="18"/>
                <w:lang w:val="ru-RU" w:bidi="ar-SA"/>
              </w:rPr>
              <w:t>Гематологический анализатор Mindray BC-30s</w:t>
            </w:r>
          </w:p>
          <w:p>
            <w:pPr>
              <w:pStyle w:val="Normal"/>
              <w:suppressAutoHyphens w:val="true"/>
              <w:spacing w:before="0" w:after="0"/>
              <w:jc w:val="center"/>
              <w:rPr>
                <w:sz w:val="18"/>
                <w:szCs w:val="18"/>
              </w:rPr>
            </w:pPr>
            <w:r>
              <w:rPr>
                <w:kern w:val="0"/>
                <w:sz w:val="18"/>
                <w:szCs w:val="18"/>
                <w:lang w:val="ru-RU" w:bidi="ar-SA"/>
              </w:rPr>
              <w:t>Имеющийся у заказчика</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r>
        <w:trPr/>
        <w:tc>
          <w:tcPr>
            <w:tcW w:w="42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135"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1512"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sz w:val="18"/>
                <w:szCs w:val="18"/>
              </w:rPr>
            </w:r>
          </w:p>
        </w:tc>
        <w:tc>
          <w:tcPr>
            <w:tcW w:w="330"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kern w:val="0"/>
                <w:sz w:val="18"/>
                <w:szCs w:val="18"/>
                <w:lang w:val="ru-RU" w:bidi="ar-SA"/>
              </w:rPr>
              <w:t>5</w:t>
            </w:r>
          </w:p>
        </w:tc>
        <w:tc>
          <w:tcPr>
            <w:tcW w:w="3121"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left"/>
              <w:rPr>
                <w:rFonts w:eastAsia="MS Mincho"/>
                <w:bCs/>
                <w:color w:val="000000"/>
                <w:sz w:val="18"/>
                <w:szCs w:val="18"/>
              </w:rPr>
            </w:pPr>
            <w:r>
              <w:rPr>
                <w:rFonts w:eastAsia="MS Mincho"/>
                <w:bCs/>
                <w:color w:val="000000"/>
                <w:kern w:val="0"/>
                <w:sz w:val="18"/>
                <w:szCs w:val="18"/>
                <w:lang w:val="ru-RU" w:bidi="ar-SA"/>
              </w:rPr>
              <w:t>*Остаточный срок годности на момент поставки</w:t>
            </w:r>
          </w:p>
        </w:tc>
        <w:tc>
          <w:tcPr>
            <w:tcW w:w="1275"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color w:val="FF0000"/>
                <w:sz w:val="18"/>
                <w:szCs w:val="18"/>
              </w:rPr>
            </w:r>
          </w:p>
        </w:tc>
        <w:tc>
          <w:tcPr>
            <w:tcW w:w="2977"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18"/>
                <w:szCs w:val="18"/>
              </w:rPr>
            </w:pPr>
            <w:r>
              <w:rPr>
                <w:rFonts w:eastAsia="MS Mincho"/>
                <w:bCs/>
                <w:kern w:val="0"/>
                <w:sz w:val="18"/>
                <w:szCs w:val="18"/>
                <w:lang w:val="ru-RU" w:bidi="ar-SA"/>
              </w:rPr>
              <w:t>не менее 10 месяцев</w:t>
            </w:r>
          </w:p>
        </w:tc>
        <w:tc>
          <w:tcPr>
            <w:tcW w:w="2619" w:type="dxa"/>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color w:val="FF0000"/>
                <w:sz w:val="18"/>
                <w:szCs w:val="18"/>
              </w:rPr>
            </w:pPr>
            <w:r>
              <w:rPr>
                <w:kern w:val="0"/>
                <w:sz w:val="18"/>
                <w:szCs w:val="18"/>
                <w:lang w:val="ru-RU" w:bidi="ar-SA"/>
              </w:rPr>
              <w:t>Для обеспечения запаса на складе</w:t>
            </w:r>
          </w:p>
        </w:tc>
        <w:tc>
          <w:tcPr>
            <w:tcW w:w="1074" w:type="dxa"/>
            <w:vMerge w:val="continue"/>
            <w:tcBorders>
              <w:top w:val="single" w:sz="6" w:space="0" w:color="000000"/>
              <w:left w:val="single" w:sz="6" w:space="0" w:color="000000"/>
              <w:bottom w:val="single" w:sz="6" w:space="0" w:color="000000"/>
              <w:right w:val="single" w:sz="6" w:space="0" w:color="000000"/>
            </w:tcBorders>
            <w:shd w:color="auto" w:fill="auto" w:val="clear"/>
          </w:tcPr>
          <w:p>
            <w:pPr>
              <w:pStyle w:val="Normal"/>
              <w:suppressAutoHyphens w:val="true"/>
              <w:spacing w:before="0" w:after="0"/>
              <w:jc w:val="center"/>
              <w:rPr>
                <w:sz w:val="20"/>
                <w:szCs w:val="20"/>
              </w:rPr>
            </w:pPr>
            <w:r>
              <w:rPr>
                <w:sz w:val="20"/>
                <w:szCs w:val="20"/>
              </w:rPr>
            </w:r>
          </w:p>
        </w:tc>
        <w:tc>
          <w:tcPr>
            <w:tcW w:w="1118" w:type="dxa"/>
            <w:vMerge w:val="continue"/>
            <w:tcBorders>
              <w:top w:val="single" w:sz="6" w:space="0" w:color="000000"/>
              <w:left w:val="single" w:sz="6" w:space="0" w:color="000000"/>
              <w:bottom w:val="single" w:sz="6" w:space="0" w:color="000000"/>
              <w:right w:val="single" w:sz="6" w:space="0" w:color="000000"/>
            </w:tcBorders>
          </w:tcPr>
          <w:p>
            <w:pPr>
              <w:pStyle w:val="Normal"/>
              <w:suppressAutoHyphens w:val="true"/>
              <w:spacing w:before="0" w:after="0"/>
              <w:jc w:val="center"/>
              <w:rPr>
                <w:sz w:val="20"/>
                <w:szCs w:val="20"/>
              </w:rPr>
            </w:pPr>
            <w:r>
              <w:rPr>
                <w:sz w:val="20"/>
                <w:szCs w:val="20"/>
              </w:rPr>
            </w:r>
          </w:p>
        </w:tc>
      </w:tr>
    </w:tbl>
    <w:p>
      <w:pPr>
        <w:pStyle w:val="Normal"/>
        <w:ind w:firstLine="426" w:left="-284"/>
        <w:jc w:val="both"/>
        <w:rPr>
          <w:b/>
          <w:bCs/>
          <w:iCs/>
          <w:sz w:val="20"/>
          <w:szCs w:val="20"/>
        </w:rPr>
      </w:pPr>
      <w:r>
        <w:rPr>
          <w:b/>
          <w:bCs/>
          <w:iCs/>
          <w:sz w:val="20"/>
          <w:szCs w:val="20"/>
        </w:rPr>
        <w:t>Наименование предлагаемого участником закупки товара должно быть указано в полном (строгом) соответствии с регистрационным удостоверением  на медицинское изделие  (раздел «На медицинское изделие» соответствующего регистрационного удостоверения с указанием полного точного наименования с буквенными и цифровыми кодами, ТУ и т.д.).</w:t>
      </w:r>
    </w:p>
    <w:p>
      <w:pPr>
        <w:pStyle w:val="Normal"/>
        <w:ind w:firstLine="426" w:left="-284"/>
        <w:jc w:val="both"/>
        <w:rPr>
          <w:b/>
          <w:sz w:val="20"/>
          <w:szCs w:val="20"/>
        </w:rPr>
      </w:pPr>
      <w:r>
        <w:rPr>
          <w:b/>
          <w:sz w:val="20"/>
          <w:szCs w:val="20"/>
        </w:rPr>
        <w:t>4. Общие требования к товару, требования к его качеству, потребительским свойствам.</w:t>
      </w:r>
    </w:p>
    <w:p>
      <w:pPr>
        <w:pStyle w:val="Normal"/>
        <w:ind w:firstLine="426" w:left="-284"/>
        <w:jc w:val="both"/>
        <w:rPr>
          <w:sz w:val="20"/>
          <w:szCs w:val="20"/>
        </w:rPr>
      </w:pPr>
      <w:r>
        <w:rPr>
          <w:sz w:val="20"/>
          <w:szCs w:val="20"/>
        </w:rPr>
        <w:t xml:space="preserve">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Normal"/>
        <w:ind w:firstLine="426" w:left="-284"/>
        <w:jc w:val="both"/>
        <w:rPr>
          <w:b/>
          <w:bCs/>
          <w:sz w:val="20"/>
          <w:szCs w:val="20"/>
        </w:rPr>
      </w:pPr>
      <w:r>
        <w:rPr>
          <w:b/>
          <w:sz w:val="20"/>
          <w:szCs w:val="20"/>
        </w:rPr>
        <w:t>5. Условия поставки</w:t>
      </w:r>
      <w:r>
        <w:rPr>
          <w:b/>
          <w:bCs/>
          <w:sz w:val="20"/>
          <w:szCs w:val="20"/>
        </w:rPr>
        <w:t xml:space="preserve"> товаров.</w:t>
      </w:r>
    </w:p>
    <w:p>
      <w:pPr>
        <w:pStyle w:val="Normal"/>
        <w:ind w:firstLine="426" w:left="-284"/>
        <w:jc w:val="both"/>
        <w:rPr>
          <w:sz w:val="20"/>
          <w:szCs w:val="20"/>
        </w:rPr>
      </w:pPr>
      <w:r>
        <w:rPr>
          <w:sz w:val="20"/>
          <w:szCs w:val="20"/>
        </w:rPr>
        <w:t>Поставка товаров должна осуществляться с учетом требований действующего законодательства и потребности Заказчика, а именно:</w:t>
      </w:r>
    </w:p>
    <w:p>
      <w:pPr>
        <w:pStyle w:val="Normal"/>
        <w:ind w:firstLine="426" w:left="-284"/>
        <w:jc w:val="both"/>
        <w:rPr>
          <w:bCs/>
          <w:sz w:val="20"/>
          <w:szCs w:val="20"/>
        </w:rPr>
      </w:pPr>
      <w:r>
        <w:rPr>
          <w:sz w:val="20"/>
          <w:szCs w:val="20"/>
        </w:rPr>
        <w:t xml:space="preserve">- </w:t>
      </w:r>
      <w:r>
        <w:rPr>
          <w:bCs/>
          <w:sz w:val="20"/>
          <w:szCs w:val="20"/>
        </w:rPr>
        <w:t>Федеральный закон от 21.11.2011 № 323-ФЗ «Об основах охраны здоровья граждан в Российской Федерации»;</w:t>
      </w:r>
    </w:p>
    <w:p>
      <w:pPr>
        <w:pStyle w:val="Normal"/>
        <w:ind w:firstLine="426" w:left="-284"/>
        <w:jc w:val="both"/>
        <w:rPr>
          <w:sz w:val="20"/>
          <w:szCs w:val="20"/>
        </w:rPr>
      </w:pPr>
      <w:r>
        <w:rPr>
          <w:sz w:val="20"/>
          <w:szCs w:val="20"/>
        </w:rPr>
        <w:t>- Федерального закона от 27.12.2002 № 184-ФЗ «О техническом регулировании».</w:t>
      </w:r>
    </w:p>
    <w:p>
      <w:pPr>
        <w:pStyle w:val="Normal"/>
        <w:widowControl/>
        <w:suppressAutoHyphens w:val="true"/>
        <w:bidi w:val="0"/>
        <w:spacing w:lineRule="auto" w:line="276" w:before="120" w:after="120"/>
        <w:ind w:firstLine="397" w:left="0" w:right="0"/>
        <w:jc w:val="both"/>
        <w:rPr>
          <w:sz w:val="20"/>
          <w:szCs w:val="20"/>
        </w:rPr>
      </w:pPr>
      <w:r>
        <w:rPr>
          <w:sz w:val="20"/>
          <w:szCs w:val="20"/>
        </w:rPr>
        <w:t>Транспортировка должна соответствовать стандартам и требованиям, установленным в Российской Федерации в зависимости от физических и физико-химических свойств (свет, влага, температурный режим). Тара должна обеспечивать сохранность Товара во время транспортировки и погрузочно-разгрузочных работ.</w:t>
      </w:r>
    </w:p>
    <w:p>
      <w:pPr>
        <w:pStyle w:val="Normal"/>
        <w:ind w:firstLine="426" w:left="-284"/>
        <w:jc w:val="both"/>
        <w:rPr>
          <w:sz w:val="20"/>
          <w:szCs w:val="20"/>
        </w:rPr>
      </w:pPr>
      <w:r>
        <w:rPr>
          <w:b/>
          <w:sz w:val="20"/>
          <w:szCs w:val="20"/>
        </w:rPr>
        <w:t xml:space="preserve">6. Назначение товаров и цели их использования: </w:t>
      </w:r>
      <w:r>
        <w:rPr>
          <w:sz w:val="20"/>
          <w:szCs w:val="20"/>
        </w:rPr>
        <w:t>Для обеспечения медицинской деятельности учреждения.</w:t>
      </w:r>
    </w:p>
    <w:p>
      <w:pPr>
        <w:pStyle w:val="Normal"/>
        <w:widowControl/>
        <w:suppressAutoHyphens w:val="true"/>
        <w:bidi w:val="0"/>
        <w:spacing w:lineRule="auto" w:line="276" w:before="120" w:after="120"/>
        <w:ind w:firstLine="113" w:left="0" w:right="0"/>
        <w:jc w:val="both"/>
        <w:rPr>
          <w:b/>
          <w:sz w:val="20"/>
          <w:szCs w:val="20"/>
        </w:rPr>
      </w:pPr>
      <w:r>
        <w:rPr>
          <w:b/>
          <w:bCs/>
          <w:sz w:val="20"/>
          <w:szCs w:val="20"/>
        </w:rPr>
        <w:t>7. Д</w:t>
      </w:r>
      <w:r>
        <w:rPr>
          <w:b/>
          <w:sz w:val="20"/>
          <w:szCs w:val="20"/>
        </w:rPr>
        <w:t xml:space="preserve">окументы, подтверждающие соответствие товара, работы или услуги требованиям, установленным в соответствии с законодательством Российской Федерации: </w:t>
      </w:r>
    </w:p>
    <w:p>
      <w:pPr>
        <w:pStyle w:val="Normal"/>
        <w:ind w:firstLine="426" w:left="-284"/>
        <w:jc w:val="both"/>
        <w:rPr>
          <w:sz w:val="20"/>
          <w:szCs w:val="20"/>
        </w:rPr>
      </w:pPr>
      <w:r>
        <w:rPr>
          <w:sz w:val="20"/>
          <w:szCs w:val="20"/>
        </w:rPr>
        <w:t>- сертификат соответствия (декларация о соответствии) (при наличии), согласно действующему законодательству Российской Федерации.</w:t>
      </w:r>
    </w:p>
    <w:p>
      <w:pPr>
        <w:pStyle w:val="Normal"/>
        <w:widowControl/>
        <w:suppressAutoHyphens w:val="true"/>
        <w:bidi w:val="0"/>
        <w:spacing w:lineRule="auto" w:line="276" w:before="120" w:after="120"/>
        <w:ind w:firstLine="397" w:left="0" w:right="0"/>
        <w:jc w:val="both"/>
        <w:rPr>
          <w:sz w:val="20"/>
          <w:szCs w:val="20"/>
        </w:rPr>
      </w:pPr>
      <w:r>
        <w:rPr>
          <w:sz w:val="20"/>
          <w:szCs w:val="20"/>
        </w:rPr>
        <w:t>- регистрационное удостоверение Росздравнадзора, установленное в соответствии с ФЗ «Об основах охраны здоровья граждан в Российской Федерации» от 21.11.2011 № 323-ФЗ.</w:t>
      </w:r>
    </w:p>
    <w:p>
      <w:pPr>
        <w:pStyle w:val="Normal"/>
        <w:ind w:firstLine="142"/>
        <w:rPr>
          <w:b/>
          <w:sz w:val="20"/>
          <w:szCs w:val="20"/>
        </w:rPr>
      </w:pPr>
      <w:r>
        <w:rPr>
          <w:b/>
          <w:sz w:val="20"/>
          <w:szCs w:val="20"/>
        </w:rPr>
        <w:t xml:space="preserve">8. Место поставки товара (режим работы Заказчика): </w:t>
      </w:r>
    </w:p>
    <w:p>
      <w:pPr>
        <w:pStyle w:val="Normal"/>
        <w:ind w:firstLine="709"/>
        <w:jc w:val="both"/>
        <w:rPr>
          <w:sz w:val="20"/>
          <w:szCs w:val="20"/>
        </w:rPr>
      </w:pPr>
      <w:r>
        <w:rPr>
          <w:sz w:val="20"/>
          <w:szCs w:val="20"/>
        </w:rPr>
        <w:t>По месту нахождения Заказчика: 445003, РФ, Самарская область, г. Тольятти, Лесопарковое шоссе, д.2, ФГБУ санаторий «Лесное», аптечный склад.</w:t>
      </w:r>
    </w:p>
    <w:p>
      <w:pPr>
        <w:pStyle w:val="Normal"/>
        <w:numPr>
          <w:ilvl w:val="0"/>
          <w:numId w:val="0"/>
        </w:numPr>
        <w:ind w:firstLine="142" w:left="0" w:right="141"/>
        <w:outlineLvl w:val="0"/>
        <w:rPr>
          <w:b/>
          <w:sz w:val="20"/>
          <w:szCs w:val="20"/>
        </w:rPr>
      </w:pPr>
      <w:r>
        <w:rPr>
          <w:b/>
          <w:bCs/>
          <w:sz w:val="20"/>
          <w:szCs w:val="20"/>
        </w:rPr>
        <w:t>9. Периодичность и сроки поставки</w:t>
      </w:r>
      <w:r>
        <w:rPr>
          <w:b/>
          <w:sz w:val="20"/>
          <w:szCs w:val="20"/>
        </w:rPr>
        <w:t xml:space="preserve"> товара: </w:t>
      </w:r>
    </w:p>
    <w:p>
      <w:pPr>
        <w:pStyle w:val="Normal"/>
        <w:ind w:firstLine="709"/>
        <w:jc w:val="both"/>
        <w:rPr>
          <w:sz w:val="20"/>
          <w:szCs w:val="20"/>
        </w:rPr>
      </w:pPr>
      <w:r>
        <w:rPr>
          <w:sz w:val="20"/>
          <w:szCs w:val="20"/>
        </w:rPr>
        <w:t xml:space="preserve">Общий срок поставки товара: С даты заключения контракта  по 30.10.2026 г. Поставка осуществляется в рабочие  дни с 08.00 до 14.00 (время местное), по заявкам Заказчика, в течение 7 (семи) рабочих дней со дня отправки заявки. </w:t>
      </w:r>
    </w:p>
    <w:p>
      <w:pPr>
        <w:pStyle w:val="Normal"/>
        <w:jc w:val="both"/>
        <w:rPr/>
      </w:pPr>
      <w:r>
        <w:rPr/>
      </w:r>
    </w:p>
    <w:p>
      <w:pPr>
        <w:pStyle w:val="Normal"/>
        <w:spacing w:lineRule="auto" w:line="240" w:before="0" w:after="0"/>
        <w:rPr>
          <w:rFonts w:ascii="Times New Roman" w:hAnsi="Times New Roman" w:cs="Times New Roman"/>
          <w:color w:val="000000"/>
          <w:sz w:val="24"/>
          <w:szCs w:val="24"/>
          <w:lang w:eastAsia="ru-RU"/>
        </w:rPr>
      </w:pPr>
      <w:r>
        <w:rPr>
          <w:rFonts w:cs="Times New Roman"/>
          <w:color w:val="000000"/>
          <w:sz w:val="24"/>
          <w:szCs w:val="24"/>
          <w:lang w:eastAsia="ru-RU"/>
        </w:rPr>
      </w:r>
    </w:p>
    <w:tbl>
      <w:tblPr>
        <w:tblW w:w="5000" w:type="pct"/>
        <w:jc w:val="left"/>
        <w:tblInd w:w="108" w:type="dxa"/>
        <w:tblLayout w:type="fixed"/>
        <w:tblCellMar>
          <w:top w:w="0" w:type="dxa"/>
          <w:left w:w="108" w:type="dxa"/>
          <w:bottom w:w="0" w:type="dxa"/>
          <w:right w:w="108" w:type="dxa"/>
        </w:tblCellMar>
        <w:tblLook w:val="04a0"/>
      </w:tblPr>
      <w:tblGrid>
        <w:gridCol w:w="7441"/>
        <w:gridCol w:w="7441"/>
      </w:tblGrid>
      <w:tr>
        <w:trPr/>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Заказчик</w:t>
            </w:r>
          </w:p>
        </w:tc>
        <w:tc>
          <w:tcPr>
            <w:tcW w:w="7441" w:type="dxa"/>
            <w:tcBorders>
              <w:top w:val="single" w:sz="6" w:space="0" w:color="000000"/>
              <w:left w:val="single" w:sz="6" w:space="0" w:color="000000"/>
              <w:bottom w:val="single" w:sz="6" w:space="0" w:color="000000"/>
              <w:right w:val="single" w:sz="6" w:space="0" w:color="000000"/>
            </w:tcBorders>
            <w:vAlign w:val="center"/>
          </w:tcPr>
          <w:p>
            <w:pPr>
              <w:pStyle w:val="Normalunindented"/>
              <w:keepNext w:val="true"/>
              <w:spacing w:lineRule="auto" w:line="240" w:before="0" w:after="0"/>
              <w:jc w:val="center"/>
              <w:rPr>
                <w:b w:val="false"/>
                <w:bCs w:val="false"/>
              </w:rPr>
            </w:pPr>
            <w:r>
              <w:rPr>
                <w:b w:val="false"/>
                <w:bCs w:val="false"/>
                <w:sz w:val="24"/>
                <w:szCs w:val="24"/>
              </w:rPr>
              <w:t>Поставщик</w:t>
            </w:r>
          </w:p>
        </w:tc>
      </w:tr>
      <w:tr>
        <w:trPr>
          <w:trHeight w:val="1290" w:hRule="atLeast"/>
        </w:trPr>
        <w:tc>
          <w:tcPr>
            <w:tcW w:w="7441" w:type="dxa"/>
            <w:tcBorders>
              <w:top w:val="single" w:sz="6" w:space="0" w:color="000000"/>
              <w:left w:val="single" w:sz="6" w:space="0" w:color="000000"/>
              <w:bottom w:val="single" w:sz="6" w:space="0" w:color="000000"/>
              <w:right w:val="single" w:sz="6" w:space="0" w:color="000000"/>
            </w:tcBorders>
          </w:tcPr>
          <w:p>
            <w:pPr>
              <w:pStyle w:val="Normalunindented"/>
              <w:keepNext w:val="true"/>
              <w:spacing w:lineRule="auto" w:line="240" w:before="0" w:after="0"/>
              <w:jc w:val="left"/>
              <w:rPr>
                <w:sz w:val="24"/>
                <w:szCs w:val="24"/>
              </w:rPr>
            </w:pPr>
            <w:r>
              <w:rPr>
                <w:color w:val="000000"/>
                <w:sz w:val="24"/>
                <w:szCs w:val="24"/>
                <w:shd w:fill="FFFFFF" w:val="clear"/>
              </w:rPr>
              <w:t>Главный врач</w:t>
            </w:r>
          </w:p>
          <w:p>
            <w:pPr>
              <w:pStyle w:val="Normalunindented"/>
              <w:keepNext w:val="true"/>
              <w:spacing w:lineRule="auto" w:line="240" w:before="0" w:after="0"/>
              <w:jc w:val="left"/>
              <w:rPr>
                <w:sz w:val="24"/>
                <w:szCs w:val="24"/>
              </w:rPr>
            </w:pPr>
            <w:r>
              <w:rPr>
                <w:sz w:val="24"/>
                <w:szCs w:val="24"/>
              </w:rPr>
              <w:t>ФГБУ санаторий «Лесное» Минздрава России</w:t>
            </w:r>
          </w:p>
          <w:p>
            <w:pPr>
              <w:pStyle w:val="Normalunindented"/>
              <w:keepNext w:val="true"/>
              <w:spacing w:lineRule="auto" w:line="240" w:before="0" w:after="0"/>
              <w:jc w:val="left"/>
              <w:rPr>
                <w:sz w:val="24"/>
                <w:szCs w:val="24"/>
              </w:rPr>
            </w:pPr>
            <w:r>
              <w:rPr>
                <w:sz w:val="24"/>
                <w:szCs w:val="24"/>
              </w:rPr>
            </w:r>
          </w:p>
          <w:p>
            <w:pPr>
              <w:pStyle w:val="Normalunindented"/>
              <w:keepNext w:val="true"/>
              <w:spacing w:lineRule="auto" w:line="240" w:before="0" w:after="0"/>
              <w:jc w:val="left"/>
              <w:rPr>
                <w:sz w:val="24"/>
                <w:szCs w:val="24"/>
              </w:rPr>
            </w:pPr>
            <w:r>
              <w:rPr>
                <w:sz w:val="24"/>
                <w:szCs w:val="24"/>
                <w:u w:val="single"/>
              </w:rPr>
              <w:t xml:space="preserve">                                   </w:t>
            </w:r>
            <w:r>
              <w:rPr>
                <w:sz w:val="24"/>
                <w:szCs w:val="24"/>
              </w:rPr>
              <w:t xml:space="preserve"> </w:t>
            </w:r>
            <w:r>
              <w:rPr>
                <w:sz w:val="24"/>
                <w:szCs w:val="24"/>
              </w:rPr>
              <w:t>С.</w:t>
            </w:r>
            <w:r>
              <w:rPr>
                <w:color w:val="000000"/>
                <w:sz w:val="24"/>
                <w:szCs w:val="24"/>
                <w:shd w:fill="FFFFFF" w:val="clear"/>
              </w:rPr>
              <w:t xml:space="preserve">В. Солдатова </w:t>
            </w:r>
            <w:r>
              <w:rPr>
                <w:sz w:val="24"/>
                <w:szCs w:val="24"/>
              </w:rPr>
              <w:br/>
              <w:t>М.П.</w:t>
            </w:r>
          </w:p>
        </w:tc>
        <w:tc>
          <w:tcPr>
            <w:tcW w:w="7441"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ind w:hanging="0"/>
              <w:rPr>
                <w:sz w:val="24"/>
                <w:szCs w:val="24"/>
              </w:rPr>
            </w:pPr>
            <w:r>
              <w:rPr>
                <w:sz w:val="24"/>
                <w:szCs w:val="24"/>
              </w:rPr>
            </w:r>
          </w:p>
          <w:p>
            <w:pPr>
              <w:pStyle w:val="Normal"/>
              <w:spacing w:lineRule="auto" w:line="240" w:before="0" w:after="0"/>
              <w:ind w:hanging="0"/>
              <w:rPr>
                <w:sz w:val="24"/>
                <w:szCs w:val="24"/>
              </w:rPr>
            </w:pPr>
            <w:r>
              <w:rPr>
                <w:sz w:val="24"/>
                <w:szCs w:val="24"/>
              </w:rPr>
            </w:r>
          </w:p>
          <w:p>
            <w:pPr>
              <w:pStyle w:val="Normal"/>
              <w:ind w:hanging="0"/>
              <w:rPr>
                <w:color w:val="000000"/>
                <w:sz w:val="24"/>
                <w:szCs w:val="24"/>
              </w:rPr>
            </w:pPr>
            <w:r>
              <w:rPr>
                <w:sz w:val="24"/>
                <w:szCs w:val="24"/>
              </w:rPr>
              <w:t>______________________ /__________</w:t>
            </w:r>
            <w:r>
              <w:rPr>
                <w:color w:val="000000"/>
                <w:sz w:val="24"/>
                <w:szCs w:val="24"/>
              </w:rPr>
              <w:t xml:space="preserve"> </w:t>
            </w:r>
            <w:r>
              <w:rPr>
                <w:sz w:val="24"/>
                <w:szCs w:val="24"/>
              </w:rPr>
              <w:t>/</w:t>
            </w:r>
          </w:p>
          <w:p>
            <w:pPr>
              <w:pStyle w:val="Normalunindented"/>
              <w:keepNext w:val="true"/>
              <w:spacing w:lineRule="auto" w:line="240" w:before="0" w:after="0"/>
              <w:jc w:val="left"/>
              <w:rPr>
                <w:sz w:val="24"/>
                <w:szCs w:val="24"/>
              </w:rPr>
            </w:pPr>
            <w:r>
              <w:rPr>
                <w:sz w:val="24"/>
                <w:szCs w:val="24"/>
              </w:rPr>
              <w:t>М.П.</w:t>
            </w:r>
          </w:p>
        </w:tc>
      </w:tr>
    </w:tbl>
    <w:p>
      <w:pPr>
        <w:pStyle w:val="Normal"/>
        <w:widowControl w:val="false"/>
        <w:spacing w:lineRule="auto" w:line="240" w:before="0" w:after="0"/>
        <w:ind w:firstLine="426" w:left="-284" w:right="0"/>
        <w:jc w:val="both"/>
        <w:rPr>
          <w:rFonts w:ascii="Times New Roman" w:hAnsi="Times New Roman" w:cs="Times New Roman"/>
          <w:color w:val="000000"/>
          <w:sz w:val="24"/>
          <w:szCs w:val="24"/>
          <w:lang w:eastAsia="ru-RU"/>
        </w:rPr>
      </w:pPr>
      <w:r>
        <w:rPr>
          <w:rFonts w:cs="Times New Roman"/>
          <w:color w:val="000000"/>
          <w:sz w:val="24"/>
          <w:szCs w:val="24"/>
          <w:lang w:eastAsia="ru-RU"/>
        </w:rPr>
      </w:r>
    </w:p>
    <w:sectPr>
      <w:headerReference w:type="default" r:id="rId8"/>
      <w:headerReference w:type="first" r:id="rId9"/>
      <w:footerReference w:type="default" r:id="rId10"/>
      <w:footerReference w:type="first" r:id="rId11"/>
      <w:type w:val="nextPage"/>
      <w:pgSz w:orient="landscape" w:w="16838" w:h="11906"/>
      <w:pgMar w:left="1134" w:right="821" w:gutter="0" w:header="720" w:top="777"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Tahoma">
    <w:charset w:val="01"/>
    <w:family w:val="swiss"/>
    <w:pitch w:val="variable"/>
  </w:font>
  <w:font w:name="Calibri">
    <w:charset w:val="01"/>
    <w:family w:val="swiss"/>
    <w:pitch w:val="variable"/>
  </w:font>
  <w:font w:name="Arial">
    <w:charset w:val="01"/>
    <w:family w:val="swiss"/>
    <w:pitch w:val="variable"/>
  </w:font>
  <w:font w:name="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vl>
    <w:lvl w:ilvl="1">
      <w:start w:val="1"/>
      <w:pStyle w:val="Heading2"/>
      <w:numFmt w:val="decimal"/>
      <w:suff w:val="space"/>
      <w:lvlText w:val="%1.%2."/>
      <w:lvlJc w:val="left"/>
      <w:pPr>
        <w:tabs>
          <w:tab w:val="num" w:pos="0"/>
        </w:tabs>
        <w:ind w:left="0" w:hanging="0"/>
      </w:pPr>
      <w:rPr>
        <w:b w:val="false"/>
      </w:rPr>
    </w:lvl>
    <w:lvl w:ilvl="2">
      <w:start w:val="1"/>
      <w:pStyle w:val="Heading3"/>
      <w:numFmt w:val="decimal"/>
      <w:suff w:val="space"/>
      <w:lvlText w:val="%1.%2.%3."/>
      <w:lvlJc w:val="left"/>
      <w:pPr>
        <w:tabs>
          <w:tab w:val="num" w:pos="0"/>
        </w:tabs>
        <w:ind w:left="0" w:hanging="0"/>
      </w:pPr>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decimal"/>
      <w:suff w:val="space"/>
      <w:lvlText w:val="%1."/>
      <w:lvlJc w:val="left"/>
      <w:pPr>
        <w:tabs>
          <w:tab w:val="num" w:pos="0"/>
        </w:tabs>
        <w:ind w:left="0" w:hanging="0"/>
      </w:pPr>
      <w:rPr/>
    </w:lvl>
    <w:lvl w:ilvl="1">
      <w:start w:val="1"/>
      <w:numFmt w:val="decimal"/>
      <w:suff w:val="space"/>
      <w:lvlText w:val="%1.%2."/>
      <w:lvlJc w:val="left"/>
      <w:pPr>
        <w:tabs>
          <w:tab w:val="num" w:pos="0"/>
        </w:tabs>
        <w:ind w:left="0" w:hanging="0"/>
      </w:pPr>
      <w:rPr/>
    </w:lvl>
    <w:lvl w:ilvl="2">
      <w:start w:val="1"/>
      <w:numFmt w:val="decimal"/>
      <w:suff w:val="space"/>
      <w:lvlText w:val="%1.%2.%3."/>
      <w:lvlJc w:val="left"/>
      <w:pPr>
        <w:tabs>
          <w:tab w:val="num" w:pos="0"/>
        </w:tabs>
        <w:ind w:left="0" w:hanging="0"/>
      </w:pPr>
      <w:rPr/>
    </w:lvl>
    <w:lvl w:ilvl="3">
      <w:start w:val="1"/>
      <w:numFmt w:val="decimal"/>
      <w:suff w:val="space"/>
      <w:lvlText w:val="%1.%2.%3.%4."/>
      <w:lvlJc w:val="left"/>
      <w:pPr>
        <w:tabs>
          <w:tab w:val="num" w:pos="0"/>
        </w:tabs>
        <w:ind w:left="0" w:hanging="0"/>
      </w:pPr>
      <w:rPr/>
    </w:lvl>
    <w:lvl w:ilvl="4">
      <w:start w:val="1"/>
      <w:numFmt w:val="decimal"/>
      <w:suff w:val="space"/>
      <w:lvlText w:val="%1.%2.%3.%4.%5."/>
      <w:lvlJc w:val="left"/>
      <w:pPr>
        <w:tabs>
          <w:tab w:val="num" w:pos="0"/>
        </w:tabs>
        <w:ind w:left="0" w:hanging="0"/>
      </w:pPr>
      <w:rPr/>
    </w:lvl>
    <w:lvl w:ilvl="5">
      <w:start w:val="1"/>
      <w:numFmt w:val="decimal"/>
      <w:suff w:val="space"/>
      <w:lvlText w:val="%1.%2.%3.%4.%5.%6."/>
      <w:lvlJc w:val="left"/>
      <w:pPr>
        <w:tabs>
          <w:tab w:val="num" w:pos="0"/>
        </w:tabs>
        <w:ind w:left="0" w:hanging="0"/>
      </w:pPr>
      <w:rPr/>
    </w:lvl>
    <w:lvl w:ilvl="6">
      <w:start w:val="1"/>
      <w:numFmt w:val="decimal"/>
      <w:suff w:val="space"/>
      <w:lvlText w:val="%1.%2.%3.%4.%5.%6.%7."/>
      <w:lvlJc w:val="left"/>
      <w:pPr>
        <w:tabs>
          <w:tab w:val="num" w:pos="0"/>
        </w:tabs>
        <w:ind w:left="0" w:hanging="0"/>
      </w:pPr>
      <w:rPr/>
    </w:lvl>
    <w:lvl w:ilvl="7">
      <w:start w:val="1"/>
      <w:numFmt w:val="decimal"/>
      <w:suff w:val="space"/>
      <w:lvlText w:val="%1.%2.%3.%4.%5.%6.%7.%8."/>
      <w:lvlJc w:val="left"/>
      <w:pPr>
        <w:tabs>
          <w:tab w:val="num" w:pos="0"/>
        </w:tabs>
        <w:ind w:left="0" w:hanging="0"/>
      </w:pPr>
      <w:rPr/>
    </w:lvl>
    <w:lvl w:ilvl="8">
      <w:start w:val="1"/>
      <w:numFmt w:val="decimal"/>
      <w:suff w:val="space"/>
      <w:lvlText w:val="%1.%2.%3.%4.%5.%6.%7.%8.%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semiHidden="0" w:unhideWhenUsed="0" w:qFormat="1"/>
    <w:lsdException w:name="caption" w:uiPriority="35" w:semiHidden="0" w:unhideWhenUsed="0" w:qFormat="1"/>
    <w:lsdException w:name="footnote reference" w:uiPriority="0"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34"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semiHidden="0" w:unhideWhenUsed="0" w:qFormat="1"/>
  </w:latentStyles>
  <w:style w:type="paragraph" w:styleId="Normal" w:default="1">
    <w:name w:val="Normal"/>
    <w:qFormat/>
    <w:rsid w:val="0013305c"/>
    <w:pPr>
      <w:widowControl/>
      <w:suppressAutoHyphens w:val="true"/>
      <w:bidi w:val="0"/>
      <w:spacing w:lineRule="auto" w:line="276" w:before="120" w:after="120"/>
      <w:ind w:firstLine="482"/>
      <w:jc w:val="both"/>
    </w:pPr>
    <w:rPr>
      <w:rFonts w:ascii="Times New Roman" w:hAnsi="Times New Roman" w:eastAsia="Times New Roman" w:cs="Times New Roman"/>
      <w:color w:val="auto"/>
      <w:kern w:val="0"/>
      <w:sz w:val="22"/>
      <w:szCs w:val="22"/>
      <w:lang w:val="ru-RU" w:eastAsia="ru-RU" w:bidi="ar-SA"/>
    </w:rPr>
  </w:style>
  <w:style w:type="paragraph" w:styleId="Heading1">
    <w:name w:val="heading 1"/>
    <w:basedOn w:val="Normal"/>
    <w:next w:val="Normal"/>
    <w:link w:val="11"/>
    <w:uiPriority w:val="9"/>
    <w:qFormat/>
    <w:rsid w:val="00b32490"/>
    <w:pPr>
      <w:keepNext w:val="true"/>
      <w:keepLines/>
      <w:numPr>
        <w:ilvl w:val="0"/>
        <w:numId w:val="1"/>
      </w:numPr>
      <w:spacing w:before="240" w:after="120"/>
      <w:ind w:hanging="0"/>
      <w:jc w:val="center"/>
      <w:outlineLvl w:val="0"/>
    </w:pPr>
    <w:rPr>
      <w:b/>
      <w:bCs/>
      <w:sz w:val="24"/>
      <w:szCs w:val="28"/>
    </w:rPr>
  </w:style>
  <w:style w:type="paragraph" w:styleId="Heading2">
    <w:name w:val="heading 2"/>
    <w:basedOn w:val="Normal"/>
    <w:next w:val="Normal"/>
    <w:uiPriority w:val="9"/>
    <w:qFormat/>
    <w:rsid w:val="00fb784e"/>
    <w:pPr>
      <w:numPr>
        <w:ilvl w:val="1"/>
        <w:numId w:val="1"/>
      </w:numPr>
      <w:ind w:hanging="0"/>
      <w:outlineLvl w:val="1"/>
    </w:pPr>
    <w:rPr>
      <w:bCs/>
      <w:szCs w:val="26"/>
    </w:rPr>
  </w:style>
  <w:style w:type="paragraph" w:styleId="Heading3">
    <w:name w:val="heading 3"/>
    <w:basedOn w:val="Normal"/>
    <w:next w:val="Normal"/>
    <w:link w:val="3"/>
    <w:uiPriority w:val="9"/>
    <w:qFormat/>
    <w:rsid w:val="002c64af"/>
    <w:pPr>
      <w:numPr>
        <w:ilvl w:val="2"/>
        <w:numId w:val="1"/>
      </w:numPr>
      <w:outlineLvl w:val="2"/>
    </w:pPr>
    <w:rPr>
      <w:bCs/>
    </w:rPr>
  </w:style>
  <w:style w:type="paragraph" w:styleId="Heading4">
    <w:name w:val="heading 4"/>
    <w:basedOn w:val="Normal"/>
    <w:next w:val="Normal"/>
    <w:link w:val="4"/>
    <w:uiPriority w:val="9"/>
    <w:qFormat/>
    <w:rsid w:val="002c64af"/>
    <w:pPr>
      <w:numPr>
        <w:ilvl w:val="3"/>
        <w:numId w:val="1"/>
      </w:numPr>
      <w:outlineLvl w:val="3"/>
    </w:pPr>
    <w:rPr>
      <w:bCs/>
      <w:iCs/>
    </w:rPr>
  </w:style>
  <w:style w:type="paragraph" w:styleId="Heading5">
    <w:name w:val="heading 5"/>
    <w:basedOn w:val="Normal"/>
    <w:next w:val="Normal"/>
    <w:link w:val="5"/>
    <w:uiPriority w:val="9"/>
    <w:qFormat/>
    <w:rsid w:val="002c64af"/>
    <w:pPr>
      <w:keepNext w:val="true"/>
      <w:keepLines/>
      <w:numPr>
        <w:ilvl w:val="4"/>
        <w:numId w:val="1"/>
      </w:numPr>
      <w:spacing w:before="200" w:after="0"/>
      <w:outlineLvl w:val="4"/>
    </w:pPr>
    <w:rPr/>
  </w:style>
  <w:style w:type="paragraph" w:styleId="Heading6">
    <w:name w:val="heading 6"/>
    <w:basedOn w:val="Normal"/>
    <w:next w:val="Normal"/>
    <w:link w:val="6"/>
    <w:uiPriority w:val="9"/>
    <w:qFormat/>
    <w:rsid w:val="0098229f"/>
    <w:pPr>
      <w:keepNext w:val="true"/>
      <w:keepLines/>
      <w:numPr>
        <w:ilvl w:val="5"/>
        <w:numId w:val="1"/>
      </w:numPr>
      <w:spacing w:before="200" w:after="0"/>
      <w:outlineLvl w:val="5"/>
    </w:pPr>
    <w:rPr>
      <w:i/>
      <w:iCs/>
      <w:color w:val="243F60"/>
    </w:rPr>
  </w:style>
  <w:style w:type="paragraph" w:styleId="Heading7">
    <w:name w:val="heading 7"/>
    <w:basedOn w:val="Normal"/>
    <w:next w:val="Normal"/>
    <w:link w:val="7"/>
    <w:uiPriority w:val="9"/>
    <w:qFormat/>
    <w:rsid w:val="0098229f"/>
    <w:pPr>
      <w:keepNext w:val="true"/>
      <w:keepLines/>
      <w:numPr>
        <w:ilvl w:val="6"/>
        <w:numId w:val="1"/>
      </w:numPr>
      <w:spacing w:before="200" w:after="0"/>
      <w:outlineLvl w:val="6"/>
    </w:pPr>
    <w:rPr>
      <w:i/>
      <w:iCs/>
      <w:color w:val="404040"/>
    </w:rPr>
  </w:style>
  <w:style w:type="paragraph" w:styleId="Heading8">
    <w:name w:val="heading 8"/>
    <w:basedOn w:val="Normal"/>
    <w:next w:val="Normal"/>
    <w:link w:val="8"/>
    <w:uiPriority w:val="9"/>
    <w:qFormat/>
    <w:rsid w:val="0098229f"/>
    <w:pPr>
      <w:keepNext w:val="true"/>
      <w:keepLines/>
      <w:numPr>
        <w:ilvl w:val="7"/>
        <w:numId w:val="1"/>
      </w:numPr>
      <w:spacing w:before="200" w:after="0"/>
      <w:outlineLvl w:val="7"/>
    </w:pPr>
    <w:rPr>
      <w:color w:val="4F81BD"/>
      <w:szCs w:val="20"/>
    </w:rPr>
  </w:style>
  <w:style w:type="paragraph" w:styleId="Heading9">
    <w:name w:val="heading 9"/>
    <w:basedOn w:val="Normal"/>
    <w:next w:val="Normal"/>
    <w:link w:val="9"/>
    <w:uiPriority w:val="9"/>
    <w:qFormat/>
    <w:rsid w:val="0098229f"/>
    <w:pPr>
      <w:keepNext w:val="true"/>
      <w:keepLines/>
      <w:numPr>
        <w:ilvl w:val="8"/>
        <w:numId w:val="1"/>
      </w:numPr>
      <w:spacing w:before="200" w:after="0"/>
      <w:outlineLvl w:val="8"/>
    </w:pPr>
    <w:rPr>
      <w:i/>
      <w:iCs/>
      <w:color w:val="40404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heading1normalunnumbered"/>
    <w:uiPriority w:val="9"/>
    <w:qFormat/>
    <w:rsid w:val="00b32490"/>
    <w:rPr>
      <w:rFonts w:ascii="Times New Roman" w:hAnsi="Times New Roman"/>
      <w:b/>
      <w:bCs/>
      <w:sz w:val="24"/>
      <w:szCs w:val="28"/>
      <w:lang w:val="ru-RU"/>
    </w:rPr>
  </w:style>
  <w:style w:type="character" w:styleId="2" w:customStyle="1">
    <w:name w:val="Заголовок 2 Знак"/>
    <w:basedOn w:val="DefaultParagraphFont"/>
    <w:link w:val="heading2normal"/>
    <w:uiPriority w:val="9"/>
    <w:qFormat/>
    <w:rsid w:val="00fb784e"/>
    <w:rPr>
      <w:bCs/>
      <w:sz w:val="22"/>
      <w:szCs w:val="26"/>
    </w:rPr>
  </w:style>
  <w:style w:type="character" w:styleId="3" w:customStyle="1">
    <w:name w:val="Заголовок 3 Знак"/>
    <w:basedOn w:val="DefaultParagraphFont"/>
    <w:link w:val="heading3normal"/>
    <w:uiPriority w:val="9"/>
    <w:qFormat/>
    <w:rsid w:val="002c64af"/>
    <w:rPr>
      <w:rFonts w:ascii="Times New Roman" w:hAnsi="Times New Roman"/>
      <w:bCs/>
      <w:sz w:val="20"/>
      <w:lang w:val="ru-RU"/>
    </w:rPr>
  </w:style>
  <w:style w:type="character" w:styleId="4" w:customStyle="1">
    <w:name w:val="Заголовок 4 Знак"/>
    <w:basedOn w:val="DefaultParagraphFont"/>
    <w:link w:val="heading4normal"/>
    <w:uiPriority w:val="9"/>
    <w:qFormat/>
    <w:rsid w:val="002c64af"/>
    <w:rPr>
      <w:rFonts w:ascii="Times New Roman" w:hAnsi="Times New Roman"/>
      <w:bCs/>
      <w:iCs/>
      <w:sz w:val="20"/>
      <w:lang w:val="ru-RU"/>
    </w:rPr>
  </w:style>
  <w:style w:type="character" w:styleId="5" w:customStyle="1">
    <w:name w:val="Заголовок 5 Знак"/>
    <w:basedOn w:val="DefaultParagraphFont"/>
    <w:link w:val="heading5normal"/>
    <w:uiPriority w:val="9"/>
    <w:semiHidden/>
    <w:qFormat/>
    <w:rsid w:val="002c64af"/>
    <w:rPr>
      <w:sz w:val="20"/>
      <w:lang w:val="ru-RU"/>
    </w:rPr>
  </w:style>
  <w:style w:type="character" w:styleId="6" w:customStyle="1">
    <w:name w:val="Заголовок 6 Знак"/>
    <w:basedOn w:val="DefaultParagraphFont"/>
    <w:link w:val="heading6normal"/>
    <w:uiPriority w:val="9"/>
    <w:semiHidden/>
    <w:qFormat/>
    <w:rsid w:val="0098229f"/>
    <w:rPr>
      <w:i/>
      <w:iCs/>
      <w:color w:val="243F60"/>
      <w:sz w:val="20"/>
      <w:lang w:val="ru-RU"/>
    </w:rPr>
  </w:style>
  <w:style w:type="character" w:styleId="7" w:customStyle="1">
    <w:name w:val="Заголовок 7 Знак"/>
    <w:basedOn w:val="DefaultParagraphFont"/>
    <w:link w:val="heading7normal"/>
    <w:uiPriority w:val="9"/>
    <w:semiHidden/>
    <w:qFormat/>
    <w:rsid w:val="0098229f"/>
    <w:rPr>
      <w:i/>
      <w:iCs/>
      <w:color w:val="404040"/>
      <w:sz w:val="20"/>
      <w:lang w:val="ru-RU"/>
    </w:rPr>
  </w:style>
  <w:style w:type="character" w:styleId="8" w:customStyle="1">
    <w:name w:val="Заголовок 8 Знак"/>
    <w:basedOn w:val="DefaultParagraphFont"/>
    <w:link w:val="heading8normal"/>
    <w:uiPriority w:val="9"/>
    <w:semiHidden/>
    <w:qFormat/>
    <w:rsid w:val="0098229f"/>
    <w:rPr>
      <w:color w:val="4F81BD"/>
      <w:sz w:val="20"/>
      <w:szCs w:val="20"/>
      <w:lang w:val="ru-RU"/>
    </w:rPr>
  </w:style>
  <w:style w:type="character" w:styleId="9" w:customStyle="1">
    <w:name w:val="Заголовок 9 Знак"/>
    <w:basedOn w:val="DefaultParagraphFont"/>
    <w:link w:val="heading9normal"/>
    <w:uiPriority w:val="9"/>
    <w:semiHidden/>
    <w:qFormat/>
    <w:rsid w:val="0098229f"/>
    <w:rPr>
      <w:i/>
      <w:iCs/>
      <w:color w:val="404040"/>
      <w:sz w:val="20"/>
      <w:szCs w:val="20"/>
      <w:lang w:val="ru-RU"/>
    </w:rPr>
  </w:style>
  <w:style w:type="character" w:styleId="Style5" w:customStyle="1">
    <w:name w:val="Название Знак"/>
    <w:basedOn w:val="DefaultParagraphFont"/>
    <w:uiPriority w:val="10"/>
    <w:qFormat/>
    <w:rsid w:val="00222923"/>
    <w:rPr>
      <w:rFonts w:ascii="Times New Roman" w:hAnsi="Times New Roman"/>
      <w:b/>
      <w:spacing w:val="5"/>
      <w:kern w:val="2"/>
      <w:sz w:val="28"/>
      <w:szCs w:val="52"/>
    </w:rPr>
  </w:style>
  <w:style w:type="character" w:styleId="Style6" w:customStyle="1">
    <w:name w:val="Подзаголовок Знак"/>
    <w:basedOn w:val="DefaultParagraphFont"/>
    <w:uiPriority w:val="11"/>
    <w:qFormat/>
    <w:rsid w:val="0098229f"/>
    <w:rPr>
      <w:i/>
      <w:iCs/>
      <w:color w:val="4F81BD"/>
      <w:spacing w:val="15"/>
      <w:sz w:val="24"/>
      <w:szCs w:val="24"/>
    </w:rPr>
  </w:style>
  <w:style w:type="character" w:styleId="Strong">
    <w:name w:val="Strong"/>
    <w:basedOn w:val="DefaultParagraphFont"/>
    <w:uiPriority w:val="22"/>
    <w:qFormat/>
    <w:rsid w:val="0098229f"/>
    <w:rPr>
      <w:b/>
      <w:bCs/>
    </w:rPr>
  </w:style>
  <w:style w:type="character" w:styleId="Emphasis">
    <w:name w:val="Emphasis"/>
    <w:basedOn w:val="DefaultParagraphFont"/>
    <w:uiPriority w:val="20"/>
    <w:qFormat/>
    <w:rsid w:val="0098229f"/>
    <w:rPr>
      <w:i/>
      <w:iCs/>
    </w:rPr>
  </w:style>
  <w:style w:type="character" w:styleId="DeletedPlaceholder" w:customStyle="1">
    <w:name w:val="DeletedPlaceholder Знак"/>
    <w:basedOn w:val="DefaultParagraphFont"/>
    <w:link w:val="DeletedPlaceholder1"/>
    <w:uiPriority w:val="29"/>
    <w:qFormat/>
    <w:rsid w:val="00eb0599"/>
    <w:rPr>
      <w:rFonts w:ascii="Times New Roman" w:hAnsi="Times New Roman"/>
      <w:i/>
      <w:iCs/>
      <w:color w:val="FF3F1F"/>
    </w:rPr>
  </w:style>
  <w:style w:type="character" w:styleId="21" w:customStyle="1">
    <w:name w:val="Цитата 2 Знак"/>
    <w:basedOn w:val="DefaultParagraphFont"/>
    <w:link w:val="Warning"/>
    <w:uiPriority w:val="29"/>
    <w:qFormat/>
    <w:rsid w:val="0098229f"/>
    <w:rPr>
      <w:i/>
      <w:iCs/>
      <w:color w:val="000000"/>
    </w:rPr>
  </w:style>
  <w:style w:type="character" w:styleId="Style7" w:customStyle="1">
    <w:name w:val="Выделенная цитата Знак"/>
    <w:basedOn w:val="DefaultParagraphFont"/>
    <w:link w:val="IntenseQuote"/>
    <w:uiPriority w:val="30"/>
    <w:qFormat/>
    <w:rsid w:val="0098229f"/>
    <w:rPr>
      <w:b/>
      <w:bCs/>
      <w:i/>
      <w:iCs/>
      <w:color w:val="4F81BD"/>
    </w:rPr>
  </w:style>
  <w:style w:type="character" w:styleId="SubtleEmphasis">
    <w:name w:val="Subtle Emphasis"/>
    <w:basedOn w:val="DefaultParagraphFont"/>
    <w:uiPriority w:val="19"/>
    <w:qFormat/>
    <w:rsid w:val="0098229f"/>
    <w:rPr>
      <w:i/>
      <w:iCs/>
      <w:color w:val="808080"/>
    </w:rPr>
  </w:style>
  <w:style w:type="character" w:styleId="IntenseEmphasis">
    <w:name w:val="Intense Emphasis"/>
    <w:basedOn w:val="DefaultParagraphFont"/>
    <w:uiPriority w:val="21"/>
    <w:qFormat/>
    <w:rsid w:val="0098229f"/>
    <w:rPr>
      <w:b/>
      <w:bCs/>
      <w:i/>
      <w:iCs/>
      <w:color w:val="4F81BD"/>
    </w:rPr>
  </w:style>
  <w:style w:type="character" w:styleId="SubtleReference">
    <w:name w:val="Subtle Reference"/>
    <w:basedOn w:val="DefaultParagraphFont"/>
    <w:uiPriority w:val="31"/>
    <w:qFormat/>
    <w:rsid w:val="0098229f"/>
    <w:rPr>
      <w:smallCaps/>
      <w:color w:val="C0504D"/>
      <w:u w:val="single"/>
    </w:rPr>
  </w:style>
  <w:style w:type="character" w:styleId="IntenseReference">
    <w:name w:val="Intense Reference"/>
    <w:basedOn w:val="DefaultParagraphFont"/>
    <w:uiPriority w:val="32"/>
    <w:qFormat/>
    <w:rsid w:val="0098229f"/>
    <w:rPr>
      <w:b/>
      <w:bCs/>
      <w:smallCaps/>
      <w:color w:val="C0504D"/>
      <w:spacing w:val="5"/>
      <w:u w:val="single"/>
    </w:rPr>
  </w:style>
  <w:style w:type="character" w:styleId="BookTitle">
    <w:name w:val="Book Title"/>
    <w:basedOn w:val="DefaultParagraphFont"/>
    <w:uiPriority w:val="33"/>
    <w:qFormat/>
    <w:rsid w:val="0098229f"/>
    <w:rPr>
      <w:b/>
      <w:bCs/>
      <w:smallCaps/>
      <w:spacing w:val="5"/>
    </w:rPr>
  </w:style>
  <w:style w:type="character" w:styleId="Style8" w:customStyle="1">
    <w:name w:val="Схема документа Знак"/>
    <w:basedOn w:val="DefaultParagraphFont"/>
    <w:link w:val="DocumentMap"/>
    <w:uiPriority w:val="99"/>
    <w:semiHidden/>
    <w:qFormat/>
    <w:rsid w:val="00222923"/>
    <w:rPr>
      <w:rFonts w:ascii="Tahoma" w:hAnsi="Tahoma" w:cs="Tahoma"/>
      <w:sz w:val="16"/>
      <w:szCs w:val="16"/>
    </w:rPr>
  </w:style>
  <w:style w:type="character" w:styleId="Style9" w:customStyle="1">
    <w:name w:val="Верхний колонтитул Знак"/>
    <w:basedOn w:val="DefaultParagraphFont"/>
    <w:uiPriority w:val="99"/>
    <w:semiHidden/>
    <w:qFormat/>
    <w:rsid w:val="00256a2f"/>
    <w:rPr>
      <w:rFonts w:ascii="Times New Roman" w:hAnsi="Times New Roman"/>
      <w:sz w:val="16"/>
      <w:lang w:val="ru-RU"/>
    </w:rPr>
  </w:style>
  <w:style w:type="character" w:styleId="Style10" w:customStyle="1">
    <w:name w:val="Нижний колонтитул Знак"/>
    <w:basedOn w:val="DefaultParagraphFont"/>
    <w:uiPriority w:val="99"/>
    <w:semiHidden/>
    <w:qFormat/>
    <w:rsid w:val="00256a2f"/>
    <w:rPr>
      <w:rFonts w:ascii="Times New Roman" w:hAnsi="Times New Roman"/>
      <w:sz w:val="16"/>
      <w:lang w:val="ru-RU"/>
    </w:rPr>
  </w:style>
  <w:style w:type="character" w:styleId="Style11">
    <w:name w:val="Символ сноски"/>
    <w:qFormat/>
    <w:rsid w:val="00f06394"/>
    <w:rPr>
      <w:vertAlign w:val="superscript"/>
    </w:rPr>
  </w:style>
  <w:style w:type="character" w:styleId="FootnoteReference">
    <w:name w:val="footnote reference"/>
    <w:rPr>
      <w:vertAlign w:val="superscript"/>
    </w:rPr>
  </w:style>
  <w:style w:type="character" w:styleId="Hyperlink">
    <w:name w:val="Hyperlink"/>
    <w:uiPriority w:val="99"/>
    <w:unhideWhenUsed/>
    <w:rsid w:val="00317307"/>
    <w:rPr>
      <w:color w:val="0000FF"/>
      <w:u w:val="single"/>
    </w:rPr>
  </w:style>
  <w:style w:type="character" w:styleId="11" w:customStyle="1">
    <w:name w:val="Заголовок 1 Знак1"/>
    <w:basedOn w:val="DefaultParagraphFont"/>
    <w:uiPriority w:val="99"/>
    <w:qFormat/>
    <w:locked/>
    <w:rsid w:val="007075c3"/>
    <w:rPr>
      <w:b/>
      <w:bCs/>
      <w:sz w:val="24"/>
      <w:szCs w:val="28"/>
    </w:rPr>
  </w:style>
  <w:style w:type="character" w:styleId="12" w:customStyle="1">
    <w:name w:val="Текст сноски Знак1"/>
    <w:basedOn w:val="DefaultParagraphFont"/>
    <w:uiPriority w:val="99"/>
    <w:qFormat/>
    <w:locked/>
    <w:rsid w:val="00a14708"/>
    <w:rPr>
      <w:rFonts w:cs="Times New Roman"/>
      <w:lang w:val="ru-RU"/>
    </w:rPr>
  </w:style>
  <w:style w:type="character" w:styleId="fdbkclrv8fieldbackcolor" w:customStyle="1">
    <w:name w:val="fd_bkclr_v8_fieldbackcolor"/>
    <w:basedOn w:val="DefaultParagraphFont"/>
    <w:qFormat/>
    <w:rsid w:val="0023340e"/>
    <w:rPr/>
  </w:style>
  <w:style w:type="character" w:styleId="Style12" w:customStyle="1">
    <w:name w:val="Текст выноски Знак"/>
    <w:basedOn w:val="DefaultParagraphFont"/>
    <w:link w:val="BalloonText"/>
    <w:uiPriority w:val="99"/>
    <w:semiHidden/>
    <w:qFormat/>
    <w:rsid w:val="001d617b"/>
    <w:rPr>
      <w:rFonts w:ascii="Tahoma" w:hAnsi="Tahoma" w:cs="Tahoma"/>
      <w:sz w:val="16"/>
      <w:szCs w:val="16"/>
    </w:rPr>
  </w:style>
  <w:style w:type="character" w:styleId="ConsPlusNormal" w:customStyle="1">
    <w:name w:val="ConsPlusNormal Знак"/>
    <w:link w:val="ConsPlusNormal1"/>
    <w:qFormat/>
    <w:locked/>
    <w:rsid w:val="002b01ba"/>
    <w:rPr>
      <w:rFonts w:ascii="Calibri" w:hAnsi="Calibri" w:cs="Calibri"/>
      <w:sz w:val="22"/>
    </w:rPr>
  </w:style>
  <w:style w:type="character" w:styleId="docinline118filli5q5w" w:customStyle="1">
    <w:name w:val="docinline118_fill__i5q5w"/>
    <w:basedOn w:val="DefaultParagraphFont"/>
    <w:qFormat/>
    <w:rsid w:val="00a243da"/>
    <w:rPr/>
  </w:style>
  <w:style w:type="character" w:styleId="font-weight-bold" w:customStyle="1">
    <w:name w:val="font-weight-bold"/>
    <w:basedOn w:val="DefaultParagraphFont"/>
    <w:qFormat/>
    <w:rsid w:val="009f184c"/>
    <w:rPr/>
  </w:style>
  <w:style w:type="character" w:styleId="Style13" w:customStyle="1">
    <w:name w:val="Обычный (веб) Знак"/>
    <w:basedOn w:val="DefaultParagraphFont"/>
    <w:link w:val="NormalWeb"/>
    <w:uiPriority w:val="99"/>
    <w:qFormat/>
    <w:locked/>
    <w:rsid w:val="006b2993"/>
    <w:rPr>
      <w:sz w:val="24"/>
      <w:szCs w:val="24"/>
    </w:rPr>
  </w:style>
  <w:style w:type="character" w:styleId="Style14" w:customStyle="1">
    <w:name w:val="Абзац списка Знак"/>
    <w:link w:val="ListParagraph"/>
    <w:uiPriority w:val="34"/>
    <w:qFormat/>
    <w:locked/>
    <w:rsid w:val="006b2993"/>
    <w:rPr>
      <w:sz w:val="22"/>
      <w:szCs w:val="22"/>
    </w:rPr>
  </w:style>
  <w:style w:type="character" w:styleId="FollowedHyperlink">
    <w:name w:val="FollowedHyperlink"/>
    <w:basedOn w:val="DefaultParagraphFont"/>
    <w:rPr>
      <w:color w:val="800080"/>
      <w:u w:val="single"/>
    </w:rPr>
  </w:style>
  <w:style w:type="character" w:styleId="LineNumber">
    <w:name w:val="line number"/>
    <w:rPr/>
  </w:style>
  <w:style w:type="paragraph" w:styleId="Style15">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next w:val="Normal"/>
    <w:uiPriority w:val="35"/>
    <w:qFormat/>
    <w:rsid w:val="0098229f"/>
    <w:pPr>
      <w:spacing w:lineRule="auto" w:line="240"/>
    </w:pPr>
    <w:rPr>
      <w:b/>
      <w:bCs/>
      <w:color w:val="4F81BD"/>
      <w:sz w:val="18"/>
      <w:szCs w:val="18"/>
    </w:rPr>
  </w:style>
  <w:style w:type="paragraph" w:styleId="Style16">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cs="Noto Sans"/>
    </w:rPr>
  </w:style>
  <w:style w:type="paragraph" w:styleId="Normalunindented" w:customStyle="1">
    <w:name w:val="Normal unindented"/>
    <w:qFormat/>
    <w:rsid w:val="0013305c"/>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link w:val="1"/>
    <w:uiPriority w:val="9"/>
    <w:qFormat/>
    <w:rsid w:val="00b32490"/>
    <w:pPr>
      <w:keepNext w:val="true"/>
      <w:keepLines/>
      <w:spacing w:before="240" w:after="120"/>
      <w:ind w:hanging="0"/>
      <w:jc w:val="center"/>
      <w:outlineLvl w:val="0"/>
    </w:pPr>
    <w:rPr>
      <w:b/>
      <w:bCs/>
      <w:sz w:val="24"/>
      <w:szCs w:val="28"/>
    </w:rPr>
  </w:style>
  <w:style w:type="paragraph" w:styleId="heading1normal" w:customStyle="1">
    <w:name w:val="heading 1 normal"/>
    <w:basedOn w:val="Normal"/>
    <w:next w:val="Normal"/>
    <w:link w:val="1"/>
    <w:uiPriority w:val="9"/>
    <w:qFormat/>
    <w:rsid w:val="00b32490"/>
    <w:pPr>
      <w:numPr>
        <w:ilvl w:val="0"/>
        <w:numId w:val="2"/>
      </w:numPr>
      <w:outlineLvl w:val="0"/>
    </w:pPr>
    <w:rPr/>
  </w:style>
  <w:style w:type="paragraph" w:styleId="heading1normalunnumbered" w:customStyle="1">
    <w:name w:val="heading 1 normal unnumbered"/>
    <w:basedOn w:val="Normal"/>
    <w:next w:val="Normal"/>
    <w:link w:val="1"/>
    <w:uiPriority w:val="9"/>
    <w:qFormat/>
    <w:rsid w:val="00b32490"/>
    <w:pPr>
      <w:outlineLvl w:val="0"/>
    </w:pPr>
    <w:rPr/>
  </w:style>
  <w:style w:type="paragraph" w:styleId="heading2normal" w:customStyle="1">
    <w:name w:val="heading 2 normal"/>
    <w:basedOn w:val="Normal"/>
    <w:next w:val="Normal"/>
    <w:link w:val="2"/>
    <w:uiPriority w:val="9"/>
    <w:qFormat/>
    <w:rsid w:val="00b32490"/>
    <w:pPr>
      <w:numPr>
        <w:ilvl w:val="1"/>
        <w:numId w:val="2"/>
      </w:numPr>
      <w:outlineLvl w:val="1"/>
    </w:pPr>
    <w:rPr/>
  </w:style>
  <w:style w:type="paragraph" w:styleId="heading3normal" w:customStyle="1">
    <w:name w:val="heading 3 normal"/>
    <w:basedOn w:val="Normal"/>
    <w:next w:val="Normal"/>
    <w:link w:val="3"/>
    <w:uiPriority w:val="9"/>
    <w:qFormat/>
    <w:rsid w:val="00b32490"/>
    <w:pPr>
      <w:numPr>
        <w:ilvl w:val="2"/>
        <w:numId w:val="2"/>
      </w:numPr>
      <w:outlineLvl w:val="2"/>
    </w:pPr>
    <w:rPr/>
  </w:style>
  <w:style w:type="paragraph" w:styleId="heading4normal" w:customStyle="1">
    <w:name w:val="heading 4 normal"/>
    <w:basedOn w:val="Normal"/>
    <w:next w:val="Normal"/>
    <w:link w:val="4"/>
    <w:uiPriority w:val="9"/>
    <w:qFormat/>
    <w:rsid w:val="00b32490"/>
    <w:pPr>
      <w:numPr>
        <w:ilvl w:val="3"/>
        <w:numId w:val="2"/>
      </w:numPr>
      <w:outlineLvl w:val="3"/>
    </w:pPr>
    <w:rPr/>
  </w:style>
  <w:style w:type="paragraph" w:styleId="heading5normal" w:customStyle="1">
    <w:name w:val="heading 5 normal"/>
    <w:basedOn w:val="Normal"/>
    <w:next w:val="Normal"/>
    <w:link w:val="5"/>
    <w:uiPriority w:val="9"/>
    <w:qFormat/>
    <w:rsid w:val="00b32490"/>
    <w:pPr>
      <w:numPr>
        <w:ilvl w:val="4"/>
        <w:numId w:val="2"/>
      </w:numPr>
      <w:outlineLvl w:val="4"/>
    </w:pPr>
    <w:rPr/>
  </w:style>
  <w:style w:type="paragraph" w:styleId="heading6normal" w:customStyle="1">
    <w:name w:val="heading 6 normal"/>
    <w:basedOn w:val="Normal"/>
    <w:next w:val="Normal"/>
    <w:link w:val="6"/>
    <w:uiPriority w:val="9"/>
    <w:qFormat/>
    <w:rsid w:val="00b32490"/>
    <w:pPr>
      <w:numPr>
        <w:ilvl w:val="5"/>
        <w:numId w:val="2"/>
      </w:numPr>
      <w:outlineLvl w:val="5"/>
    </w:pPr>
    <w:rPr/>
  </w:style>
  <w:style w:type="paragraph" w:styleId="heading7normal" w:customStyle="1">
    <w:name w:val="heading 7 normal"/>
    <w:basedOn w:val="Normal"/>
    <w:next w:val="Normal"/>
    <w:link w:val="7"/>
    <w:uiPriority w:val="9"/>
    <w:qFormat/>
    <w:rsid w:val="00b32490"/>
    <w:pPr>
      <w:numPr>
        <w:ilvl w:val="6"/>
        <w:numId w:val="2"/>
      </w:numPr>
      <w:outlineLvl w:val="6"/>
    </w:pPr>
    <w:rPr/>
  </w:style>
  <w:style w:type="paragraph" w:styleId="heading8normal" w:customStyle="1">
    <w:name w:val="heading 8 normal"/>
    <w:basedOn w:val="Normal"/>
    <w:next w:val="Normal"/>
    <w:link w:val="8"/>
    <w:uiPriority w:val="9"/>
    <w:qFormat/>
    <w:rsid w:val="00b32490"/>
    <w:pPr>
      <w:numPr>
        <w:ilvl w:val="7"/>
        <w:numId w:val="2"/>
      </w:numPr>
      <w:outlineLvl w:val="7"/>
    </w:pPr>
    <w:rPr/>
  </w:style>
  <w:style w:type="paragraph" w:styleId="heading9normal" w:customStyle="1">
    <w:name w:val="heading 9 normal"/>
    <w:basedOn w:val="Normal"/>
    <w:next w:val="Normal"/>
    <w:link w:val="9"/>
    <w:uiPriority w:val="9"/>
    <w:qFormat/>
    <w:rsid w:val="00b32490"/>
    <w:pPr>
      <w:numPr>
        <w:ilvl w:val="8"/>
        <w:numId w:val="2"/>
      </w:numPr>
      <w:outlineLvl w:val="8"/>
    </w:pPr>
    <w:rPr/>
  </w:style>
  <w:style w:type="paragraph" w:styleId="Title">
    <w:name w:val="Title"/>
    <w:basedOn w:val="Normal"/>
    <w:next w:val="Normal"/>
    <w:uiPriority w:val="10"/>
    <w:qFormat/>
    <w:rsid w:val="00222923"/>
    <w:pPr>
      <w:keepNext w:val="true"/>
      <w:keepLines/>
      <w:spacing w:lineRule="auto" w:line="240" w:before="120" w:after="300"/>
      <w:ind w:hanging="0"/>
      <w:contextualSpacing/>
      <w:jc w:val="center"/>
      <w:outlineLvl w:val="0"/>
    </w:pPr>
    <w:rPr>
      <w:b/>
      <w:spacing w:val="5"/>
      <w:kern w:val="2"/>
      <w:sz w:val="28"/>
      <w:szCs w:val="52"/>
    </w:rPr>
  </w:style>
  <w:style w:type="paragraph" w:styleId="Subtitle">
    <w:name w:val="Subtitle"/>
    <w:basedOn w:val="Normal"/>
    <w:next w:val="Normal"/>
    <w:link w:val="Style6"/>
    <w:uiPriority w:val="11"/>
    <w:qFormat/>
    <w:rsid w:val="0098229f"/>
    <w:pPr>
      <w:ind w:firstLine="482"/>
    </w:pPr>
    <w:rPr>
      <w:i/>
      <w:iCs/>
      <w:color w:val="4F81BD"/>
      <w:spacing w:val="15"/>
      <w:sz w:val="24"/>
      <w:szCs w:val="24"/>
    </w:rPr>
  </w:style>
  <w:style w:type="paragraph" w:styleId="NoSpacing">
    <w:name w:val="No Spacing"/>
    <w:uiPriority w:val="1"/>
    <w:qFormat/>
    <w:rsid w:val="0098229f"/>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link w:val="Style14"/>
    <w:uiPriority w:val="34"/>
    <w:qFormat/>
    <w:rsid w:val="0098229f"/>
    <w:pPr>
      <w:spacing w:before="120" w:after="120"/>
      <w:contextualSpacing/>
      <w:jc w:val="left"/>
    </w:pPr>
    <w:rPr/>
  </w:style>
  <w:style w:type="paragraph" w:styleId="Quote">
    <w:name w:val="Quote"/>
    <w:basedOn w:val="Normal"/>
    <w:next w:val="Normal"/>
    <w:link w:val="21"/>
    <w:uiPriority w:val="29"/>
    <w:qFormat/>
    <w:rsid w:val="0098229f"/>
    <w:pPr>
      <w:pBdr>
        <w:left w:val="single" w:sz="24" w:space="10" w:color="999999"/>
      </w:pBdr>
      <w:spacing w:before="120" w:after="0"/>
      <w:ind w:hanging="0" w:left="964"/>
    </w:pPr>
    <w:rPr>
      <w:i/>
      <w:iCs/>
      <w:color w:val="8064A2"/>
    </w:rPr>
  </w:style>
  <w:style w:type="paragraph" w:styleId="DeletedPlaceholder1" w:customStyle="1">
    <w:name w:val="DeletedPlaceholder"/>
    <w:basedOn w:val="Normal"/>
    <w:next w:val="Normal"/>
    <w:link w:val="DeletedPlaceholder"/>
    <w:uiPriority w:val="29"/>
    <w:qFormat/>
    <w:rsid w:val="00eb0599"/>
    <w:pPr>
      <w:pBdr>
        <w:left w:val="single" w:sz="24" w:space="10" w:color="999999"/>
      </w:pBdr>
      <w:spacing w:before="120" w:after="0"/>
      <w:ind w:hanging="0" w:left="964"/>
    </w:pPr>
    <w:rPr>
      <w:i/>
      <w:iCs/>
      <w:color w:val="FF3F1F"/>
    </w:rPr>
  </w:style>
  <w:style w:type="paragraph" w:styleId="Warning" w:customStyle="1">
    <w:name w:val="Warning"/>
    <w:basedOn w:val="Normal"/>
    <w:next w:val="Normal"/>
    <w:link w:val="21"/>
    <w:uiPriority w:val="29"/>
    <w:qFormat/>
    <w:rsid w:val="0098229f"/>
    <w:pPr>
      <w:pBdr>
        <w:left w:val="single" w:sz="24" w:space="10" w:color="999999"/>
      </w:pBdr>
      <w:spacing w:before="120" w:after="0"/>
      <w:ind w:hanging="0" w:left="964"/>
    </w:pPr>
    <w:rPr>
      <w:i/>
      <w:iCs/>
      <w:color w:val="E36C0A"/>
    </w:rPr>
  </w:style>
  <w:style w:type="paragraph" w:styleId="QuoteMargin" w:customStyle="1">
    <w:name w:val="QuoteMargin"/>
    <w:qFormat/>
    <w:rsid w:val="0013305c"/>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7"/>
    <w:uiPriority w:val="30"/>
    <w:qFormat/>
    <w:rsid w:val="0098229f"/>
    <w:pPr>
      <w:pBdr>
        <w:bottom w:val="single" w:sz="4" w:space="4" w:color="4F81BD"/>
      </w:pBdr>
      <w:spacing w:before="200" w:after="0"/>
      <w:ind w:left="936" w:right="936"/>
    </w:pPr>
    <w:rPr>
      <w:b/>
      <w:bCs/>
      <w:i/>
      <w:iCs/>
      <w:color w:val="4F81BD"/>
    </w:rPr>
  </w:style>
  <w:style w:type="paragraph" w:styleId="IndexHeading">
    <w:name w:val="index heading"/>
    <w:basedOn w:val="user"/>
    <w:pPr/>
    <w:rPr/>
  </w:style>
  <w:style w:type="paragraph" w:styleId="TOCHeading">
    <w:name w:val="TOC Heading"/>
    <w:basedOn w:val="Heading1"/>
    <w:next w:val="Normal"/>
    <w:uiPriority w:val="39"/>
    <w:qFormat/>
    <w:rsid w:val="0098229f"/>
    <w:pPr>
      <w:numPr>
        <w:ilvl w:val="0"/>
        <w:numId w:val="1"/>
      </w:numPr>
      <w:outlineLvl w:val="9"/>
    </w:pPr>
    <w:rPr/>
  </w:style>
  <w:style w:type="paragraph" w:styleId="DocumentMap">
    <w:name w:val="Document Map"/>
    <w:basedOn w:val="Normal"/>
    <w:link w:val="Style8"/>
    <w:uiPriority w:val="99"/>
    <w:semiHidden/>
    <w:unhideWhenUsed/>
    <w:qFormat/>
    <w:rsid w:val="00222923"/>
    <w:pPr>
      <w:spacing w:lineRule="auto" w:line="240" w:before="120" w:after="0"/>
    </w:pPr>
    <w:rPr>
      <w:rFonts w:ascii="Tahoma" w:hAnsi="Tahoma" w:cs="Tahoma"/>
      <w:sz w:val="16"/>
      <w:szCs w:val="16"/>
    </w:rPr>
  </w:style>
  <w:style w:type="paragraph" w:styleId="user2">
    <w:name w:val="Колонтитулы (user)"/>
    <w:basedOn w:val="Normal"/>
    <w:qFormat/>
    <w:pPr/>
    <w:rPr/>
  </w:style>
  <w:style w:type="paragraph" w:styleId="Style17">
    <w:name w:val="Колонтитулы"/>
    <w:basedOn w:val="Normal"/>
    <w:qFormat/>
    <w:pPr/>
    <w:rPr/>
  </w:style>
  <w:style w:type="paragraph" w:styleId="Header">
    <w:name w:val="header"/>
    <w:basedOn w:val="Normal"/>
    <w:link w:val="Style9"/>
    <w:uiPriority w:val="99"/>
    <w:semiHidden/>
    <w:unhideWhenUsed/>
    <w:rsid w:val="00256a2f"/>
    <w:pPr>
      <w:tabs>
        <w:tab w:val="clear" w:pos="720"/>
        <w:tab w:val="center" w:pos="4677" w:leader="none"/>
        <w:tab w:val="right" w:pos="9355" w:leader="none"/>
      </w:tabs>
      <w:spacing w:lineRule="auto" w:line="240" w:before="0" w:after="0"/>
      <w:jc w:val="center"/>
    </w:pPr>
    <w:rPr>
      <w:sz w:val="16"/>
      <w:szCs w:val="20"/>
    </w:rPr>
  </w:style>
  <w:style w:type="paragraph" w:styleId="Footer">
    <w:name w:val="footer"/>
    <w:basedOn w:val="Normal"/>
    <w:link w:val="Style10"/>
    <w:uiPriority w:val="99"/>
    <w:semiHidden/>
    <w:unhideWhenUsed/>
    <w:rsid w:val="00256a2f"/>
    <w:pPr>
      <w:tabs>
        <w:tab w:val="clear" w:pos="720"/>
        <w:tab w:val="center" w:pos="4677" w:leader="none"/>
        <w:tab w:val="right" w:pos="9355" w:leader="none"/>
      </w:tabs>
      <w:spacing w:lineRule="auto" w:line="240" w:before="0" w:after="0"/>
      <w:jc w:val="center"/>
    </w:pPr>
    <w:rPr>
      <w:sz w:val="16"/>
      <w:szCs w:val="20"/>
    </w:rPr>
  </w:style>
  <w:style w:type="paragraph" w:styleId="FootnoteText">
    <w:name w:val="footnote text"/>
    <w:basedOn w:val="Normal"/>
    <w:link w:val="12"/>
    <w:rsid w:val="00f06394"/>
    <w:pPr>
      <w:spacing w:lineRule="auto" w:line="216"/>
    </w:pPr>
    <w:rPr>
      <w:sz w:val="20"/>
      <w:szCs w:val="20"/>
    </w:rPr>
  </w:style>
  <w:style w:type="paragraph" w:styleId="footnotetextunindented" w:customStyle="1">
    <w:name w:val="footnote text unindented"/>
    <w:basedOn w:val="Normalunindented"/>
    <w:qFormat/>
    <w:rsid w:val="00f06394"/>
    <w:pPr>
      <w:spacing w:lineRule="auto" w:line="216"/>
    </w:pPr>
    <w:rPr>
      <w:sz w:val="20"/>
      <w:szCs w:val="20"/>
    </w:rPr>
  </w:style>
  <w:style w:type="paragraph" w:styleId="13" w:customStyle="1">
    <w:name w:val="Название Знак1"/>
    <w:basedOn w:val="ListParagraph"/>
    <w:qFormat/>
    <w:rsid w:val="00f06394"/>
    <w:pPr>
      <w:spacing w:lineRule="auto" w:line="216"/>
    </w:pPr>
    <w:rPr>
      <w:sz w:val="20"/>
      <w:szCs w:val="20"/>
    </w:rPr>
  </w:style>
  <w:style w:type="paragraph" w:styleId="c1e0e7eee2fbe9" w:customStyle="1">
    <w:name w:val="Бc1аe0зe7оeeвe2ыfbйe9"/>
    <w:qFormat/>
    <w:rsid w:val="00e72657"/>
    <w:pPr>
      <w:widowControl w:val="false"/>
      <w:suppressAutoHyphens w:val="true"/>
      <w:bidi w:val="0"/>
      <w:spacing w:before="0" w:after="0"/>
      <w:jc w:val="left"/>
    </w:pPr>
    <w:rPr>
      <w:rFonts w:ascii="Times New Roman" w:hAnsi="Times New Roman" w:eastAsia="Times New Roman" w:cs="Times New Roman"/>
      <w:color w:val="auto"/>
      <w:kern w:val="2"/>
      <w:sz w:val="24"/>
      <w:szCs w:val="24"/>
      <w:lang w:val="ru-RU" w:eastAsia="zh-CN" w:bidi="hi-IN"/>
    </w:rPr>
  </w:style>
  <w:style w:type="paragraph" w:styleId="BalloonText">
    <w:name w:val="Balloon Text"/>
    <w:basedOn w:val="Normal"/>
    <w:link w:val="Style12"/>
    <w:uiPriority w:val="99"/>
    <w:semiHidden/>
    <w:unhideWhenUsed/>
    <w:qFormat/>
    <w:rsid w:val="001d617b"/>
    <w:pPr>
      <w:spacing w:lineRule="auto" w:line="240" w:before="0" w:after="0"/>
    </w:pPr>
    <w:rPr>
      <w:rFonts w:ascii="Tahoma" w:hAnsi="Tahoma" w:cs="Tahoma"/>
      <w:sz w:val="16"/>
      <w:szCs w:val="16"/>
    </w:rPr>
  </w:style>
  <w:style w:type="paragraph" w:styleId="ConsPlusNormal1" w:customStyle="1">
    <w:name w:val="ConsPlusNormal"/>
    <w:link w:val="ConsPlusNormal"/>
    <w:qFormat/>
    <w:rsid w:val="002b01ba"/>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TableParagraph" w:customStyle="1">
    <w:name w:val="Table Paragraph"/>
    <w:basedOn w:val="Normal"/>
    <w:uiPriority w:val="1"/>
    <w:qFormat/>
    <w:rsid w:val="00990705"/>
    <w:pPr>
      <w:widowControl w:val="false"/>
      <w:spacing w:lineRule="auto" w:line="240" w:before="0" w:after="0"/>
      <w:ind w:hanging="0" w:left="110"/>
      <w:jc w:val="left"/>
    </w:pPr>
    <w:rPr>
      <w:lang w:eastAsia="en-US"/>
    </w:rPr>
  </w:style>
  <w:style w:type="paragraph" w:styleId="ConsNormal" w:customStyle="1">
    <w:name w:val="ConsNormal"/>
    <w:qFormat/>
    <w:rsid w:val="001a01be"/>
    <w:pPr>
      <w:widowControl/>
      <w:suppressAutoHyphens w:val="true"/>
      <w:bidi w:val="0"/>
      <w:spacing w:before="0" w:after="0"/>
      <w:jc w:val="both"/>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link w:val="Style13"/>
    <w:uiPriority w:val="34"/>
    <w:unhideWhenUsed/>
    <w:qFormat/>
    <w:rsid w:val="005e0e32"/>
    <w:pPr>
      <w:spacing w:lineRule="auto" w:line="240" w:beforeAutospacing="1" w:afterAutospacing="1"/>
      <w:ind w:hanging="0"/>
      <w:jc w:val="left"/>
    </w:pPr>
    <w:rPr>
      <w:sz w:val="24"/>
      <w:szCs w:val="24"/>
    </w:rPr>
  </w:style>
  <w:style w:type="paragraph" w:styleId="user3">
    <w:name w:val="Содержимое врезки (user)"/>
    <w:basedOn w:val="Normal"/>
    <w:qFormat/>
    <w:pPr/>
    <w:rPr/>
  </w:style>
  <w:style w:type="paragraph" w:styleId="Style18">
    <w:name w:val="Содержимое врезки"/>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formattext">
    <w:name w:val="formattext"/>
    <w:basedOn w:val="Normal"/>
    <w:qFormat/>
    <w:pPr>
      <w:spacing w:lineRule="auto" w:line="240" w:before="280" w:after="280"/>
    </w:pPr>
    <w:rPr>
      <w:rFonts w:ascii="Times New Roman" w:hAnsi="Times New Roman" w:eastAsia="Times New Roman" w:cs="Times New Roman"/>
      <w:sz w:val="24"/>
      <w:szCs w:val="24"/>
      <w:lang w:eastAsia="ru-RU"/>
    </w:rPr>
  </w:style>
  <w:style w:type="numbering" w:styleId="Style21"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Style0">
    <w:name w:val="TableStyle0"/>
    <w:rsid w:val="009f184c"/>
    <w:rPr>
      <w:rFonts w:eastAsiaTheme="minorEastAsia" w:cstheme="minorBidi"/>
      <w:sz w:val="16"/>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s://zakupki.gov.ru/epz/ktru/ktruCard/ktru-description.html?itemId=21.20.23.110-00000099&amp;backUrl=" TargetMode="External"/><Relationship Id="rId6" Type="http://schemas.openxmlformats.org/officeDocument/2006/relationships/hyperlink" Target="https://zakupki.gov.ru/epz/ktru/ktruCard/ktru-description.html?itemId=21.20.23.110-00002742&amp;backUrl=" TargetMode="External"/><Relationship Id="rId7" Type="http://schemas.openxmlformats.org/officeDocument/2006/relationships/hyperlink" Target="https://zakupki.gov.ru/epz/ktru/ktruCard/ktru-description.html?itemId=21.20.23.110-00005578&amp;backUrl="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C7AEB-325D-4408-AE45-132268ED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Application>LibreOffice/24.8.7.2$Linux_X86_64 LibreOffice_project/480$Build-2</Application>
  <AppVersion>15.0000</AppVersion>
  <Pages>11</Pages>
  <Words>3026</Words>
  <Characters>21216</Characters>
  <CharactersWithSpaces>24083</CharactersWithSpaces>
  <Paragraphs>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2025-09-15T06:47:00Z</dcterms:created>
  <dc:creator>Олеся</dc:creator>
  <dc:description>Консультант Плюс - Конструктор Договоров</dc:description>
  <dc:language>ru-RU</dc:language>
  <cp:lastModifiedBy/>
  <cp:lastPrinted>2025-02-13T08:52:00Z</cp:lastPrinted>
  <dcterms:modified xsi:type="dcterms:W3CDTF">2026-07-31T10:48:57Z</dcterms:modified>
  <cp:revision>41</cp:revision>
  <dc:subject/>
  <dc:title>Контракт на поставку товара №____</dc:title>
</cp:coreProperties>
</file>

<file path=docProps/custom.xml><?xml version="1.0" encoding="utf-8"?>
<Properties xmlns="http://schemas.openxmlformats.org/officeDocument/2006/custom-properties" xmlns:vt="http://schemas.openxmlformats.org/officeDocument/2006/docPropsVTypes"/>
</file>