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endnotes.xml" ContentType="application/vnd.openxmlformats-officedocument.wordprocessingml.endnote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document.xml" ContentType="application/vnd.openxmlformats-officedocument.wordprocessingml.document.glossary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 w:val="off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Обоснование начальных цен единиц товара, услуги (работы), 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widowControl w:val="off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начальной суммы цен, максимального значения цены контракта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widowControl w:val="off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tbl>
      <w:tblPr>
        <w:tblStyle w:val="836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>
        <w:trPr/>
        <w:tblPrEx/>
        <w:tc>
          <w:tcPr>
            <w:tcW w:w="3050" w:type="dxa"/>
            <w:noWrap w:val="false"/>
            <w:textDirection w:val="lrTb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Характеристики</w:t>
            </w:r>
            <w:r>
              <w:rPr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sz w:val="18"/>
                <w:szCs w:val="18"/>
                <w:lang w:val="en-US" w:eastAsia="zh-CN"/>
              </w:rPr>
              <w:t xml:space="preserve">объекта</w:t>
            </w:r>
            <w:r>
              <w:rPr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sz w:val="18"/>
                <w:szCs w:val="18"/>
                <w:lang w:val="en-US" w:eastAsia="zh-CN"/>
              </w:rPr>
              <w:t xml:space="preserve">закупки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2571" w:type="dxa"/>
            <w:noWrap w:val="false"/>
            <w:textDirection w:val="lrTb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Характеристики объекта закупки указаны в описании объекта закупки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</w:tr>
      <w:tr>
        <w:trPr/>
        <w:tblPrEx/>
        <w:tc>
          <w:tcPr>
            <w:tcW w:w="3050" w:type="dxa"/>
            <w:noWrap w:val="false"/>
            <w:textDirection w:val="lrTb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Используемый метод определения НМЦЕ с обоснованием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2571" w:type="dxa"/>
            <w:noWrap w:val="false"/>
            <w:textDirection w:val="lrTb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Так как количество поставляемых товаров, объем подлежащих выполнению работ, оказанию услуг невозможно определи</w:t>
            </w:r>
            <w:r>
              <w:rPr>
                <w:sz w:val="18"/>
                <w:szCs w:val="18"/>
                <w:lang w:eastAsia="zh-CN"/>
              </w:rPr>
              <w:t xml:space="preserve">ть, в соответствии с ч. 24 ст. 22 Закона № 44-ФЗ, определены и обоснованы начальные цены единиц товара, работы, услуги, начальная сумма цен единиц, максимальное значение цены контракта.Начальные цены единиц товара, услуги (работы) определены методом сопост</w:t>
            </w:r>
            <w:r>
              <w:rPr>
                <w:sz w:val="18"/>
                <w:szCs w:val="18"/>
                <w:lang w:eastAsia="zh-CN"/>
              </w:rPr>
              <w:t xml:space="preserve">авимых рыночных цен(анализа рынка), который является приоритетным для определения и обоснования начальной(максимальной) цены контракта, цены контракта, заключаемого с единственным поставщиком(подрядчиком, исполнителем) (в соответствии с ч.6 ст.22 44 - ФЗ).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</w:tr>
    </w:tbl>
    <w:p>
      <w:pPr>
        <w:widowControl w:val="off"/>
        <w:spacing w:after="0" w:line="240" w:lineRule="auto"/>
        <w:jc w:val="center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widowControl w:val="off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  <w:lang w:eastAsia="zh-CN"/>
        </w:rPr>
      </w:pPr>
      <w:sdt>
        <w:sdtPr>
          <w:alias w:val="calc-name"/>
          <w15:appearance w15:val="boundingBox"/>
          <w:id w:val="-1778556588"/>
          <w:placeholder>
            <w:docPart w:val="DD276044AC8A45939D8F27E073D229EE"/>
          </w:placeholder>
          <w:tag w:val="calc-name"/>
          <w:rPr>
            <w:rFonts w:ascii="Times New Roman" w:hAnsi="Times New Roman" w:eastAsia="SimSun" w:cs="Times New Roman"/>
            <w:sz w:val="24"/>
            <w:szCs w:val="24"/>
            <w:lang w:eastAsia="zh-CN"/>
          </w:rPr>
        </w:sdtPr>
        <w:sdtContent>
          <w:r>
            <w:rPr>
              <w:rFonts w:ascii="Times New Roman" w:hAnsi="Times New Roman" w:eastAsia="SimSun" w:cs="Times New Roman"/>
              <w:sz w:val="24"/>
              <w:szCs w:val="24"/>
              <w:lang w:eastAsia="zh-CN"/>
            </w:rPr>
            <w:t xml:space="preserve">Оказание услуг по вывозу и утилизации неисправных и непригодных к дальнейшему использованию товарно-материальных ценностей</w:t>
          </w:r>
        </w:sdtContent>
      </w:sdt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widowControl w:val="off"/>
        <w:spacing w:after="0" w:line="240" w:lineRule="auto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Расчет начальных цен единиц товара, услуги (работы) произведен по формуле: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widowControl w:val="off"/>
        <w:spacing w:after="0" w:line="240" w:lineRule="auto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Calibri" w:hAnsi="Calibri" w:eastAsia="SimSun" w:cs="Times New Roman"/>
          <w:sz w:val="21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66240" cy="628015"/>
                <wp:effectExtent l="0" t="0" r="0" b="635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1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666240" cy="628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131.20pt;height:49.4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widowControl w:val="off"/>
        <w:spacing w:after="0" w:line="240" w:lineRule="auto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n - количество значений, используемых в расчете;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widowControl w:val="off"/>
        <w:spacing w:after="0" w:line="240" w:lineRule="auto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i - номер источника ценовой информации;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widowControl w:val="off"/>
        <w:spacing w:after="0" w:line="240" w:lineRule="auto"/>
        <w:rPr>
          <w:rFonts w:ascii="Times New Roman" w:hAnsi="Times New Roman" w:eastAsia="SimSun" w:cs="Times New Roman"/>
          <w:sz w:val="18"/>
          <w:szCs w:val="18"/>
          <w:lang w:val="en-US"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Цi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 - цена единицы товара</w:t>
      </w:r>
      <w:r>
        <w:rPr>
          <w:rFonts w:ascii="Times New Roman" w:hAnsi="Times New Roman" w:eastAsia="SimSun" w:cs="Times New Roman"/>
          <w:sz w:val="18"/>
          <w:szCs w:val="18"/>
          <w:lang w:val="en-US" w:eastAsia="zh-CN"/>
        </w:rPr>
      </w:r>
      <w:r>
        <w:rPr>
          <w:rFonts w:ascii="Times New Roman" w:hAnsi="Times New Roman" w:eastAsia="SimSun" w:cs="Times New Roman"/>
          <w:sz w:val="18"/>
          <w:szCs w:val="18"/>
          <w:lang w:val="en-US" w:eastAsia="zh-CN"/>
        </w:rPr>
      </w:r>
    </w:p>
    <w:p>
      <w:pPr>
        <w:widowControl w:val="off"/>
        <w:spacing w:after="0" w:line="240" w:lineRule="auto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tbl>
      <w:tblPr>
        <w:tblStyle w:val="836"/>
        <w:tblW w:w="0" w:type="auto"/>
        <w:tblLook w:val="04A0" w:firstRow="1" w:lastRow="0" w:firstColumn="1" w:lastColumn="0" w:noHBand="0" w:noVBand="1"/>
      </w:tblPr>
      <w:tblGrid>
        <w:gridCol w:w="407"/>
        <w:gridCol w:w="1511"/>
        <w:gridCol w:w="1776"/>
        <w:gridCol w:w="736"/>
        <w:gridCol w:w="596"/>
        <w:gridCol w:w="1851"/>
        <w:gridCol w:w="963"/>
        <w:gridCol w:w="1111"/>
        <w:gridCol w:w="1686"/>
        <w:gridCol w:w="1911"/>
        <w:gridCol w:w="2840"/>
      </w:tblGrid>
      <w:tr>
        <w:trPr>
          <w:cantSplit/>
        </w:trPr>
        <w:tblPrEx/>
        <w:tc>
          <w:tcPr>
            <w:tcW w:w="407" w:type="dxa"/>
            <w:noWrap w:val="false"/>
            <w:textDirection w:val="lrTb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№</w:t>
            </w:r>
            <w:r>
              <w:rPr>
                <w:lang w:val="en-US" w:eastAsia="zh-CN"/>
              </w:rPr>
            </w:r>
            <w:r>
              <w:rPr>
                <w:lang w:val="en-US" w:eastAsia="zh-CN"/>
              </w:rPr>
            </w:r>
          </w:p>
        </w:tc>
        <w:tc>
          <w:tcPr>
            <w:tcW w:w="1511" w:type="dxa"/>
            <w:noWrap w:val="false"/>
            <w:textDirection w:val="lrTb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Наименование</w:t>
            </w:r>
            <w:r>
              <w:rPr>
                <w:lang w:val="en-US" w:eastAsia="zh-CN" w:bidi="ar"/>
              </w:rPr>
              <w:t xml:space="preserve"> </w:t>
            </w:r>
            <w:r>
              <w:rPr>
                <w:lang w:val="en-US" w:eastAsia="zh-CN" w:bidi="ar"/>
              </w:rPr>
              <w:t xml:space="preserve">товара</w:t>
            </w:r>
            <w:r>
              <w:rPr>
                <w:lang w:val="en-US" w:eastAsia="zh-CN" w:bidi="ar"/>
              </w:rPr>
              <w:t xml:space="preserve">, </w:t>
            </w:r>
            <w:r>
              <w:rPr>
                <w:lang w:val="en-US" w:eastAsia="zh-CN" w:bidi="ar"/>
              </w:rPr>
              <w:t xml:space="preserve">услуги</w:t>
            </w:r>
            <w:r>
              <w:rPr>
                <w:lang w:val="en-US" w:eastAsia="zh-CN" w:bidi="ar"/>
              </w:rPr>
              <w:t xml:space="preserve"> (</w:t>
            </w:r>
            <w:r>
              <w:rPr>
                <w:lang w:val="en-US" w:eastAsia="zh-CN" w:bidi="ar"/>
              </w:rPr>
              <w:t xml:space="preserve">работы</w:t>
            </w:r>
            <w:r>
              <w:rPr>
                <w:lang w:val="en-US" w:eastAsia="zh-CN" w:bidi="ar"/>
              </w:rPr>
              <w:t xml:space="preserve">)</w:t>
            </w:r>
            <w:r>
              <w:rPr>
                <w:lang w:val="en-US" w:eastAsia="zh-CN"/>
              </w:rPr>
            </w:r>
            <w:r>
              <w:rPr>
                <w:lang w:val="en-US" w:eastAsia="zh-CN"/>
              </w:rPr>
            </w:r>
          </w:p>
        </w:tc>
        <w:tc>
          <w:tcPr>
            <w:tcW w:w="1776" w:type="dxa"/>
            <w:noWrap w:val="false"/>
            <w:textDirection w:val="lrTb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ОКПД2/КТРУ</w:t>
            </w:r>
            <w:r>
              <w:rPr>
                <w:lang w:val="en-US" w:eastAsia="zh-CN"/>
              </w:rPr>
            </w:r>
            <w:r>
              <w:rPr>
                <w:lang w:val="en-US" w:eastAsia="zh-CN"/>
              </w:rPr>
            </w:r>
          </w:p>
        </w:tc>
        <w:tc>
          <w:tcPr>
            <w:tcW w:w="736" w:type="dxa"/>
            <w:noWrap w:val="false"/>
            <w:textDirection w:val="lrTb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Кол-во</w:t>
            </w:r>
            <w:r>
              <w:rPr>
                <w:lang w:val="en-US" w:eastAsia="zh-CN"/>
              </w:rPr>
            </w:r>
            <w:r>
              <w:rPr>
                <w:lang w:val="en-US" w:eastAsia="zh-CN"/>
              </w:rPr>
            </w:r>
          </w:p>
        </w:tc>
        <w:tc>
          <w:tcPr>
            <w:tcW w:w="596" w:type="dxa"/>
            <w:noWrap w:val="false"/>
            <w:textDirection w:val="lrTb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Ед</w:t>
            </w:r>
            <w:r>
              <w:rPr>
                <w:lang w:val="en-US" w:eastAsia="zh-CN" w:bidi="ar"/>
              </w:rPr>
              <w:t xml:space="preserve">. </w:t>
            </w:r>
            <w:r>
              <w:rPr>
                <w:lang w:val="en-US" w:eastAsia="zh-CN" w:bidi="ar"/>
              </w:rPr>
              <w:t xml:space="preserve">изм</w:t>
            </w:r>
            <w:r>
              <w:rPr>
                <w:lang w:val="en-US" w:eastAsia="zh-CN" w:bidi="ar"/>
              </w:rPr>
              <w:t xml:space="preserve">.</w:t>
            </w:r>
            <w:r>
              <w:rPr>
                <w:lang w:val="en-US" w:eastAsia="zh-CN"/>
              </w:rPr>
            </w:r>
            <w:r>
              <w:rPr>
                <w:lang w:val="en-US" w:eastAsia="zh-CN"/>
              </w:rPr>
            </w:r>
          </w:p>
        </w:tc>
        <w:tc>
          <w:tcPr>
            <w:tcW w:w="1851" w:type="dxa"/>
            <w:noWrap w:val="false"/>
            <w:textDirection w:val="lrTb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Источники</w:t>
            </w:r>
            <w:r>
              <w:rPr>
                <w:lang w:val="en-US" w:eastAsia="zh-CN"/>
              </w:rPr>
            </w:r>
            <w:r>
              <w:rPr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Цена</w:t>
            </w:r>
            <w:r>
              <w:rPr>
                <w:lang w:val="en-US" w:eastAsia="zh-CN" w:bidi="ar"/>
              </w:rPr>
              <w:t xml:space="preserve">, </w:t>
            </w:r>
            <w:r>
              <w:rPr>
                <w:lang w:val="en-US" w:eastAsia="zh-CN" w:bidi="ar"/>
              </w:rPr>
              <w:t xml:space="preserve">руб</w:t>
            </w:r>
            <w:r>
              <w:rPr>
                <w:lang w:val="en-US" w:eastAsia="zh-CN"/>
              </w:rPr>
            </w:r>
            <w:r>
              <w:rPr>
                <w:lang w:val="en-US" w:eastAsia="zh-CN"/>
              </w:rPr>
            </w:r>
          </w:p>
        </w:tc>
        <w:tc>
          <w:tcPr>
            <w:tcW w:w="1111" w:type="dxa"/>
            <w:noWrap w:val="false"/>
            <w:textDirection w:val="lrTb"/>
            <w:vAlign w:val="center"/>
          </w:tcPr>
          <w:p>
            <w:pPr>
              <w:jc w:val="center"/>
              <w:rPr>
                <w:lang w:val="en-US" w:eastAsia="zh-CN"/>
              </w:rPr>
            </w:pPr>
            <w:sdt>
              <w:sdtPr>
                <w:alias w:val="price-type"/>
                <w15:appearance w15:val="boundingBox"/>
                <w:id w:val="-1340460000"/>
                <w:placeholder>
                  <w:docPart w:val="DD276044AC8A45939D8F27E073D229EE"/>
                </w:placeholder>
                <w:tag w:val="price-type"/>
                <w:rPr>
                  <w:lang w:val="en-US" w:eastAsia="zh-CN" w:bidi="ar"/>
                </w:rPr>
              </w:sdtPr>
              <w:sdtContent>
                <w:r>
                  <w:rPr>
                    <w:lang w:val="en-US" w:eastAsia="zh-CN" w:bidi="ar"/>
                  </w:rPr>
                  <w:t xml:space="preserve">Средняя цена</w:t>
                </w:r>
              </w:sdtContent>
            </w:sdt>
            <w:r>
              <w:rPr>
                <w:lang w:val="en-US" w:eastAsia="zh-CN" w:bidi="ar"/>
              </w:rPr>
              <w:t xml:space="preserve"> (</w:t>
            </w:r>
            <w:r>
              <w:rPr>
                <w:lang w:val="en-US" w:eastAsia="zh-CN" w:bidi="ar"/>
              </w:rPr>
              <w:t xml:space="preserve">руб</w:t>
            </w:r>
            <w:r>
              <w:rPr>
                <w:lang w:val="en-US" w:eastAsia="zh-CN" w:bidi="ar"/>
              </w:rPr>
              <w:t xml:space="preserve">.)</w:t>
            </w:r>
            <w:r>
              <w:rPr>
                <w:lang w:val="en-US" w:eastAsia="zh-CN"/>
              </w:rPr>
            </w:r>
            <w:r>
              <w:rPr>
                <w:lang w:val="en-US" w:eastAsia="zh-CN"/>
              </w:rPr>
            </w:r>
          </w:p>
        </w:tc>
        <w:tc>
          <w:tcPr>
            <w:tcW w:w="1686" w:type="dxa"/>
            <w:noWrap w:val="false"/>
            <w:textDirection w:val="lrTb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Среднее</w:t>
            </w:r>
            <w:r>
              <w:rPr>
                <w:lang w:val="en-US" w:eastAsia="zh-CN" w:bidi="ar"/>
              </w:rPr>
              <w:t xml:space="preserve"> </w:t>
            </w:r>
            <w:r>
              <w:rPr>
                <w:lang w:val="en-US" w:eastAsia="zh-CN" w:bidi="ar"/>
              </w:rPr>
              <w:t xml:space="preserve">квадратичное</w:t>
            </w:r>
            <w:r>
              <w:rPr>
                <w:lang w:val="en-US" w:eastAsia="zh-CN" w:bidi="ar"/>
              </w:rPr>
              <w:t xml:space="preserve"> </w:t>
            </w:r>
            <w:r>
              <w:rPr>
                <w:lang w:val="en-US" w:eastAsia="zh-CN" w:bidi="ar"/>
              </w:rPr>
              <w:t xml:space="preserve">отклонение</w:t>
            </w:r>
            <w:r>
              <w:rPr>
                <w:rFonts w:ascii="Calibri" w:hAnsi="Calibri"/>
                <w:sz w:val="21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15035" cy="440055"/>
                      <wp:effectExtent l="0" t="0" r="18415" b="17145"/>
                      <wp:docPr id="2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2"/>
                              <pic:cNvPicPr/>
                              <pic:nvPr/>
                            </pic:nvPicPr>
                            <pic:blipFill>
                              <a:blip r:embed="rId10"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035" cy="4400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72.05pt;height:34.65pt;mso-wrap-distance-left:0.00pt;mso-wrap-distance-top:0.00pt;mso-wrap-distance-right:0.00pt;mso-wrap-distance-bottom:0.00pt;z-index:1;" stroked="f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>
              <w:rPr>
                <w:lang w:val="en-US" w:eastAsia="zh-CN"/>
              </w:rPr>
            </w:r>
            <w:r>
              <w:rPr>
                <w:lang w:val="en-US" w:eastAsia="zh-CN"/>
              </w:rPr>
            </w:r>
          </w:p>
        </w:tc>
        <w:tc>
          <w:tcPr>
            <w:tcW w:w="1911" w:type="dxa"/>
            <w:noWrap w:val="false"/>
            <w:textDirection w:val="lrTb"/>
            <w:vAlign w:val="center"/>
          </w:tcPr>
          <w:p>
            <w:pPr>
              <w:jc w:val="center"/>
              <w:rPr>
                <w:lang w:eastAsia="zh-CN"/>
              </w:rPr>
            </w:pPr>
            <w:r>
              <w:rPr>
                <w:lang w:val="en-US" w:eastAsia="zh-CN" w:bidi="ar"/>
              </w:rPr>
              <w:t xml:space="preserve">Коэффициент</w:t>
            </w:r>
            <w:r>
              <w:rPr>
                <w:lang w:val="en-US" w:eastAsia="zh-CN" w:bidi="ar"/>
              </w:rPr>
              <w:t xml:space="preserve"> </w:t>
            </w:r>
            <w:r>
              <w:rPr>
                <w:lang w:val="en-US" w:eastAsia="zh-CN" w:bidi="ar"/>
              </w:rPr>
              <w:t xml:space="preserve">вариации</w:t>
            </w:r>
            <w:r>
              <w:rPr>
                <w:lang w:val="en-US" w:eastAsia="zh-CN" w:bidi="ar"/>
              </w:rPr>
              <w:t xml:space="preserve"> (%)</w:t>
            </w:r>
            <w:r>
              <w:rPr>
                <w:rFonts w:ascii="Calibri" w:hAnsi="Calibri"/>
                <w:sz w:val="21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76325" cy="389890"/>
                      <wp:effectExtent l="0" t="0" r="0" b="11430"/>
                      <wp:docPr id="3" name="Picture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1"/>
                              <pic:cNvPicPr/>
                              <pic:nvPr/>
                            </pic:nvPicPr>
                            <pic:blipFill>
                              <a:blip r:embed="rId12">
                                <a:extLs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076325" cy="38989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84.75pt;height:30.70pt;mso-wrap-distance-left:0.00pt;mso-wrap-distance-top:0.00pt;mso-wrap-distance-right:0.00pt;mso-wrap-distance-bottom:0.00pt;z-index:1;" stroked="f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w:rPr>
                <w:lang w:eastAsia="zh-CN"/>
              </w:rPr>
            </w:r>
            <w:r>
              <w:rPr>
                <w:lang w:eastAsia="zh-CN"/>
              </w:rPr>
            </w:r>
          </w:p>
        </w:tc>
        <w:tc>
          <w:tcPr>
            <w:tcW w:w="2840" w:type="dxa"/>
            <w:noWrap w:val="false"/>
            <w:textDirection w:val="lrTb"/>
            <w:vAlign w:val="center"/>
          </w:tcPr>
          <w:p>
            <w:pPr>
              <w:jc w:val="center"/>
              <w:rPr>
                <w:lang w:val="en-US" w:eastAsia="zh-CN" w:bidi="ar"/>
              </w:rPr>
            </w:pPr>
            <w:r>
              <w:rPr>
                <w:lang w:val="en-US" w:eastAsia="zh-CN" w:bidi="ar"/>
              </w:rPr>
              <w:t xml:space="preserve">Начальная</w:t>
            </w:r>
            <w:r>
              <w:rPr>
                <w:lang w:val="en-US" w:eastAsia="zh-CN" w:bidi="ar"/>
              </w:rPr>
              <w:t xml:space="preserve"> </w:t>
            </w:r>
            <w:r>
              <w:rPr>
                <w:lang w:val="en-US" w:eastAsia="zh-CN" w:bidi="ar"/>
              </w:rPr>
              <w:t xml:space="preserve">цена</w:t>
            </w:r>
            <w:r>
              <w:rPr>
                <w:lang w:val="en-US" w:eastAsia="zh-CN" w:bidi="ar"/>
              </w:rPr>
              <w:t xml:space="preserve"> </w:t>
            </w:r>
            <w:r>
              <w:rPr>
                <w:lang w:val="en-US" w:eastAsia="zh-CN" w:bidi="ar"/>
              </w:rPr>
              <w:t xml:space="preserve">единицы</w:t>
            </w:r>
            <w:r>
              <w:rPr>
                <w:lang w:val="en-US" w:eastAsia="zh-CN" w:bidi="ar"/>
              </w:rPr>
            </w:r>
            <w:r>
              <w:rPr>
                <w:lang w:val="en-US" w:eastAsia="zh-CN" w:bidi="ar"/>
              </w:rPr>
            </w:r>
          </w:p>
          <w:p>
            <w:pPr>
              <w:jc w:val="center"/>
              <w:rPr>
                <w:lang w:val="en-US" w:eastAsia="zh-CN" w:bidi="ar"/>
              </w:rPr>
            </w:pPr>
            <w:r>
              <w:rPr>
                <w:rFonts w:ascii="Calibri" w:hAnsi="Calibri"/>
                <w:sz w:val="21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66240" cy="628015"/>
                      <wp:effectExtent l="0" t="0" r="0" b="635"/>
                      <wp:docPr id="4" name="Рисунок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Рисунок 1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66240" cy="6280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" o:spid="_x0000_s3" type="#_x0000_t75" style="width:131.20pt;height:49.45pt;mso-wrap-distance-left:0.00pt;mso-wrap-distance-top:0.00pt;mso-wrap-distance-right:0.00pt;mso-wrap-distance-bottom:0.00pt;z-index:1;" stroked="false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>
              <w:rPr>
                <w:lang w:val="en-US" w:eastAsia="zh-CN" w:bidi="ar"/>
              </w:rPr>
            </w:r>
            <w:r>
              <w:rPr>
                <w:lang w:val="en-US" w:eastAsia="zh-CN" w:bidi="ar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Калькулятор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2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Сетевой фильтр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3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Счетчик электрический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4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Счетчик воды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5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Кресло офисное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800,00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1 000,00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1 000,00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1 200,00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1 000,00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6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Стремянка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 w:val="0"/>
                <w:bCs w:val="0"/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152,75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35,25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7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Стенд информационный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 w:val="0"/>
                <w:bCs w:val="0"/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115,47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24,74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8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Репродукция в раме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57,74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21,65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9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Вывеска фасадная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57,74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10,19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Часы настенные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57,74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24,74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11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Подставка под системный блок на колесах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316,67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28,87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9,12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316,67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12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Стул офисный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833,33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208,17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24,98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833,33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900,00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1 000,00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13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Стол письменный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1 500,00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1 766,67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251,66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14,24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1 766,67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1 800,00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2 000,00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14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Тумба для оргтехники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15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Шкаф-гардероб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1 500,00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2 000,00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25,00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2 000,00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2 500,00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2 000,00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16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Шкаф КБ-011 КБ-011 (сейф)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3 000,00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2 500,00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2 500,00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2 500,00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2 000,00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17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Шкаф 21U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1 000,00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1 500,00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1 500,00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2 000,00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1 500,00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18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Шкаф для одежды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2 000,00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2 500,00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2 500,00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3 000,00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2 500,00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19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Шкаф д/книг со стекл.дв.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1 000,00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1 100,00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173,21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15,75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1 100,00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1 300,00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1 000,00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20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Жалюзи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21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Шредер-машина для резки бумаги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700,00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14,29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700,00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800,00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700,00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22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Брошюровальная машина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57,74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15,75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23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Стеллаж архивный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1 000,00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1 000,00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1 000,00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1 000,00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1 000,00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24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Диван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3 500,00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4 000,00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12,50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4 000,00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4 000,00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4 500,00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25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Кресло для отдыха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1 000,00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1 733,33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642,91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37,09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1 733,33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2 200,00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2 000,00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26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Скамья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700,00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14,29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700,00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700,00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800,00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27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Кондиционер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800,00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766,67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57,74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7,53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766,67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700,00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800,00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28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Охранная сигнализация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152,75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24,12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800,00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29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Лампа настольная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208,17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78,06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30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Система фильтрации воды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25,00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31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Жалюзи защитные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1 000,00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1 266,67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305,51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24,12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1 266,67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1 600,00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1 200,00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32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Пылесос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800,00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33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Сумка портплед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34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Система видеонаблюдения "Виконт 3/16"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57,74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9,12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700,00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35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Диктофон цифровой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152,75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41,66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36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Панель фр.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57,74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13,32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37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Елка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57,74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13,32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38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Видеомагнитофон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115,47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31,49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366,67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39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Полка настенная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152,75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45,83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40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Чайник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25,00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41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Вентилятор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25,00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400,00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42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Обогреватель масленный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57,74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9,12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700,00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trHeight w:val="180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43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Музыкальный центр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vMerge w:val="restart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152,75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24,12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/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/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/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/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/>
        </w:tc>
        <w:tc>
          <w:tcPr>
            <w:tcW w:w="1851" w:type="dxa"/>
            <w:vMerge w:val="restart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800,00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/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/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/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/>
        </w:tc>
      </w:tr>
      <w:tr>
        <w:trPr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/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/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/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/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/>
        </w:tc>
        <w:tc>
          <w:tcPr>
            <w:tcW w:w="1851" w:type="dxa"/>
            <w:vMerge w:val="restart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600,00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/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/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/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/>
        </w:tc>
      </w:tr>
      <w:tr>
        <w:trPr>
          <w:cantSplit/>
          <w:trHeight w:val="236"/>
        </w:trPr>
        <w:tblPrEx/>
        <w:tc>
          <w:tcPr>
            <w:tcW w:w="407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44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  <w14:ligatures w14:val="none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  <w:t xml:space="preserve">Зарядное устройство VANS V-6833/RO3 RO6 автомат</w:t>
            </w:r>
            <w:r>
              <w:rPr>
                <w:sz w:val="18"/>
                <w:szCs w:val="18"/>
                <w:lang w:eastAsia="zh-CN"/>
                <w14:ligatures w14:val="none"/>
              </w:rPr>
            </w:r>
            <w:r>
              <w:rPr>
                <w:sz w:val="18"/>
                <w:szCs w:val="18"/>
                <w:lang w:eastAsia="zh-CN"/>
                <w14:ligatures w14:val="none"/>
              </w:rPr>
            </w:r>
          </w:p>
        </w:tc>
        <w:tc>
          <w:tcPr>
            <w:tcW w:w="177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 xml:space="preserve">38.21.10.000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restart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  </w:t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шт</w:t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1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200,00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33,33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2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150,00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236"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sdt>
              <w:sdtPr>
                <w:alias w:val="count"/>
                <w15:appearance w15:val="boundingBox"/>
                <w:id w:val="508798037"/>
                <w:placeholder>
                  <w:docPart w:val="DD276044AC8A45939D8F27E073D229EE"/>
                </w:placeholder>
                <w:tag w:val="count"/>
                <w:rPr>
                  <w:sz w:val="18"/>
                  <w:szCs w:val="18"/>
                  <w:lang w:val="en-US" w:eastAsia="zh-CN"/>
                </w:rPr>
              </w:sdtPr>
              <w:sdtContent>
                <w:r>
                  <w:rPr>
                    <w:sz w:val="18"/>
                    <w:szCs w:val="18"/>
                    <w:lang w:val="en-US" w:eastAsia="zh-CN"/>
                  </w:rPr>
                  <w:t xml:space="preserve">1,00</w:t>
                </w:r>
              </w:sdtContent>
            </w:sdt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cMar>
              <w:left w:w="0" w:type="dxa"/>
              <w:right w:w="0" w:type="dxa"/>
            </w:tcMar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Поставщик 3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 xml:space="preserve">100,00</w:t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9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2840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  <w:r>
              <w:rPr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</w:trPr>
        <w:tblPrEx/>
        <w:tc>
          <w:tcPr>
            <w:tcW w:w="407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5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77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73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59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851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963" w:type="dxa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11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686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911" w:type="dxa"/>
            <w:noWrap w:val="false"/>
            <w:textDirection w:val="lrTb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Итого</w:t>
            </w:r>
            <w:r>
              <w:rPr>
                <w:lang w:val="en-US" w:eastAsia="zh-CN" w:bidi="ar"/>
              </w:rPr>
              <w:t xml:space="preserve">:</w:t>
            </w:r>
            <w:r>
              <w:rPr>
                <w:lang w:val="en-US" w:eastAsia="zh-CN"/>
              </w:rPr>
            </w:r>
            <w:r>
              <w:rPr>
                <w:lang w:val="en-US" w:eastAsia="zh-CN"/>
              </w:rPr>
            </w:r>
          </w:p>
        </w:tc>
        <w:tc>
          <w:tcPr>
            <w:tcW w:w="2840" w:type="dxa"/>
            <w:noWrap w:val="false"/>
            <w:textDirection w:val="lrTb"/>
            <w:vAlign w:val="center"/>
          </w:tcPr>
          <w:p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 w:bidi="ar"/>
              </w:rPr>
              <w:t xml:space="preserve">34 600,00</w:t>
            </w:r>
            <w:r>
              <w:rPr>
                <w:lang w:val="en-US" w:eastAsia="zh-CN"/>
              </w:rPr>
            </w:r>
            <w:r>
              <w:rPr>
                <w:lang w:val="en-US" w:eastAsia="zh-CN"/>
              </w:rPr>
            </w:r>
          </w:p>
        </w:tc>
      </w:tr>
      <w:tr>
        <w:trPr>
          <w:cantSplit/>
        </w:trPr>
        <w:tblPrEx/>
        <w:tc>
          <w:tcPr>
            <w:tcW w:w="15388" w:type="dxa"/>
            <w:gridSpan w:val="11"/>
            <w:noWrap w:val="false"/>
            <w:textDirection w:val="lrTb"/>
            <w:vAlign w:val="center"/>
          </w:tcPr>
          <w:p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На основании проведенного анализа рынка и расчетов, начальная сумма цен единиц товара, услуги (работы) составляет: </w:t>
            </w:r>
            <w:sdt>
              <w:sdtPr>
                <w:alias w:val="total"/>
                <w15:appearance w15:val="boundingBox"/>
                <w:id w:val="1391929372"/>
                <w:placeholder>
                  <w:docPart w:val="DD276044AC8A45939D8F27E073D229EE"/>
                </w:placeholder>
                <w:tag w:val="total"/>
                <w:rPr>
                  <w:lang w:eastAsia="zh-CN"/>
                </w:rPr>
              </w:sdtPr>
              <w:sdtContent>
                <w:r>
                  <w:rPr>
                    <w:lang w:eastAsia="zh-CN"/>
                  </w:rPr>
                  <w:t xml:space="preserve">34600,00</w:t>
                </w:r>
              </w:sdtContent>
            </w:sdt>
            <w:r>
              <w:rPr>
                <w:lang w:eastAsia="zh-CN"/>
              </w:rPr>
              <w:t xml:space="preserve"> рублей.</w:t>
            </w:r>
            <w:r>
              <w:rPr>
                <w:lang w:eastAsia="zh-CN"/>
              </w:rPr>
            </w:r>
            <w:r>
              <w:rPr>
                <w:lang w:eastAsia="zh-CN"/>
              </w:rPr>
            </w:r>
          </w:p>
          <w:p>
            <w:pPr>
              <w:jc w:val="center"/>
              <w:rPr>
                <w:lang w:eastAsia="zh-CN" w:bidi="ar"/>
              </w:rPr>
            </w:pPr>
            <w:r>
              <w:rPr>
                <w:lang w:eastAsia="zh-CN"/>
              </w:rPr>
              <w:t xml:space="preserve">Максимальное значение цены контракта составляет: </w:t>
            </w:r>
            <w:sdt>
              <w:sdtPr>
                <w:alias w:val="nmce-max-value"/>
                <w15:appearance w15:val="boundingBox"/>
                <w:id w:val="-963106289"/>
                <w:placeholder>
                  <w:docPart w:val="DD276044AC8A45939D8F27E073D229EE"/>
                </w:placeholder>
                <w:tag w:val="nmce-max-value"/>
                <w:rPr>
                  <w:lang w:eastAsia="zh-CN"/>
                </w:rPr>
              </w:sdtPr>
              <w:sdtContent>
                <w:r>
                  <w:rPr>
                    <w:lang w:eastAsia="zh-CN"/>
                  </w:rPr>
                  <w:t xml:space="preserve">84 100,00</w:t>
                </w:r>
              </w:sdtContent>
            </w:sdt>
            <w:r>
              <w:rPr>
                <w:lang w:eastAsia="zh-CN"/>
              </w:rPr>
              <w:t xml:space="preserve"> рублей.</w:t>
            </w:r>
            <w:r>
              <w:rPr>
                <w:lang w:eastAsia="zh-CN" w:bidi="ar"/>
              </w:rPr>
            </w:r>
            <w:r>
              <w:rPr>
                <w:lang w:eastAsia="zh-CN" w:bidi="ar"/>
              </w:rPr>
            </w:r>
          </w:p>
        </w:tc>
      </w:tr>
    </w:tbl>
    <w:p>
      <w:pPr>
        <w:widowControl w:val="off"/>
        <w:spacing w:after="0" w:line="240" w:lineRule="auto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widowControl w:val="off"/>
        <w:spacing w:after="0" w:line="240" w:lineRule="auto"/>
        <w:rPr>
          <w:rFonts w:ascii="Times New Roman" w:hAnsi="Times New Roman" w:eastAsia="SimSun" w:cs="Times New Roman"/>
          <w:sz w:val="18"/>
          <w:szCs w:val="18"/>
          <w:lang w:eastAsia="zh-CN"/>
        </w:rPr>
      </w:pPr>
      <w:bookmarkStart w:id="0" w:name="_GoBack"/>
      <w:bookmarkEnd w:id="0"/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>
        <w:trPr>
          <w:jc w:val="right"/>
          <w:trHeight w:val="300"/>
        </w:trPr>
        <w:tblPrEx/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Работник контрактной службы/контрактный управляющий: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r>
          </w:p>
        </w:tc>
      </w:tr>
      <w:tr>
        <w:trPr>
          <w:jc w:val="right"/>
          <w:trHeight w:val="420"/>
        </w:trPr>
        <w:tblPrEx/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sdt>
              <w:sdtPr>
                <w:alias w:val="responsible-position"/>
                <w15:appearance w15:val="boundingBox"/>
                <w:id w:val="-799140237"/>
                <w:placeholder>
                  <w:docPart w:val="2D16AB9B37404C17B93F449BF289155B"/>
                </w:placeholder>
                <w:showingPlcHdr w:val="true"/>
                <w:tag w:val="responsible-position"/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</w:sdtPr>
              <w:sdtContent>
                <w:r>
                  <w:t xml:space="preserve">Место для ввода текста.</w:t>
                </w:r>
              </w:sdtContent>
            </w:sdt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r>
          </w:p>
        </w:tc>
      </w:tr>
      <w:tr>
        <w:trPr>
          <w:jc w:val="right"/>
          <w:trHeight w:val="260"/>
        </w:trPr>
        <w:tblPrEx/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(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должность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)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r>
          </w:p>
        </w:tc>
      </w:tr>
      <w:tr>
        <w:trPr>
          <w:jc w:val="right"/>
          <w:trHeight w:val="480"/>
        </w:trPr>
        <w:tblPrEx/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/  </w:t>
            </w:r>
            <w:sdt>
              <w:sdtPr>
                <w:alias w:val="responsible-person"/>
                <w15:appearance w15:val="boundingBox"/>
                <w:id w:val="558361881"/>
                <w:placeholder>
                  <w:docPart w:val="1A55636BCA024462AA5C838013BF0528"/>
                </w:placeholder>
                <w:showingPlcHdr w:val="true"/>
                <w:tag w:val="responsible-person"/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</w:sdtPr>
              <w:sdtContent>
                <w:r>
                  <w:t xml:space="preserve">Место для ввода текста.</w:t>
                </w:r>
              </w:sdtContent>
            </w:sdt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r>
          </w:p>
        </w:tc>
      </w:tr>
      <w:tr>
        <w:trPr>
          <w:jc w:val="right"/>
          <w:trHeight w:val="240"/>
        </w:trPr>
        <w:tblPrEx/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(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подпись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/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расшифровка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подписи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)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  <w:r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r>
      <w:r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r>
      <w:r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r>
    </w:p>
    <w:p/>
    <w:sectPr>
      <w:footnotePr/>
      <w:endnotePr/>
      <w:type w:val="nextPage"/>
      <w:pgSz w:w="16838" w:h="11906" w:orient="landscape"/>
      <w:pgMar w:top="720" w:right="720" w:bottom="720" w:left="720" w:header="851" w:footer="992" w:gutter="0"/>
      <w:cols w:num="1" w:sep="0" w:space="425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0050600000002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2"/>
    <w:next w:val="832"/>
    <w:link w:val="656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3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2"/>
    <w:next w:val="832"/>
    <w:link w:val="658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3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2"/>
    <w:next w:val="832"/>
    <w:link w:val="660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3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2"/>
    <w:next w:val="832"/>
    <w:link w:val="662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3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2"/>
    <w:next w:val="832"/>
    <w:link w:val="664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3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2"/>
    <w:next w:val="832"/>
    <w:link w:val="666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3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2"/>
    <w:next w:val="832"/>
    <w:link w:val="668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3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2"/>
    <w:next w:val="832"/>
    <w:link w:val="67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3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2"/>
    <w:next w:val="832"/>
    <w:link w:val="672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3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2"/>
    <w:uiPriority w:val="34"/>
    <w:qFormat/>
    <w:pPr>
      <w:ind w:left="720"/>
      <w:contextualSpacing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2"/>
    <w:next w:val="832"/>
    <w:link w:val="676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76">
    <w:name w:val="Title Char"/>
    <w:basedOn w:val="833"/>
    <w:link w:val="675"/>
    <w:uiPriority w:val="10"/>
    <w:rPr>
      <w:sz w:val="48"/>
      <w:szCs w:val="48"/>
    </w:rPr>
  </w:style>
  <w:style w:type="paragraph" w:styleId="677">
    <w:name w:val="Subtitle"/>
    <w:basedOn w:val="832"/>
    <w:next w:val="832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3"/>
    <w:link w:val="677"/>
    <w:uiPriority w:val="11"/>
    <w:rPr>
      <w:sz w:val="24"/>
      <w:szCs w:val="24"/>
    </w:rPr>
  </w:style>
  <w:style w:type="paragraph" w:styleId="679">
    <w:name w:val="Quote"/>
    <w:basedOn w:val="832"/>
    <w:next w:val="832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2"/>
    <w:next w:val="832"/>
    <w:link w:val="68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2"/>
    <w:link w:val="684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4">
    <w:name w:val="Header Char"/>
    <w:basedOn w:val="833"/>
    <w:link w:val="683"/>
    <w:uiPriority w:val="99"/>
  </w:style>
  <w:style w:type="paragraph" w:styleId="685">
    <w:name w:val="Footer"/>
    <w:basedOn w:val="832"/>
    <w:link w:val="686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6">
    <w:name w:val="Footer Char"/>
    <w:basedOn w:val="833"/>
    <w:link w:val="685"/>
    <w:uiPriority w:val="99"/>
  </w:style>
  <w:style w:type="paragraph" w:styleId="687">
    <w:name w:val="Caption"/>
    <w:basedOn w:val="832"/>
    <w:next w:val="832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3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spacing w:after="57"/>
      <w:ind w:left="0" w:right="0" w:firstLine="0"/>
    </w:pPr>
  </w:style>
  <w:style w:type="paragraph" w:styleId="822">
    <w:name w:val="toc 2"/>
    <w:basedOn w:val="832"/>
    <w:next w:val="832"/>
    <w:uiPriority w:val="39"/>
    <w:unhideWhenUsed/>
    <w:pPr>
      <w:spacing w:after="57"/>
      <w:ind w:left="283" w:right="0" w:firstLine="0"/>
    </w:pPr>
  </w:style>
  <w:style w:type="paragraph" w:styleId="823">
    <w:name w:val="toc 3"/>
    <w:basedOn w:val="832"/>
    <w:next w:val="832"/>
    <w:uiPriority w:val="39"/>
    <w:unhideWhenUsed/>
    <w:pPr>
      <w:spacing w:after="57"/>
      <w:ind w:left="567" w:right="0" w:firstLine="0"/>
    </w:pPr>
  </w:style>
  <w:style w:type="paragraph" w:styleId="824">
    <w:name w:val="toc 4"/>
    <w:basedOn w:val="832"/>
    <w:next w:val="832"/>
    <w:uiPriority w:val="39"/>
    <w:unhideWhenUsed/>
    <w:pPr>
      <w:spacing w:after="57"/>
      <w:ind w:left="850" w:right="0" w:firstLine="0"/>
    </w:pPr>
  </w:style>
  <w:style w:type="paragraph" w:styleId="825">
    <w:name w:val="toc 5"/>
    <w:basedOn w:val="832"/>
    <w:next w:val="832"/>
    <w:uiPriority w:val="39"/>
    <w:unhideWhenUsed/>
    <w:pPr>
      <w:spacing w:after="57"/>
      <w:ind w:left="1134" w:right="0" w:firstLine="0"/>
    </w:pPr>
  </w:style>
  <w:style w:type="paragraph" w:styleId="826">
    <w:name w:val="toc 6"/>
    <w:basedOn w:val="832"/>
    <w:next w:val="832"/>
    <w:uiPriority w:val="39"/>
    <w:unhideWhenUsed/>
    <w:pPr>
      <w:spacing w:after="57"/>
      <w:ind w:left="1417" w:right="0" w:firstLine="0"/>
    </w:pPr>
  </w:style>
  <w:style w:type="paragraph" w:styleId="827">
    <w:name w:val="toc 7"/>
    <w:basedOn w:val="832"/>
    <w:next w:val="832"/>
    <w:uiPriority w:val="39"/>
    <w:unhideWhenUsed/>
    <w:pPr>
      <w:spacing w:after="57"/>
      <w:ind w:left="1701" w:right="0" w:firstLine="0"/>
    </w:pPr>
  </w:style>
  <w:style w:type="paragraph" w:styleId="828">
    <w:name w:val="toc 8"/>
    <w:basedOn w:val="832"/>
    <w:next w:val="832"/>
    <w:uiPriority w:val="39"/>
    <w:unhideWhenUsed/>
    <w:pPr>
      <w:spacing w:after="57"/>
      <w:ind w:left="1984" w:right="0" w:firstLine="0"/>
    </w:pPr>
  </w:style>
  <w:style w:type="paragraph" w:styleId="829">
    <w:name w:val="toc 9"/>
    <w:basedOn w:val="832"/>
    <w:next w:val="832"/>
    <w:uiPriority w:val="39"/>
    <w:unhideWhenUsed/>
    <w:pPr>
      <w:spacing w:after="57"/>
      <w:ind w:left="2268" w:right="0" w:firstLine="0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table" w:styleId="836">
    <w:name w:val="Table Grid"/>
    <w:basedOn w:val="834"/>
    <w:uiPriority w:val="59"/>
    <w:pPr>
      <w:widowControl w:val="off"/>
      <w:spacing w:after="0" w:line="240" w:lineRule="auto"/>
      <w:jc w:val="both"/>
    </w:pPr>
    <w:rPr>
      <w:rFonts w:ascii="Times New Roman" w:hAnsi="Times New Roman" w:eastAsia="SimSu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media1.svg"/><Relationship Id="rId12" Type="http://schemas.openxmlformats.org/officeDocument/2006/relationships/image" Target="media/image3.png"/><Relationship Id="rId13" Type="http://schemas.openxmlformats.org/officeDocument/2006/relationships/image" Target="media/media2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DD276044AC8A45939D8F27E073D229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22AC7B-DEF8-4686-8766-74E894943280}"/>
      </w:docPartPr>
      <w:docPartBody>
        <w:p>
          <w:pPr>
            <w:pStyle w:val="1489"/>
          </w:pPr>
          <w:r>
            <w:rPr>
              <w:rStyle w:val="1488"/>
            </w:rPr>
            <w:t xml:space="preserve">Место для ввода текста.</w:t>
          </w:r>
        </w:p>
      </w:docPartBody>
    </w:docPart>
    <w:docPart>
      <w:docPartPr>
        <w:name w:val="2D16AB9B37404C17B93F449BF28915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4BA1AD-2A50-4A22-B5AF-68ADAD127C6E}"/>
      </w:docPartPr>
      <w:docPartBody>
        <w:p>
          <w:pPr>
            <w:pStyle w:val="1492"/>
          </w:pPr>
          <w:r>
            <w:rPr>
              <w:rStyle w:val="1488"/>
            </w:rPr>
            <w:t xml:space="preserve">Место для ввода текста.</w:t>
          </w:r>
        </w:p>
      </w:docPartBody>
    </w:docPart>
    <w:docPart>
      <w:docPartPr>
        <w:name w:val="1A55636BCA024462AA5C838013BF05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11E087-53D9-4548-9869-90BD425AED6C}"/>
      </w:docPartPr>
      <w:docPartBody>
        <w:p>
          <w:pPr>
            <w:pStyle w:val="1491"/>
          </w:pPr>
          <w:r>
            <w:rPr>
              <w:rStyle w:val="1488"/>
            </w:rPr>
            <w:t xml:space="preserve"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06">
    <w:name w:val="Heading 1"/>
    <w:basedOn w:val="1484"/>
    <w:next w:val="1484"/>
    <w:link w:val="1307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07">
    <w:name w:val="Heading 1 Char"/>
    <w:basedOn w:val="1485"/>
    <w:link w:val="1306"/>
    <w:uiPriority w:val="9"/>
    <w:rPr>
      <w:rFonts w:ascii="Arial" w:hAnsi="Arial" w:eastAsia="Arial" w:cs="Arial"/>
      <w:sz w:val="40"/>
      <w:szCs w:val="40"/>
    </w:rPr>
  </w:style>
  <w:style w:type="paragraph" w:styleId="1308">
    <w:name w:val="Heading 2"/>
    <w:basedOn w:val="1484"/>
    <w:next w:val="1484"/>
    <w:link w:val="1309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309">
    <w:name w:val="Heading 2 Char"/>
    <w:basedOn w:val="1485"/>
    <w:link w:val="1308"/>
    <w:uiPriority w:val="9"/>
    <w:rPr>
      <w:rFonts w:ascii="Arial" w:hAnsi="Arial" w:eastAsia="Arial" w:cs="Arial"/>
      <w:sz w:val="34"/>
    </w:rPr>
  </w:style>
  <w:style w:type="paragraph" w:styleId="1310">
    <w:name w:val="Heading 3"/>
    <w:basedOn w:val="1484"/>
    <w:next w:val="1484"/>
    <w:link w:val="1311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311">
    <w:name w:val="Heading 3 Char"/>
    <w:basedOn w:val="1485"/>
    <w:link w:val="1310"/>
    <w:uiPriority w:val="9"/>
    <w:rPr>
      <w:rFonts w:ascii="Arial" w:hAnsi="Arial" w:eastAsia="Arial" w:cs="Arial"/>
      <w:sz w:val="30"/>
      <w:szCs w:val="30"/>
    </w:rPr>
  </w:style>
  <w:style w:type="paragraph" w:styleId="1312">
    <w:name w:val="Heading 4"/>
    <w:basedOn w:val="1484"/>
    <w:next w:val="1484"/>
    <w:link w:val="1313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313">
    <w:name w:val="Heading 4 Char"/>
    <w:basedOn w:val="1485"/>
    <w:link w:val="1312"/>
    <w:uiPriority w:val="9"/>
    <w:rPr>
      <w:rFonts w:ascii="Arial" w:hAnsi="Arial" w:eastAsia="Arial" w:cs="Arial"/>
      <w:b/>
      <w:bCs/>
      <w:sz w:val="26"/>
      <w:szCs w:val="26"/>
    </w:rPr>
  </w:style>
  <w:style w:type="paragraph" w:styleId="1314">
    <w:name w:val="Heading 5"/>
    <w:basedOn w:val="1484"/>
    <w:next w:val="1484"/>
    <w:link w:val="1315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1315">
    <w:name w:val="Heading 5 Char"/>
    <w:basedOn w:val="1485"/>
    <w:link w:val="1314"/>
    <w:uiPriority w:val="9"/>
    <w:rPr>
      <w:rFonts w:ascii="Arial" w:hAnsi="Arial" w:eastAsia="Arial" w:cs="Arial"/>
      <w:b/>
      <w:bCs/>
      <w:sz w:val="24"/>
      <w:szCs w:val="24"/>
    </w:rPr>
  </w:style>
  <w:style w:type="paragraph" w:styleId="1316">
    <w:name w:val="Heading 6"/>
    <w:basedOn w:val="1484"/>
    <w:next w:val="1484"/>
    <w:link w:val="1317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1317">
    <w:name w:val="Heading 6 Char"/>
    <w:basedOn w:val="1485"/>
    <w:link w:val="1316"/>
    <w:uiPriority w:val="9"/>
    <w:rPr>
      <w:rFonts w:ascii="Arial" w:hAnsi="Arial" w:eastAsia="Arial" w:cs="Arial"/>
      <w:b/>
      <w:bCs/>
      <w:sz w:val="22"/>
      <w:szCs w:val="22"/>
    </w:rPr>
  </w:style>
  <w:style w:type="paragraph" w:styleId="1318">
    <w:name w:val="Heading 7"/>
    <w:basedOn w:val="1484"/>
    <w:next w:val="1484"/>
    <w:link w:val="1319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319">
    <w:name w:val="Heading 7 Char"/>
    <w:basedOn w:val="1485"/>
    <w:link w:val="13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320">
    <w:name w:val="Heading 8"/>
    <w:basedOn w:val="1484"/>
    <w:next w:val="1484"/>
    <w:link w:val="1321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1321">
    <w:name w:val="Heading 8 Char"/>
    <w:basedOn w:val="1485"/>
    <w:link w:val="1320"/>
    <w:uiPriority w:val="9"/>
    <w:rPr>
      <w:rFonts w:ascii="Arial" w:hAnsi="Arial" w:eastAsia="Arial" w:cs="Arial"/>
      <w:i/>
      <w:iCs/>
      <w:sz w:val="22"/>
      <w:szCs w:val="22"/>
    </w:rPr>
  </w:style>
  <w:style w:type="paragraph" w:styleId="1322">
    <w:name w:val="Heading 9"/>
    <w:basedOn w:val="1484"/>
    <w:next w:val="1484"/>
    <w:link w:val="1323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323">
    <w:name w:val="Heading 9 Char"/>
    <w:basedOn w:val="1485"/>
    <w:link w:val="1322"/>
    <w:uiPriority w:val="9"/>
    <w:rPr>
      <w:rFonts w:ascii="Arial" w:hAnsi="Arial" w:eastAsia="Arial" w:cs="Arial"/>
      <w:i/>
      <w:iCs/>
      <w:sz w:val="21"/>
      <w:szCs w:val="21"/>
    </w:rPr>
  </w:style>
  <w:style w:type="paragraph" w:styleId="1324">
    <w:name w:val="List Paragraph"/>
    <w:basedOn w:val="1484"/>
    <w:uiPriority w:val="34"/>
    <w:qFormat/>
    <w:pPr>
      <w:ind w:left="720"/>
      <w:contextualSpacing/>
    </w:pPr>
  </w:style>
  <w:style w:type="paragraph" w:styleId="1325">
    <w:name w:val="No Spacing"/>
    <w:uiPriority w:val="1"/>
    <w:qFormat/>
    <w:pPr>
      <w:spacing w:before="0" w:after="0" w:line="240" w:lineRule="auto"/>
    </w:pPr>
  </w:style>
  <w:style w:type="paragraph" w:styleId="1326">
    <w:name w:val="Title"/>
    <w:basedOn w:val="1484"/>
    <w:next w:val="1484"/>
    <w:link w:val="1327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1327">
    <w:name w:val="Title Char"/>
    <w:basedOn w:val="1485"/>
    <w:link w:val="1326"/>
    <w:uiPriority w:val="10"/>
    <w:rPr>
      <w:sz w:val="48"/>
      <w:szCs w:val="48"/>
    </w:rPr>
  </w:style>
  <w:style w:type="paragraph" w:styleId="1328">
    <w:name w:val="Subtitle"/>
    <w:basedOn w:val="1484"/>
    <w:next w:val="1484"/>
    <w:link w:val="1329"/>
    <w:uiPriority w:val="11"/>
    <w:qFormat/>
    <w:pPr>
      <w:spacing w:before="200" w:after="200"/>
    </w:pPr>
    <w:rPr>
      <w:sz w:val="24"/>
      <w:szCs w:val="24"/>
    </w:rPr>
  </w:style>
  <w:style w:type="character" w:styleId="1329">
    <w:name w:val="Subtitle Char"/>
    <w:basedOn w:val="1485"/>
    <w:link w:val="1328"/>
    <w:uiPriority w:val="11"/>
    <w:rPr>
      <w:sz w:val="24"/>
      <w:szCs w:val="24"/>
    </w:rPr>
  </w:style>
  <w:style w:type="paragraph" w:styleId="1330">
    <w:name w:val="Quote"/>
    <w:basedOn w:val="1484"/>
    <w:next w:val="1484"/>
    <w:link w:val="1331"/>
    <w:uiPriority w:val="29"/>
    <w:qFormat/>
    <w:pPr>
      <w:ind w:left="720" w:right="720"/>
    </w:pPr>
    <w:rPr>
      <w:i/>
    </w:rPr>
  </w:style>
  <w:style w:type="character" w:styleId="1331">
    <w:name w:val="Quote Char"/>
    <w:link w:val="1330"/>
    <w:uiPriority w:val="29"/>
    <w:rPr>
      <w:i/>
    </w:rPr>
  </w:style>
  <w:style w:type="paragraph" w:styleId="1332">
    <w:name w:val="Intense Quote"/>
    <w:basedOn w:val="1484"/>
    <w:next w:val="1484"/>
    <w:link w:val="133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1333">
    <w:name w:val="Intense Quote Char"/>
    <w:link w:val="1332"/>
    <w:uiPriority w:val="30"/>
    <w:rPr>
      <w:i/>
    </w:rPr>
  </w:style>
  <w:style w:type="paragraph" w:styleId="1334">
    <w:name w:val="Header"/>
    <w:basedOn w:val="1484"/>
    <w:link w:val="1335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1335">
    <w:name w:val="Header Char"/>
    <w:basedOn w:val="1485"/>
    <w:link w:val="1334"/>
    <w:uiPriority w:val="99"/>
  </w:style>
  <w:style w:type="paragraph" w:styleId="1336">
    <w:name w:val="Footer"/>
    <w:basedOn w:val="1484"/>
    <w:link w:val="133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1337">
    <w:name w:val="Footer Char"/>
    <w:basedOn w:val="1485"/>
    <w:link w:val="1336"/>
    <w:uiPriority w:val="99"/>
  </w:style>
  <w:style w:type="paragraph" w:styleId="1338">
    <w:name w:val="Caption"/>
    <w:basedOn w:val="1484"/>
    <w:next w:val="1484"/>
    <w:link w:val="13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339">
    <w:name w:val="Caption Char"/>
    <w:basedOn w:val="1485"/>
    <w:link w:val="1338"/>
    <w:uiPriority w:val="35"/>
    <w:rPr>
      <w:b/>
      <w:bCs/>
      <w:color w:val="4f81bd" w:themeColor="accent1"/>
      <w:sz w:val="18"/>
      <w:szCs w:val="18"/>
    </w:rPr>
  </w:style>
  <w:style w:type="table" w:styleId="1340">
    <w:name w:val="Table Grid"/>
    <w:basedOn w:val="148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341">
    <w:name w:val="Table Grid Light"/>
    <w:basedOn w:val="14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342">
    <w:name w:val="Plain Table 1"/>
    <w:basedOn w:val="14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343">
    <w:name w:val="Plain Table 2"/>
    <w:basedOn w:val="148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344">
    <w:name w:val="Plain Table 3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345">
    <w:name w:val="Plain Table 4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46">
    <w:name w:val="Plain Table 5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347">
    <w:name w:val="Grid Table 1 Light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48">
    <w:name w:val="Grid Table 1 Light - Accent 1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49">
    <w:name w:val="Grid Table 1 Light - Accent 2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50">
    <w:name w:val="Grid Table 1 Light - Accent 3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51">
    <w:name w:val="Grid Table 1 Light - Accent 4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52">
    <w:name w:val="Grid Table 1 Light - Accent 5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53">
    <w:name w:val="Grid Table 1 Light - Accent 6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54">
    <w:name w:val="Grid Table 2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355">
    <w:name w:val="Grid Table 2 - Accent 1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356">
    <w:name w:val="Grid Table 2 - Accent 2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357">
    <w:name w:val="Grid Table 2 - Accent 3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358">
    <w:name w:val="Grid Table 2 - Accent 4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359">
    <w:name w:val="Grid Table 2 - Accent 5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360">
    <w:name w:val="Grid Table 2 - Accent 6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361">
    <w:name w:val="Grid Table 3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362">
    <w:name w:val="Grid Table 3 - Accent 1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363">
    <w:name w:val="Grid Table 3 - Accent 2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364">
    <w:name w:val="Grid Table 3 - Accent 3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365">
    <w:name w:val="Grid Table 3 - Accent 4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366">
    <w:name w:val="Grid Table 3 - Accent 5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367">
    <w:name w:val="Grid Table 3 - Accent 6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368">
    <w:name w:val="Grid Table 4"/>
    <w:basedOn w:val="14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369">
    <w:name w:val="Grid Table 4 - Accent 1"/>
    <w:basedOn w:val="14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370">
    <w:name w:val="Grid Table 4 - Accent 2"/>
    <w:basedOn w:val="14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371">
    <w:name w:val="Grid Table 4 - Accent 3"/>
    <w:basedOn w:val="14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372">
    <w:name w:val="Grid Table 4 - Accent 4"/>
    <w:basedOn w:val="14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373">
    <w:name w:val="Grid Table 4 - Accent 5"/>
    <w:basedOn w:val="14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374">
    <w:name w:val="Grid Table 4 - Accent 6"/>
    <w:basedOn w:val="14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375">
    <w:name w:val="Grid Table 5 Dark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1376">
    <w:name w:val="Grid Table 5 Dark- Accent 1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1377">
    <w:name w:val="Grid Table 5 Dark - Accent 2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1378">
    <w:name w:val="Grid Table 5 Dark - Accent 3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1379">
    <w:name w:val="Grid Table 5 Dark- Accent 4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1380">
    <w:name w:val="Grid Table 5 Dark - Accent 5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1381">
    <w:name w:val="Grid Table 5 Dark - Accent 6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1382">
    <w:name w:val="Grid Table 6 Colorful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383">
    <w:name w:val="Grid Table 6 Colorful - Accent 1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384">
    <w:name w:val="Grid Table 6 Colorful - Accent 2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385">
    <w:name w:val="Grid Table 6 Colorful - Accent 3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386">
    <w:name w:val="Grid Table 6 Colorful - Accent 4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387">
    <w:name w:val="Grid Table 6 Colorful - Accent 5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388">
    <w:name w:val="Grid Table 6 Colorful - Accent 6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389">
    <w:name w:val="Grid Table 7 Colorful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390">
    <w:name w:val="Grid Table 7 Colorful - Accent 1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391">
    <w:name w:val="Grid Table 7 Colorful - Accent 2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392">
    <w:name w:val="Grid Table 7 Colorful - Accent 3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393">
    <w:name w:val="Grid Table 7 Colorful - Accent 4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394">
    <w:name w:val="Grid Table 7 Colorful - Accent 5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395">
    <w:name w:val="Grid Table 7 Colorful - Accent 6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396">
    <w:name w:val="List Table 1 Light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97">
    <w:name w:val="List Table 1 Light - Accent 1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98">
    <w:name w:val="List Table 1 Light - Accent 2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99">
    <w:name w:val="List Table 1 Light - Accent 3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00">
    <w:name w:val="List Table 1 Light - Accent 4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01">
    <w:name w:val="List Table 1 Light - Accent 5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02">
    <w:name w:val="List Table 1 Light - Accent 6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03">
    <w:name w:val="List Table 2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404">
    <w:name w:val="List Table 2 - Accent 1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405">
    <w:name w:val="List Table 2 - Accent 2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406">
    <w:name w:val="List Table 2 - Accent 3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407">
    <w:name w:val="List Table 2 - Accent 4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408">
    <w:name w:val="List Table 2 - Accent 5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409">
    <w:name w:val="List Table 2 - Accent 6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410">
    <w:name w:val="List Table 3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11">
    <w:name w:val="List Table 3 - Accent 1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12">
    <w:name w:val="List Table 3 - Accent 2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13">
    <w:name w:val="List Table 3 - Accent 3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14">
    <w:name w:val="List Table 3 - Accent 4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15">
    <w:name w:val="List Table 3 - Accent 5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16">
    <w:name w:val="List Table 3 - Accent 6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17">
    <w:name w:val="List Table 4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18">
    <w:name w:val="List Table 4 - Accent 1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19">
    <w:name w:val="List Table 4 - Accent 2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0">
    <w:name w:val="List Table 4 - Accent 3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1">
    <w:name w:val="List Table 4 - Accent 4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2">
    <w:name w:val="List Table 4 - Accent 5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3">
    <w:name w:val="List Table 4 - Accent 6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4">
    <w:name w:val="List Table 5 Dark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25">
    <w:name w:val="List Table 5 Dark - Accent 1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26">
    <w:name w:val="List Table 5 Dark - Accent 2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27">
    <w:name w:val="List Table 5 Dark - Accent 3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28">
    <w:name w:val="List Table 5 Dark - Accent 4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29">
    <w:name w:val="List Table 5 Dark - Accent 5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30">
    <w:name w:val="List Table 5 Dark - Accent 6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31">
    <w:name w:val="List Table 6 Colorful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32">
    <w:name w:val="List Table 6 Colorful - Accent 1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33">
    <w:name w:val="List Table 6 Colorful - Accent 2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4">
    <w:name w:val="List Table 6 Colorful - Accent 3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5">
    <w:name w:val="List Table 6 Colorful - Accent 4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6">
    <w:name w:val="List Table 6 Colorful - Accent 5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7">
    <w:name w:val="List Table 6 Colorful - Accent 6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38">
    <w:name w:val="List Table 7 Colorful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39">
    <w:name w:val="List Table 7 Colorful - Accent 1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40">
    <w:name w:val="List Table 7 Colorful - Accent 2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41">
    <w:name w:val="List Table 7 Colorful - Accent 3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42">
    <w:name w:val="List Table 7 Colorful - Accent 4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43">
    <w:name w:val="List Table 7 Colorful - Accent 5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444">
    <w:name w:val="List Table 7 Colorful - Accent 6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445">
    <w:name w:val="Lined - Accent"/>
    <w:basedOn w:val="14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446">
    <w:name w:val="Lined - Accent 1"/>
    <w:basedOn w:val="14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447">
    <w:name w:val="Lined - Accent 2"/>
    <w:basedOn w:val="14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448">
    <w:name w:val="Lined - Accent 3"/>
    <w:basedOn w:val="14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449">
    <w:name w:val="Lined - Accent 4"/>
    <w:basedOn w:val="14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450">
    <w:name w:val="Lined - Accent 5"/>
    <w:basedOn w:val="14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451">
    <w:name w:val="Lined - Accent 6"/>
    <w:basedOn w:val="14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452">
    <w:name w:val="Bordered &amp; Lined - Accent"/>
    <w:basedOn w:val="14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453">
    <w:name w:val="Bordered &amp; Lined - Accent 1"/>
    <w:basedOn w:val="14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454">
    <w:name w:val="Bordered &amp; Lined - Accent 2"/>
    <w:basedOn w:val="14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455">
    <w:name w:val="Bordered &amp; Lined - Accent 3"/>
    <w:basedOn w:val="14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456">
    <w:name w:val="Bordered &amp; Lined - Accent 4"/>
    <w:basedOn w:val="14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457">
    <w:name w:val="Bordered &amp; Lined - Accent 5"/>
    <w:basedOn w:val="14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458">
    <w:name w:val="Bordered &amp; Lined - Accent 6"/>
    <w:basedOn w:val="14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459">
    <w:name w:val="Bordered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460">
    <w:name w:val="Bordered - Accent 1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461">
    <w:name w:val="Bordered - Accent 2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462">
    <w:name w:val="Bordered - Accent 3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463">
    <w:name w:val="Bordered - Accent 4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464">
    <w:name w:val="Bordered - Accent 5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465">
    <w:name w:val="Bordered - Accent 6"/>
    <w:basedOn w:val="14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466">
    <w:name w:val="Hyperlink"/>
    <w:uiPriority w:val="99"/>
    <w:unhideWhenUsed/>
    <w:rPr>
      <w:color w:val="0000ff" w:themeColor="hyperlink"/>
      <w:u w:val="single"/>
    </w:rPr>
  </w:style>
  <w:style w:type="paragraph" w:styleId="1467">
    <w:name w:val="footnote text"/>
    <w:basedOn w:val="1484"/>
    <w:link w:val="1468"/>
    <w:uiPriority w:val="99"/>
    <w:semiHidden/>
    <w:unhideWhenUsed/>
    <w:pPr>
      <w:spacing w:after="40" w:line="240" w:lineRule="auto"/>
    </w:pPr>
    <w:rPr>
      <w:sz w:val="18"/>
    </w:rPr>
  </w:style>
  <w:style w:type="character" w:styleId="1468">
    <w:name w:val="Footnote Text Char"/>
    <w:link w:val="1467"/>
    <w:uiPriority w:val="99"/>
    <w:rPr>
      <w:sz w:val="18"/>
    </w:rPr>
  </w:style>
  <w:style w:type="character" w:styleId="1469">
    <w:name w:val="footnote reference"/>
    <w:basedOn w:val="1485"/>
    <w:uiPriority w:val="99"/>
    <w:unhideWhenUsed/>
    <w:rPr>
      <w:vertAlign w:val="superscript"/>
    </w:rPr>
  </w:style>
  <w:style w:type="paragraph" w:styleId="1470">
    <w:name w:val="endnote text"/>
    <w:basedOn w:val="1484"/>
    <w:link w:val="1471"/>
    <w:uiPriority w:val="99"/>
    <w:semiHidden/>
    <w:unhideWhenUsed/>
    <w:pPr>
      <w:spacing w:after="0" w:line="240" w:lineRule="auto"/>
    </w:pPr>
    <w:rPr>
      <w:sz w:val="20"/>
    </w:rPr>
  </w:style>
  <w:style w:type="character" w:styleId="1471">
    <w:name w:val="Endnote Text Char"/>
    <w:link w:val="1470"/>
    <w:uiPriority w:val="99"/>
    <w:rPr>
      <w:sz w:val="20"/>
    </w:rPr>
  </w:style>
  <w:style w:type="character" w:styleId="1472">
    <w:name w:val="endnote reference"/>
    <w:basedOn w:val="1485"/>
    <w:uiPriority w:val="99"/>
    <w:semiHidden/>
    <w:unhideWhenUsed/>
    <w:rPr>
      <w:vertAlign w:val="superscript"/>
    </w:rPr>
  </w:style>
  <w:style w:type="paragraph" w:styleId="1473">
    <w:name w:val="toc 1"/>
    <w:basedOn w:val="1484"/>
    <w:next w:val="1484"/>
    <w:uiPriority w:val="39"/>
    <w:unhideWhenUsed/>
    <w:pPr>
      <w:spacing w:after="57"/>
      <w:ind w:left="0" w:right="0" w:firstLine="0"/>
    </w:pPr>
  </w:style>
  <w:style w:type="paragraph" w:styleId="1474">
    <w:name w:val="toc 2"/>
    <w:basedOn w:val="1484"/>
    <w:next w:val="1484"/>
    <w:uiPriority w:val="39"/>
    <w:unhideWhenUsed/>
    <w:pPr>
      <w:spacing w:after="57"/>
      <w:ind w:left="283" w:right="0" w:firstLine="0"/>
    </w:pPr>
  </w:style>
  <w:style w:type="paragraph" w:styleId="1475">
    <w:name w:val="toc 3"/>
    <w:basedOn w:val="1484"/>
    <w:next w:val="1484"/>
    <w:uiPriority w:val="39"/>
    <w:unhideWhenUsed/>
    <w:pPr>
      <w:spacing w:after="57"/>
      <w:ind w:left="567" w:right="0" w:firstLine="0"/>
    </w:pPr>
  </w:style>
  <w:style w:type="paragraph" w:styleId="1476">
    <w:name w:val="toc 4"/>
    <w:basedOn w:val="1484"/>
    <w:next w:val="1484"/>
    <w:uiPriority w:val="39"/>
    <w:unhideWhenUsed/>
    <w:pPr>
      <w:spacing w:after="57"/>
      <w:ind w:left="850" w:right="0" w:firstLine="0"/>
    </w:pPr>
  </w:style>
  <w:style w:type="paragraph" w:styleId="1477">
    <w:name w:val="toc 5"/>
    <w:basedOn w:val="1484"/>
    <w:next w:val="1484"/>
    <w:uiPriority w:val="39"/>
    <w:unhideWhenUsed/>
    <w:pPr>
      <w:spacing w:after="57"/>
      <w:ind w:left="1134" w:right="0" w:firstLine="0"/>
    </w:pPr>
  </w:style>
  <w:style w:type="paragraph" w:styleId="1478">
    <w:name w:val="toc 6"/>
    <w:basedOn w:val="1484"/>
    <w:next w:val="1484"/>
    <w:uiPriority w:val="39"/>
    <w:unhideWhenUsed/>
    <w:pPr>
      <w:spacing w:after="57"/>
      <w:ind w:left="1417" w:right="0" w:firstLine="0"/>
    </w:pPr>
  </w:style>
  <w:style w:type="paragraph" w:styleId="1479">
    <w:name w:val="toc 7"/>
    <w:basedOn w:val="1484"/>
    <w:next w:val="1484"/>
    <w:uiPriority w:val="39"/>
    <w:unhideWhenUsed/>
    <w:pPr>
      <w:spacing w:after="57"/>
      <w:ind w:left="1701" w:right="0" w:firstLine="0"/>
    </w:pPr>
  </w:style>
  <w:style w:type="paragraph" w:styleId="1480">
    <w:name w:val="toc 8"/>
    <w:basedOn w:val="1484"/>
    <w:next w:val="1484"/>
    <w:uiPriority w:val="39"/>
    <w:unhideWhenUsed/>
    <w:pPr>
      <w:spacing w:after="57"/>
      <w:ind w:left="1984" w:right="0" w:firstLine="0"/>
    </w:pPr>
  </w:style>
  <w:style w:type="paragraph" w:styleId="1481">
    <w:name w:val="toc 9"/>
    <w:basedOn w:val="1484"/>
    <w:next w:val="1484"/>
    <w:uiPriority w:val="39"/>
    <w:unhideWhenUsed/>
    <w:pPr>
      <w:spacing w:after="57"/>
      <w:ind w:left="2268" w:right="0" w:firstLine="0"/>
    </w:pPr>
  </w:style>
  <w:style w:type="paragraph" w:styleId="1482">
    <w:name w:val="TOC Heading"/>
    <w:uiPriority w:val="39"/>
    <w:unhideWhenUsed/>
  </w:style>
  <w:style w:type="paragraph" w:styleId="1483">
    <w:name w:val="table of figures"/>
    <w:basedOn w:val="1484"/>
    <w:next w:val="1484"/>
    <w:uiPriority w:val="99"/>
    <w:unhideWhenUsed/>
    <w:pPr>
      <w:spacing w:after="0" w:afterAutospacing="0"/>
    </w:pPr>
  </w:style>
  <w:style w:type="paragraph" w:styleId="1484" w:default="1">
    <w:name w:val="Normal"/>
    <w:qFormat/>
  </w:style>
  <w:style w:type="character" w:styleId="1485" w:default="1">
    <w:name w:val="Default Paragraph Font"/>
    <w:uiPriority w:val="1"/>
    <w:semiHidden/>
    <w:unhideWhenUsed/>
  </w:style>
  <w:style w:type="table" w:styleId="14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487" w:default="1">
    <w:name w:val="No List"/>
    <w:uiPriority w:val="99"/>
    <w:semiHidden/>
    <w:unhideWhenUsed/>
  </w:style>
  <w:style w:type="character" w:styleId="1488">
    <w:name w:val="Placeholder Text"/>
    <w:basedOn w:val="1485"/>
    <w:uiPriority w:val="99"/>
    <w:semiHidden/>
    <w:rPr>
      <w:color w:val="808080"/>
    </w:rPr>
  </w:style>
  <w:style w:type="paragraph" w:styleId="1489" w:customStyle="1">
    <w:name w:val="DD276044AC8A45939D8F27E073D229EE"/>
  </w:style>
  <w:style w:type="paragraph" w:styleId="1490" w:customStyle="1">
    <w:name w:val="E9DF032EE50440B1952B0B26E90575AE"/>
  </w:style>
  <w:style w:type="paragraph" w:styleId="1491" w:customStyle="1">
    <w:name w:val="1A55636BCA024462AA5C838013BF0528"/>
  </w:style>
  <w:style w:type="paragraph" w:styleId="1492" w:customStyle="1">
    <w:name w:val="2D16AB9B37404C17B93F449BF289155B"/>
  </w:style>
  <w:style w:type="paragraph" w:styleId="1493" w:customStyle="1">
    <w:name w:val="BA0FB8C6FDFD48339DD0CF8386AC2387"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Р7-Офис/2026.2.2.2683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kuvakinav</cp:lastModifiedBy>
  <cp:revision>9</cp:revision>
  <dcterms:created xsi:type="dcterms:W3CDTF">2024-05-21T07:41:00Z</dcterms:created>
  <dcterms:modified xsi:type="dcterms:W3CDTF">2026-08-18T12:30:43Z</dcterms:modified>
</cp:coreProperties>
</file>