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8450" w14:textId="6D0639FA" w:rsidR="00D07E9F" w:rsidRPr="005C0661" w:rsidRDefault="00D07E9F">
      <w:pPr>
        <w:rPr>
          <w:sz w:val="18"/>
          <w:lang w:val="en-US"/>
        </w:rPr>
      </w:pPr>
    </w:p>
    <w:p w14:paraId="22EB22F5" w14:textId="31A8E3A7" w:rsidR="00A27008" w:rsidRPr="00485E4A" w:rsidRDefault="00A27008">
      <w:pPr>
        <w:rPr>
          <w:sz w:val="28"/>
          <w:szCs w:val="28"/>
        </w:rPr>
      </w:pPr>
    </w:p>
    <w:p w14:paraId="37323E8F" w14:textId="2D9E07B1" w:rsidR="00A27008" w:rsidRPr="00485E4A" w:rsidRDefault="00A27008">
      <w:pPr>
        <w:rPr>
          <w:sz w:val="28"/>
          <w:szCs w:val="28"/>
        </w:rPr>
      </w:pPr>
      <w:r w:rsidRPr="00485E4A">
        <w:rPr>
          <w:sz w:val="28"/>
          <w:szCs w:val="28"/>
        </w:rPr>
        <w:t>Икз</w:t>
      </w:r>
      <w:r w:rsidR="00D95D62">
        <w:rPr>
          <w:sz w:val="28"/>
          <w:szCs w:val="28"/>
        </w:rPr>
        <w:t xml:space="preserve"> </w:t>
      </w:r>
    </w:p>
    <w:p w14:paraId="3DD6DF4C" w14:textId="77777777" w:rsidR="00A27008" w:rsidRPr="00485E4A" w:rsidRDefault="00A27008">
      <w:pPr>
        <w:rPr>
          <w:sz w:val="28"/>
          <w:szCs w:val="28"/>
        </w:rPr>
      </w:pPr>
    </w:p>
    <w:p w14:paraId="35D9B495" w14:textId="233C3BDA" w:rsidR="0052709E" w:rsidRPr="00177850" w:rsidRDefault="0052709E" w:rsidP="0052709E">
      <w:pPr>
        <w:rPr>
          <w:b/>
          <w:bCs/>
          <w:szCs w:val="24"/>
        </w:rPr>
      </w:pPr>
      <w:r w:rsidRPr="00177850">
        <w:rPr>
          <w:szCs w:val="24"/>
        </w:rPr>
        <w:t>Описание объекта закупки</w:t>
      </w:r>
      <w:r w:rsidRPr="00177850">
        <w:rPr>
          <w:szCs w:val="24"/>
        </w:rPr>
        <w:tab/>
      </w:r>
      <w:bookmarkStart w:id="0" w:name="_Hlk131684094"/>
      <w:r w:rsidRPr="00177850">
        <w:rPr>
          <w:szCs w:val="24"/>
        </w:rPr>
        <w:t xml:space="preserve">Поставка </w:t>
      </w:r>
      <w:bookmarkStart w:id="1" w:name="_Hlk131683918"/>
      <w:r w:rsidRPr="00177850">
        <w:rPr>
          <w:bCs/>
          <w:szCs w:val="24"/>
        </w:rPr>
        <w:t>лекарственн</w:t>
      </w:r>
      <w:r w:rsidR="00277D8F" w:rsidRPr="00177850">
        <w:rPr>
          <w:bCs/>
          <w:szCs w:val="24"/>
        </w:rPr>
        <w:t>ого</w:t>
      </w:r>
      <w:r w:rsidRPr="00177850">
        <w:rPr>
          <w:bCs/>
          <w:szCs w:val="24"/>
        </w:rPr>
        <w:t xml:space="preserve"> препарат</w:t>
      </w:r>
      <w:r w:rsidR="00277D8F" w:rsidRPr="00177850">
        <w:rPr>
          <w:bCs/>
          <w:szCs w:val="24"/>
        </w:rPr>
        <w:t>а</w:t>
      </w:r>
      <w:r w:rsidR="00BA6FCC" w:rsidRPr="00177850">
        <w:rPr>
          <w:bCs/>
          <w:szCs w:val="24"/>
        </w:rPr>
        <w:t xml:space="preserve"> (</w:t>
      </w:r>
      <w:r w:rsidR="00E75E76" w:rsidRPr="00E75E76">
        <w:rPr>
          <w:b/>
          <w:bCs/>
          <w:szCs w:val="24"/>
        </w:rPr>
        <w:t>ВАЛЬПРОЕВАЯ КИСЛОТА</w:t>
      </w:r>
      <w:r w:rsidR="00A935BA" w:rsidRPr="00177850">
        <w:rPr>
          <w:b/>
          <w:bCs/>
          <w:szCs w:val="24"/>
        </w:rPr>
        <w:t>).</w:t>
      </w:r>
      <w:bookmarkEnd w:id="0"/>
      <w:bookmarkEnd w:id="1"/>
    </w:p>
    <w:p w14:paraId="395C7E5B" w14:textId="2C682D9F" w:rsidR="00A27008" w:rsidRPr="00177850" w:rsidRDefault="00A27008">
      <w:pPr>
        <w:rPr>
          <w:szCs w:val="24"/>
        </w:rPr>
      </w:pPr>
    </w:p>
    <w:p w14:paraId="33AAE7F5" w14:textId="3E916883" w:rsidR="00A27008" w:rsidRPr="00177850" w:rsidRDefault="00A27008">
      <w:pPr>
        <w:rPr>
          <w:szCs w:val="24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083"/>
        <w:gridCol w:w="1665"/>
        <w:gridCol w:w="2129"/>
        <w:gridCol w:w="1981"/>
        <w:gridCol w:w="3686"/>
        <w:gridCol w:w="1272"/>
        <w:gridCol w:w="6"/>
        <w:gridCol w:w="1235"/>
        <w:gridCol w:w="6"/>
      </w:tblGrid>
      <w:tr w:rsidR="00A27008" w:rsidRPr="00177850" w14:paraId="46B381CF" w14:textId="77777777" w:rsidTr="00E75E76">
        <w:trPr>
          <w:gridAfter w:val="1"/>
          <w:wAfter w:w="2" w:type="pct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E89AD" w14:textId="77777777" w:rsidR="00A27008" w:rsidRPr="00177850" w:rsidRDefault="00A27008" w:rsidP="0065710C">
            <w:pPr>
              <w:rPr>
                <w:b/>
                <w:szCs w:val="24"/>
              </w:rPr>
            </w:pPr>
            <w:r w:rsidRPr="00177850">
              <w:rPr>
                <w:b/>
                <w:szCs w:val="24"/>
              </w:rPr>
              <w:t>№ п/п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9295" w14:textId="77777777" w:rsidR="00A27008" w:rsidRPr="00177850" w:rsidRDefault="00A27008" w:rsidP="0065710C">
            <w:pPr>
              <w:jc w:val="center"/>
              <w:rPr>
                <w:b/>
                <w:szCs w:val="24"/>
              </w:rPr>
            </w:pPr>
            <w:r w:rsidRPr="00177850">
              <w:rPr>
                <w:b/>
                <w:szCs w:val="24"/>
              </w:rPr>
              <w:t>Международное непатентованное наименование (МНН) (наименование объекта закупки)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24B6" w14:textId="77777777" w:rsidR="00A27008" w:rsidRPr="00177850" w:rsidRDefault="00A27008" w:rsidP="0065710C">
            <w:pPr>
              <w:jc w:val="center"/>
              <w:rPr>
                <w:b/>
                <w:szCs w:val="24"/>
              </w:rPr>
            </w:pPr>
            <w:r w:rsidRPr="00177850">
              <w:rPr>
                <w:szCs w:val="24"/>
              </w:rPr>
              <w:t xml:space="preserve">Код в соответствии с Общероссийским </w:t>
            </w:r>
            <w:hyperlink r:id="rId6" w:history="1">
              <w:r w:rsidRPr="00177850">
                <w:rPr>
                  <w:szCs w:val="24"/>
                </w:rPr>
                <w:t>классификатором</w:t>
              </w:r>
            </w:hyperlink>
            <w:r w:rsidRPr="00177850">
              <w:rPr>
                <w:szCs w:val="24"/>
              </w:rPr>
              <w:t xml:space="preserve"> продукции по видам экономической деятельности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53801" w14:textId="77777777" w:rsidR="00A27008" w:rsidRPr="00177850" w:rsidRDefault="00A27008" w:rsidP="0065710C">
            <w:pPr>
              <w:jc w:val="center"/>
              <w:rPr>
                <w:b/>
                <w:szCs w:val="24"/>
              </w:rPr>
            </w:pPr>
            <w:r w:rsidRPr="00177850">
              <w:rPr>
                <w:szCs w:val="24"/>
              </w:rPr>
              <w:t>Остаточный срок годности</w:t>
            </w:r>
          </w:p>
        </w:tc>
        <w:tc>
          <w:tcPr>
            <w:tcW w:w="1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8B1" w14:textId="77777777" w:rsidR="00A27008" w:rsidRPr="00177850" w:rsidRDefault="00A27008" w:rsidP="0065710C">
            <w:pPr>
              <w:jc w:val="center"/>
              <w:rPr>
                <w:b/>
                <w:szCs w:val="24"/>
              </w:rPr>
            </w:pPr>
            <w:r w:rsidRPr="00177850">
              <w:rPr>
                <w:b/>
                <w:szCs w:val="24"/>
              </w:rPr>
              <w:t>Описание объекта закупки, функциональные, технические и  качественные характеристики.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8F55" w14:textId="77777777" w:rsidR="00A27008" w:rsidRPr="00177850" w:rsidRDefault="00A27008" w:rsidP="0065710C">
            <w:pPr>
              <w:jc w:val="center"/>
              <w:rPr>
                <w:b/>
                <w:szCs w:val="24"/>
              </w:rPr>
            </w:pPr>
            <w:r w:rsidRPr="00177850">
              <w:rPr>
                <w:b/>
                <w:szCs w:val="24"/>
              </w:rPr>
              <w:t>Кол-во, ед. изм.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9268" w14:textId="77777777" w:rsidR="00A27008" w:rsidRPr="00177850" w:rsidRDefault="00A27008" w:rsidP="0065710C">
            <w:pPr>
              <w:jc w:val="center"/>
              <w:rPr>
                <w:b/>
                <w:szCs w:val="24"/>
              </w:rPr>
            </w:pPr>
            <w:r w:rsidRPr="00177850">
              <w:rPr>
                <w:b/>
                <w:szCs w:val="24"/>
              </w:rPr>
              <w:t xml:space="preserve">Единицы измерения </w:t>
            </w:r>
          </w:p>
          <w:p w14:paraId="408B9A84" w14:textId="77777777" w:rsidR="00A27008" w:rsidRPr="00177850" w:rsidRDefault="00A27008" w:rsidP="0065710C">
            <w:pPr>
              <w:jc w:val="center"/>
              <w:rPr>
                <w:b/>
                <w:szCs w:val="24"/>
              </w:rPr>
            </w:pPr>
          </w:p>
        </w:tc>
      </w:tr>
      <w:tr w:rsidR="00A27008" w:rsidRPr="00177850" w14:paraId="158C14DB" w14:textId="77777777" w:rsidTr="00CE055C">
        <w:trPr>
          <w:gridAfter w:val="1"/>
          <w:wAfter w:w="2" w:type="pct"/>
          <w:trHeight w:val="169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7C374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23080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B85FA" w14:textId="77777777" w:rsidR="00A27008" w:rsidRPr="00177850" w:rsidRDefault="00A27008" w:rsidP="0065710C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F9BBD" w14:textId="77777777" w:rsidR="00A27008" w:rsidRPr="00177850" w:rsidRDefault="00A27008" w:rsidP="0065710C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82" w:type="pct"/>
            <w:tcBorders>
              <w:left w:val="single" w:sz="4" w:space="0" w:color="auto"/>
            </w:tcBorders>
          </w:tcPr>
          <w:p w14:paraId="3F868C49" w14:textId="77777777" w:rsidR="00A27008" w:rsidRPr="00177850" w:rsidRDefault="00A27008" w:rsidP="0065710C">
            <w:pPr>
              <w:jc w:val="center"/>
              <w:rPr>
                <w:b/>
                <w:color w:val="000000"/>
                <w:szCs w:val="24"/>
              </w:rPr>
            </w:pPr>
            <w:r w:rsidRPr="00177850">
              <w:rPr>
                <w:b/>
                <w:color w:val="000000"/>
                <w:szCs w:val="24"/>
              </w:rPr>
              <w:t>Наименование характеристики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27C09234" w14:textId="77777777" w:rsidR="00A27008" w:rsidRPr="00177850" w:rsidRDefault="00A27008" w:rsidP="0065710C">
            <w:pPr>
              <w:rPr>
                <w:b/>
                <w:color w:val="000000"/>
                <w:szCs w:val="24"/>
              </w:rPr>
            </w:pPr>
            <w:r w:rsidRPr="00177850">
              <w:rPr>
                <w:b/>
                <w:color w:val="000000"/>
                <w:szCs w:val="24"/>
              </w:rPr>
              <w:t>Требуемое значение, показатель, наличие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ABE2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D285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</w:tr>
      <w:tr w:rsidR="00A27008" w:rsidRPr="00177850" w14:paraId="3D8C8AB1" w14:textId="77777777" w:rsidTr="00CE055C">
        <w:trPr>
          <w:gridAfter w:val="1"/>
          <w:wAfter w:w="2" w:type="pct"/>
        </w:trPr>
        <w:tc>
          <w:tcPr>
            <w:tcW w:w="159" w:type="pct"/>
            <w:vMerge w:val="restart"/>
          </w:tcPr>
          <w:p w14:paraId="3A08D58C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  <w:lang w:val="en-US"/>
              </w:rPr>
            </w:pPr>
            <w:r w:rsidRPr="00177850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717" w:type="pct"/>
            <w:vMerge w:val="restart"/>
          </w:tcPr>
          <w:p w14:paraId="7FF53A57" w14:textId="0640D436" w:rsidR="00A27008" w:rsidRPr="00177850" w:rsidRDefault="00E75E76" w:rsidP="0065710C">
            <w:pPr>
              <w:jc w:val="both"/>
              <w:rPr>
                <w:color w:val="334059"/>
                <w:szCs w:val="24"/>
              </w:rPr>
            </w:pPr>
            <w:r w:rsidRPr="00E75E76">
              <w:rPr>
                <w:color w:val="334059"/>
                <w:szCs w:val="24"/>
              </w:rPr>
              <w:t>ВАЛЬПРОЕВАЯ КИСЛОТА</w:t>
            </w:r>
          </w:p>
        </w:tc>
        <w:tc>
          <w:tcPr>
            <w:tcW w:w="573" w:type="pct"/>
            <w:vMerge w:val="restart"/>
          </w:tcPr>
          <w:p w14:paraId="02AA74FA" w14:textId="77777777" w:rsidR="00277D8F" w:rsidRDefault="00E75E76" w:rsidP="0065710C">
            <w:pPr>
              <w:jc w:val="both"/>
              <w:rPr>
                <w:color w:val="334059"/>
                <w:szCs w:val="24"/>
              </w:rPr>
            </w:pPr>
            <w:r w:rsidRPr="00E75E76">
              <w:rPr>
                <w:color w:val="334059"/>
                <w:szCs w:val="24"/>
              </w:rPr>
              <w:t>21.20.10.233</w:t>
            </w:r>
          </w:p>
          <w:p w14:paraId="7DCC1DAD" w14:textId="3F252A9D" w:rsidR="00E75E76" w:rsidRPr="00177850" w:rsidRDefault="00E75E76" w:rsidP="0065710C">
            <w:pPr>
              <w:jc w:val="both"/>
              <w:rPr>
                <w:color w:val="334059"/>
                <w:szCs w:val="24"/>
              </w:rPr>
            </w:pPr>
            <w:r w:rsidRPr="00E75E76">
              <w:rPr>
                <w:color w:val="334059"/>
                <w:szCs w:val="24"/>
              </w:rPr>
              <w:t>21.20.10.233-000001-1-00119-0000000000000</w:t>
            </w:r>
          </w:p>
        </w:tc>
        <w:tc>
          <w:tcPr>
            <w:tcW w:w="733" w:type="pct"/>
            <w:vMerge w:val="restart"/>
          </w:tcPr>
          <w:p w14:paraId="1A9B82A4" w14:textId="77777777" w:rsidR="00A27008" w:rsidRPr="00177850" w:rsidRDefault="00A27008" w:rsidP="0065710C">
            <w:pPr>
              <w:jc w:val="both"/>
              <w:rPr>
                <w:szCs w:val="24"/>
              </w:rPr>
            </w:pPr>
            <w:r w:rsidRPr="00177850">
              <w:rPr>
                <w:szCs w:val="24"/>
              </w:rPr>
              <w:t>Остаточный срок годности товара на дату поставки товара Заказчику должен составлять не менее 12 месяцев</w:t>
            </w:r>
          </w:p>
        </w:tc>
        <w:tc>
          <w:tcPr>
            <w:tcW w:w="682" w:type="pct"/>
          </w:tcPr>
          <w:p w14:paraId="5AEF8CBE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color w:val="000000"/>
                <w:szCs w:val="24"/>
              </w:rPr>
              <w:t>Лекарственная форма</w:t>
            </w:r>
          </w:p>
        </w:tc>
        <w:tc>
          <w:tcPr>
            <w:tcW w:w="1269" w:type="pct"/>
          </w:tcPr>
          <w:p w14:paraId="32F73396" w14:textId="5600D65E" w:rsidR="00A27008" w:rsidRPr="00177850" w:rsidRDefault="00177850" w:rsidP="0014088E">
            <w:pPr>
              <w:rPr>
                <w:szCs w:val="24"/>
              </w:rPr>
            </w:pPr>
            <w:r w:rsidRPr="00177850">
              <w:rPr>
                <w:szCs w:val="24"/>
              </w:rPr>
              <w:t>Раствор для внутривенного введения</w:t>
            </w:r>
          </w:p>
        </w:tc>
        <w:tc>
          <w:tcPr>
            <w:tcW w:w="438" w:type="pct"/>
            <w:vMerge w:val="restart"/>
          </w:tcPr>
          <w:p w14:paraId="5082BDCF" w14:textId="46C742C4" w:rsidR="00FD56DB" w:rsidRPr="00177850" w:rsidRDefault="00E9156B" w:rsidP="00012B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77850" w:rsidRPr="00177850">
              <w:rPr>
                <w:szCs w:val="24"/>
              </w:rPr>
              <w:t>50</w:t>
            </w:r>
          </w:p>
        </w:tc>
        <w:tc>
          <w:tcPr>
            <w:tcW w:w="427" w:type="pct"/>
            <w:gridSpan w:val="2"/>
            <w:vMerge w:val="restart"/>
          </w:tcPr>
          <w:p w14:paraId="42B89081" w14:textId="2E8C9722" w:rsidR="00A27008" w:rsidRPr="00177850" w:rsidRDefault="00474116" w:rsidP="0065710C">
            <w:pPr>
              <w:jc w:val="both"/>
              <w:rPr>
                <w:color w:val="909EBB"/>
                <w:szCs w:val="24"/>
                <w:shd w:val="clear" w:color="auto" w:fill="FFFFFF"/>
              </w:rPr>
            </w:pPr>
            <w:r w:rsidRPr="00177850">
              <w:rPr>
                <w:color w:val="909EBB"/>
                <w:szCs w:val="24"/>
                <w:shd w:val="clear" w:color="auto" w:fill="FFFFFF"/>
              </w:rPr>
              <w:t> </w:t>
            </w:r>
            <w:r w:rsidR="005C0661" w:rsidRPr="00177850">
              <w:rPr>
                <w:color w:val="909EBB"/>
                <w:szCs w:val="24"/>
                <w:shd w:val="clear" w:color="auto" w:fill="FFFFFF"/>
              </w:rPr>
              <w:t> </w:t>
            </w:r>
            <w:r w:rsidR="00177850" w:rsidRPr="00177850">
              <w:rPr>
                <w:color w:val="909EBB"/>
                <w:szCs w:val="24"/>
                <w:shd w:val="clear" w:color="auto" w:fill="FFFFFF"/>
              </w:rPr>
              <w:t>мл</w:t>
            </w:r>
          </w:p>
        </w:tc>
      </w:tr>
      <w:tr w:rsidR="00A27008" w:rsidRPr="00177850" w14:paraId="1D0EDEA2" w14:textId="77777777" w:rsidTr="00CE055C">
        <w:trPr>
          <w:gridAfter w:val="1"/>
          <w:wAfter w:w="2" w:type="pct"/>
        </w:trPr>
        <w:tc>
          <w:tcPr>
            <w:tcW w:w="159" w:type="pct"/>
            <w:vMerge/>
          </w:tcPr>
          <w:p w14:paraId="53B17C5F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717" w:type="pct"/>
            <w:vMerge/>
          </w:tcPr>
          <w:p w14:paraId="5AFD1AB5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573" w:type="pct"/>
            <w:vMerge/>
          </w:tcPr>
          <w:p w14:paraId="3AF6758F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733" w:type="pct"/>
            <w:vMerge/>
          </w:tcPr>
          <w:p w14:paraId="1C08C6B1" w14:textId="77777777" w:rsidR="00A27008" w:rsidRPr="00177850" w:rsidRDefault="00A27008" w:rsidP="0065710C">
            <w:pPr>
              <w:jc w:val="both"/>
              <w:rPr>
                <w:szCs w:val="24"/>
              </w:rPr>
            </w:pPr>
          </w:p>
        </w:tc>
        <w:tc>
          <w:tcPr>
            <w:tcW w:w="682" w:type="pct"/>
          </w:tcPr>
          <w:p w14:paraId="17BB42AE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color w:val="000000"/>
                <w:szCs w:val="24"/>
              </w:rPr>
              <w:t>Дозировка</w:t>
            </w:r>
          </w:p>
        </w:tc>
        <w:tc>
          <w:tcPr>
            <w:tcW w:w="1269" w:type="pct"/>
          </w:tcPr>
          <w:p w14:paraId="05F9C08A" w14:textId="0FF93B05" w:rsidR="00A27008" w:rsidRPr="00177850" w:rsidRDefault="00177850" w:rsidP="001A475F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color w:val="000000"/>
                <w:szCs w:val="24"/>
              </w:rPr>
              <w:t>100 мг/мл</w:t>
            </w:r>
          </w:p>
        </w:tc>
        <w:tc>
          <w:tcPr>
            <w:tcW w:w="438" w:type="pct"/>
            <w:vMerge/>
          </w:tcPr>
          <w:p w14:paraId="595C31DE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27" w:type="pct"/>
            <w:gridSpan w:val="2"/>
            <w:vMerge/>
          </w:tcPr>
          <w:p w14:paraId="40F1F348" w14:textId="77777777" w:rsidR="00A27008" w:rsidRPr="00177850" w:rsidRDefault="00A27008" w:rsidP="0065710C">
            <w:pPr>
              <w:jc w:val="both"/>
              <w:rPr>
                <w:color w:val="909EBB"/>
                <w:szCs w:val="24"/>
                <w:shd w:val="clear" w:color="auto" w:fill="FFFFFF"/>
              </w:rPr>
            </w:pPr>
          </w:p>
        </w:tc>
      </w:tr>
      <w:tr w:rsidR="00A27008" w:rsidRPr="00177850" w14:paraId="3C78B0BF" w14:textId="77777777" w:rsidTr="00CE055C">
        <w:trPr>
          <w:gridAfter w:val="1"/>
          <w:wAfter w:w="2" w:type="pct"/>
        </w:trPr>
        <w:tc>
          <w:tcPr>
            <w:tcW w:w="159" w:type="pct"/>
            <w:vMerge/>
          </w:tcPr>
          <w:p w14:paraId="5E7FBFA5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717" w:type="pct"/>
            <w:vMerge/>
          </w:tcPr>
          <w:p w14:paraId="65E81221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573" w:type="pct"/>
            <w:vMerge/>
          </w:tcPr>
          <w:p w14:paraId="130C5921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733" w:type="pct"/>
            <w:vMerge/>
          </w:tcPr>
          <w:p w14:paraId="5BC3F1FF" w14:textId="77777777" w:rsidR="00A27008" w:rsidRPr="00177850" w:rsidRDefault="00A27008" w:rsidP="0065710C">
            <w:pPr>
              <w:jc w:val="both"/>
              <w:rPr>
                <w:szCs w:val="24"/>
              </w:rPr>
            </w:pPr>
          </w:p>
        </w:tc>
        <w:tc>
          <w:tcPr>
            <w:tcW w:w="682" w:type="pct"/>
          </w:tcPr>
          <w:p w14:paraId="0727A785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rStyle w:val="notactual2"/>
                <w:szCs w:val="24"/>
              </w:rPr>
              <w:t>Количество лекарственных форм в первичной упаковке:</w:t>
            </w:r>
          </w:p>
        </w:tc>
        <w:tc>
          <w:tcPr>
            <w:tcW w:w="1269" w:type="pct"/>
          </w:tcPr>
          <w:p w14:paraId="175251AA" w14:textId="263AA052" w:rsidR="00A27008" w:rsidRPr="00177850" w:rsidRDefault="00177850" w:rsidP="0065710C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color w:val="000000"/>
                <w:szCs w:val="24"/>
              </w:rPr>
              <w:t>5 мл</w:t>
            </w:r>
          </w:p>
        </w:tc>
        <w:tc>
          <w:tcPr>
            <w:tcW w:w="438" w:type="pct"/>
            <w:vMerge/>
          </w:tcPr>
          <w:p w14:paraId="4C13B103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27" w:type="pct"/>
            <w:gridSpan w:val="2"/>
            <w:vMerge/>
          </w:tcPr>
          <w:p w14:paraId="2A7A9A28" w14:textId="77777777" w:rsidR="00A27008" w:rsidRPr="00177850" w:rsidRDefault="00A27008" w:rsidP="0065710C">
            <w:pPr>
              <w:jc w:val="both"/>
              <w:rPr>
                <w:color w:val="909EBB"/>
                <w:szCs w:val="24"/>
                <w:shd w:val="clear" w:color="auto" w:fill="FFFFFF"/>
              </w:rPr>
            </w:pPr>
          </w:p>
        </w:tc>
      </w:tr>
      <w:tr w:rsidR="00A27008" w:rsidRPr="00177850" w14:paraId="210822A1" w14:textId="77777777" w:rsidTr="00CE055C">
        <w:trPr>
          <w:gridAfter w:val="1"/>
          <w:wAfter w:w="2" w:type="pct"/>
        </w:trPr>
        <w:tc>
          <w:tcPr>
            <w:tcW w:w="159" w:type="pct"/>
            <w:vMerge/>
          </w:tcPr>
          <w:p w14:paraId="7D215C69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717" w:type="pct"/>
            <w:vMerge/>
          </w:tcPr>
          <w:p w14:paraId="03E31DDC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573" w:type="pct"/>
            <w:vMerge/>
          </w:tcPr>
          <w:p w14:paraId="3AFD422F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733" w:type="pct"/>
            <w:vMerge/>
          </w:tcPr>
          <w:p w14:paraId="20E0E6EF" w14:textId="77777777" w:rsidR="00A27008" w:rsidRPr="00177850" w:rsidRDefault="00A27008" w:rsidP="0065710C">
            <w:pPr>
              <w:jc w:val="both"/>
              <w:rPr>
                <w:szCs w:val="24"/>
              </w:rPr>
            </w:pPr>
          </w:p>
        </w:tc>
        <w:tc>
          <w:tcPr>
            <w:tcW w:w="682" w:type="pct"/>
          </w:tcPr>
          <w:p w14:paraId="6F081AD7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color w:val="000000"/>
                <w:szCs w:val="24"/>
              </w:rPr>
              <w:t>Лекарственный препарат включен в перечень жизненно необходимых и важнейших лекарственных препаратов</w:t>
            </w:r>
          </w:p>
        </w:tc>
        <w:tc>
          <w:tcPr>
            <w:tcW w:w="1269" w:type="pct"/>
          </w:tcPr>
          <w:p w14:paraId="24FA96E7" w14:textId="78ACA1A7" w:rsidR="003114C8" w:rsidRPr="00177850" w:rsidRDefault="00CE055C" w:rsidP="00D0432F">
            <w:pPr>
              <w:tabs>
                <w:tab w:val="left" w:pos="960"/>
                <w:tab w:val="left" w:pos="1377"/>
              </w:tabs>
              <w:rPr>
                <w:szCs w:val="24"/>
              </w:rPr>
            </w:pPr>
            <w:r w:rsidRPr="00177850">
              <w:rPr>
                <w:szCs w:val="24"/>
              </w:rPr>
              <w:t>да</w:t>
            </w:r>
          </w:p>
        </w:tc>
        <w:tc>
          <w:tcPr>
            <w:tcW w:w="438" w:type="pct"/>
            <w:vMerge/>
          </w:tcPr>
          <w:p w14:paraId="3C7BEBDE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27" w:type="pct"/>
            <w:gridSpan w:val="2"/>
            <w:vMerge/>
          </w:tcPr>
          <w:p w14:paraId="79147637" w14:textId="77777777" w:rsidR="00A27008" w:rsidRPr="00177850" w:rsidRDefault="00A27008" w:rsidP="0065710C">
            <w:pPr>
              <w:jc w:val="both"/>
              <w:rPr>
                <w:color w:val="909EBB"/>
                <w:szCs w:val="24"/>
                <w:shd w:val="clear" w:color="auto" w:fill="FFFFFF"/>
              </w:rPr>
            </w:pPr>
          </w:p>
        </w:tc>
      </w:tr>
      <w:tr w:rsidR="00A27008" w:rsidRPr="00177850" w14:paraId="14489650" w14:textId="77777777" w:rsidTr="00CE055C">
        <w:trPr>
          <w:gridAfter w:val="1"/>
          <w:wAfter w:w="2" w:type="pct"/>
        </w:trPr>
        <w:tc>
          <w:tcPr>
            <w:tcW w:w="159" w:type="pct"/>
            <w:vMerge/>
          </w:tcPr>
          <w:p w14:paraId="50253DB3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717" w:type="pct"/>
            <w:vMerge/>
          </w:tcPr>
          <w:p w14:paraId="3FBCD33F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573" w:type="pct"/>
            <w:vMerge/>
          </w:tcPr>
          <w:p w14:paraId="4A00DBD9" w14:textId="77777777" w:rsidR="00A27008" w:rsidRPr="00177850" w:rsidRDefault="00A27008" w:rsidP="0065710C">
            <w:pPr>
              <w:jc w:val="both"/>
              <w:rPr>
                <w:color w:val="334059"/>
                <w:szCs w:val="24"/>
              </w:rPr>
            </w:pPr>
          </w:p>
        </w:tc>
        <w:tc>
          <w:tcPr>
            <w:tcW w:w="733" w:type="pct"/>
            <w:vMerge/>
          </w:tcPr>
          <w:p w14:paraId="1DFEE402" w14:textId="77777777" w:rsidR="00A27008" w:rsidRPr="00177850" w:rsidRDefault="00A27008" w:rsidP="0065710C">
            <w:pPr>
              <w:jc w:val="both"/>
              <w:rPr>
                <w:szCs w:val="24"/>
              </w:rPr>
            </w:pPr>
          </w:p>
        </w:tc>
        <w:tc>
          <w:tcPr>
            <w:tcW w:w="682" w:type="pct"/>
          </w:tcPr>
          <w:p w14:paraId="567DE1D7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color w:val="000000"/>
                <w:szCs w:val="24"/>
              </w:rPr>
              <w:t>Наличие в лекарственном препарате наркотических средств, психотропных веществ и их прекурсоров</w:t>
            </w:r>
          </w:p>
        </w:tc>
        <w:tc>
          <w:tcPr>
            <w:tcW w:w="1269" w:type="pct"/>
          </w:tcPr>
          <w:p w14:paraId="364DC907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  <w:r w:rsidRPr="00177850">
              <w:rPr>
                <w:color w:val="000000"/>
                <w:szCs w:val="24"/>
              </w:rPr>
              <w:t>Нет</w:t>
            </w:r>
          </w:p>
        </w:tc>
        <w:tc>
          <w:tcPr>
            <w:tcW w:w="438" w:type="pct"/>
            <w:vMerge/>
          </w:tcPr>
          <w:p w14:paraId="6125D5CD" w14:textId="77777777" w:rsidR="00A27008" w:rsidRPr="00177850" w:rsidRDefault="00A27008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27" w:type="pct"/>
            <w:gridSpan w:val="2"/>
            <w:vMerge/>
          </w:tcPr>
          <w:p w14:paraId="03880586" w14:textId="77777777" w:rsidR="00A27008" w:rsidRPr="00177850" w:rsidRDefault="00A27008" w:rsidP="0065710C">
            <w:pPr>
              <w:jc w:val="both"/>
              <w:rPr>
                <w:color w:val="909EBB"/>
                <w:szCs w:val="24"/>
                <w:shd w:val="clear" w:color="auto" w:fill="FFFFFF"/>
              </w:rPr>
            </w:pPr>
          </w:p>
        </w:tc>
      </w:tr>
      <w:tr w:rsidR="00277D8F" w:rsidRPr="00741CBC" w14:paraId="7056AA72" w14:textId="77777777" w:rsidTr="00CE055C">
        <w:tc>
          <w:tcPr>
            <w:tcW w:w="159" w:type="pct"/>
          </w:tcPr>
          <w:p w14:paraId="4067BB05" w14:textId="77777777" w:rsidR="00277D8F" w:rsidRPr="00741CBC" w:rsidRDefault="00277D8F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414" w:type="pct"/>
            <w:gridSpan w:val="7"/>
          </w:tcPr>
          <w:p w14:paraId="45C01AFA" w14:textId="77777777" w:rsidR="00277D8F" w:rsidRPr="00741CBC" w:rsidRDefault="00277D8F" w:rsidP="0065710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27" w:type="pct"/>
            <w:gridSpan w:val="2"/>
          </w:tcPr>
          <w:p w14:paraId="75D7BC10" w14:textId="77777777" w:rsidR="00277D8F" w:rsidRPr="00741CBC" w:rsidRDefault="00277D8F" w:rsidP="0065710C">
            <w:pPr>
              <w:jc w:val="both"/>
              <w:rPr>
                <w:color w:val="909EBB"/>
                <w:szCs w:val="24"/>
                <w:shd w:val="clear" w:color="auto" w:fill="FFFFFF"/>
              </w:rPr>
            </w:pPr>
          </w:p>
        </w:tc>
      </w:tr>
    </w:tbl>
    <w:p w14:paraId="30419CB3" w14:textId="77777777" w:rsidR="005962D4" w:rsidRPr="00655FE6" w:rsidRDefault="005962D4" w:rsidP="005962D4">
      <w:pPr>
        <w:pStyle w:val="3"/>
        <w:pageBreakBefore/>
        <w:numPr>
          <w:ilvl w:val="0"/>
          <w:numId w:val="0"/>
        </w:numPr>
        <w:jc w:val="left"/>
        <w:rPr>
          <w:sz w:val="24"/>
        </w:rPr>
      </w:pPr>
    </w:p>
    <w:p w14:paraId="60253A25" w14:textId="77777777" w:rsidR="005962D4" w:rsidRDefault="005962D4" w:rsidP="005962D4">
      <w:pPr>
        <w:pStyle w:val="1"/>
        <w:ind w:left="-993" w:firstLine="567"/>
        <w:jc w:val="both"/>
        <w:rPr>
          <w:rFonts w:ascii="Times New Roman" w:hAnsi="Times New Roman"/>
          <w:sz w:val="24"/>
        </w:rPr>
      </w:pPr>
      <w:r w:rsidRPr="005B19B5">
        <w:rPr>
          <w:rFonts w:ascii="Times New Roman" w:hAnsi="Times New Roman"/>
          <w:sz w:val="24"/>
        </w:rPr>
        <w:t>Участник закупки имеет право предложить Товар в единицах измерения и количестве, отличных от указанных в настоящей документации, сделав перерасчет, при этом общее количество товара должно быть не менее требуемого Заказчиком.</w:t>
      </w:r>
    </w:p>
    <w:p w14:paraId="0F348359" w14:textId="77777777" w:rsidR="005962D4" w:rsidRDefault="005962D4" w:rsidP="005962D4">
      <w:pPr>
        <w:pStyle w:val="1"/>
        <w:ind w:left="-99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Обоснование необходимости использования иной и дополнительной информации в соответствии с пунктом 6 правил использования каталога товаров, работ, услуг для обеспечения государственных и муниципальных нужд (утв. Постановлением Правительства от 08.02.2017г. №145) и обоснование необходимости указания данных характеристик в соответствии с п. 6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 (утв. Постановлением Правительства РФ от 15.11.2017 N 1380): </w:t>
      </w:r>
    </w:p>
    <w:p w14:paraId="6C9FA201" w14:textId="77777777" w:rsidR="005962D4" w:rsidRDefault="005962D4" w:rsidP="005962D4">
      <w:pPr>
        <w:pStyle w:val="1"/>
        <w:ind w:left="-993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описании объекта закупки, при указании наименования товара и единиц измерения товара в позициях технического задания использовался каталог товаров, работ, услуг для обеспечения государственных и муниципальных нужд. </w:t>
      </w:r>
    </w:p>
    <w:p w14:paraId="4316F4CD" w14:textId="77777777" w:rsidR="005962D4" w:rsidRDefault="005962D4" w:rsidP="005962D4">
      <w:pPr>
        <w:pStyle w:val="1"/>
        <w:ind w:left="-993" w:firstLine="567"/>
        <w:jc w:val="both"/>
        <w:rPr>
          <w:rFonts w:ascii="Times New Roman" w:hAnsi="Times New Roman"/>
          <w:sz w:val="24"/>
        </w:rPr>
      </w:pPr>
    </w:p>
    <w:p w14:paraId="1E54DAA2" w14:textId="7D74873B" w:rsidR="005962D4" w:rsidRPr="00B94214" w:rsidRDefault="005962D4" w:rsidP="008058F7">
      <w:pPr>
        <w:pStyle w:val="1"/>
        <w:ind w:left="-993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составлении описания объекта закупки не использовались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и качественных характеристик объекта закупки, предусмотренные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иными требованиями, связанные с определением соответствия поставляемого товара  потребностям заказчика, в виду их отсутствия. Описание объекта закупки по позициям технического задания составлено на основании каталога товаров, работ, услуг для обеспечения государственных и муниципальных нужд (соответствующие предмету договора позиции изучения рынка лекарственных препаратов </w:t>
      </w:r>
      <w:r w:rsidRPr="00B94214">
        <w:rPr>
          <w:rFonts w:ascii="Times New Roman" w:hAnsi="Times New Roman"/>
          <w:sz w:val="24"/>
        </w:rPr>
        <w:t>и потребностей Заказчика.</w:t>
      </w:r>
    </w:p>
    <w:p w14:paraId="38542A61" w14:textId="77777777" w:rsidR="005962D4" w:rsidRDefault="005962D4" w:rsidP="005962D4">
      <w:pPr>
        <w:pStyle w:val="1"/>
        <w:ind w:left="-993" w:firstLine="567"/>
        <w:jc w:val="both"/>
        <w:rPr>
          <w:rFonts w:ascii="Times New Roman" w:hAnsi="Times New Roman"/>
          <w:sz w:val="24"/>
        </w:rPr>
      </w:pPr>
    </w:p>
    <w:p w14:paraId="0FEAA78E" w14:textId="77777777" w:rsidR="005962D4" w:rsidRDefault="005962D4" w:rsidP="005962D4">
      <w:pPr>
        <w:ind w:left="-993" w:firstLine="567"/>
      </w:pPr>
      <w:r>
        <w:rPr>
          <w:b/>
          <w:color w:val="000000"/>
          <w:u w:val="single"/>
        </w:rPr>
        <w:t xml:space="preserve">Инструкция по заполнению заявки </w:t>
      </w:r>
    </w:p>
    <w:p w14:paraId="382A9DAC" w14:textId="77777777" w:rsidR="005962D4" w:rsidRDefault="005962D4" w:rsidP="005962D4">
      <w:pPr>
        <w:ind w:left="-993" w:firstLine="567"/>
        <w:jc w:val="both"/>
        <w:rPr>
          <w:b/>
          <w:color w:val="000000"/>
        </w:rPr>
      </w:pPr>
      <w:r>
        <w:rPr>
          <w:b/>
          <w:color w:val="000000"/>
        </w:rPr>
        <w:t>Первая часть заявки</w:t>
      </w:r>
      <w:r>
        <w:rPr>
          <w:color w:val="000000"/>
        </w:rPr>
        <w:t xml:space="preserve"> </w:t>
      </w:r>
      <w:r>
        <w:rPr>
          <w:b/>
          <w:color w:val="000000"/>
        </w:rPr>
        <w:t>на участие в электронном аукционе должна содержать:</w:t>
      </w:r>
    </w:p>
    <w:p w14:paraId="55EF93F8" w14:textId="77777777" w:rsidR="005962D4" w:rsidRDefault="005962D4" w:rsidP="005962D4">
      <w:pPr>
        <w:ind w:left="-993" w:firstLine="567"/>
        <w:jc w:val="both"/>
        <w:rPr>
          <w:color w:val="000000"/>
        </w:rPr>
      </w:pPr>
      <w:r>
        <w:rPr>
          <w:color w:val="000000"/>
        </w:rPr>
        <w:t xml:space="preserve"> 1) </w:t>
      </w:r>
      <w:r>
        <w:rPr>
          <w:b/>
          <w:color w:val="FF0000"/>
        </w:rPr>
        <w:t xml:space="preserve">согласие участника электронного аукциона </w:t>
      </w:r>
      <w:r>
        <w:rPr>
          <w:color w:val="000000"/>
        </w:rPr>
        <w:t>на поставку товара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площадки);</w:t>
      </w:r>
    </w:p>
    <w:p w14:paraId="630C6BAE" w14:textId="77777777" w:rsidR="005962D4" w:rsidRDefault="005962D4" w:rsidP="005962D4">
      <w:pPr>
        <w:ind w:left="-993" w:firstLine="567"/>
        <w:jc w:val="both"/>
        <w:rPr>
          <w:color w:val="000000"/>
        </w:rPr>
      </w:pPr>
      <w:r>
        <w:rPr>
          <w:color w:val="000000"/>
        </w:rPr>
        <w:t xml:space="preserve">2) а) </w:t>
      </w:r>
      <w:r>
        <w:rPr>
          <w:b/>
          <w:color w:val="FF0000"/>
          <w:u w:val="single"/>
        </w:rPr>
        <w:t>наименование страны происхождения товара</w:t>
      </w:r>
      <w:r>
        <w:rPr>
          <w:color w:val="000000"/>
        </w:rPr>
        <w:t>;</w:t>
      </w:r>
    </w:p>
    <w:p w14:paraId="6E8BE333" w14:textId="77777777" w:rsidR="005962D4" w:rsidRDefault="005962D4" w:rsidP="005962D4">
      <w:pPr>
        <w:ind w:left="-993" w:firstLine="567"/>
        <w:jc w:val="both"/>
        <w:rPr>
          <w:color w:val="000000"/>
        </w:rPr>
      </w:pPr>
      <w:r>
        <w:rPr>
          <w:color w:val="000000"/>
        </w:rPr>
        <w:t xml:space="preserve">б) </w:t>
      </w:r>
      <w:r>
        <w:rPr>
          <w:b/>
          <w:color w:val="FF0000"/>
          <w:u w:val="single"/>
        </w:rPr>
        <w:t>конкретные показатели товара</w:t>
      </w:r>
      <w:r>
        <w:rPr>
          <w:color w:val="000000"/>
        </w:rPr>
        <w:t xml:space="preserve">, соответствующие значениям, установленным в документации об электронном аукционе, и указание на товарный знак (при наличии). </w:t>
      </w:r>
    </w:p>
    <w:p w14:paraId="07981870" w14:textId="77777777" w:rsidR="005962D4" w:rsidRDefault="005962D4" w:rsidP="005962D4">
      <w:pPr>
        <w:pStyle w:val="21"/>
        <w:tabs>
          <w:tab w:val="left" w:pos="0"/>
          <w:tab w:val="left" w:pos="960"/>
        </w:tabs>
        <w:spacing w:after="0" w:line="240" w:lineRule="auto"/>
        <w:ind w:left="-993" w:firstLine="567"/>
        <w:jc w:val="both"/>
        <w:rPr>
          <w:rStyle w:val="a9"/>
          <w:rFonts w:ascii="Times New Roman" w:hAnsi="Times New Roman"/>
          <w:color w:val="000000"/>
          <w:sz w:val="24"/>
        </w:rPr>
      </w:pPr>
      <w:r>
        <w:rPr>
          <w:rStyle w:val="a9"/>
          <w:rFonts w:ascii="Times New Roman" w:hAnsi="Times New Roman"/>
          <w:color w:val="000000"/>
          <w:sz w:val="24"/>
        </w:rPr>
        <w:t xml:space="preserve">Значения характеристики, которые сопровождаются словами </w:t>
      </w:r>
      <w:r>
        <w:rPr>
          <w:rStyle w:val="a9"/>
          <w:rFonts w:ascii="Times New Roman" w:hAnsi="Times New Roman"/>
          <w:b/>
          <w:color w:val="FF0000"/>
          <w:sz w:val="24"/>
          <w:u w:val="single"/>
        </w:rPr>
        <w:t>или</w:t>
      </w:r>
      <w:r>
        <w:rPr>
          <w:rStyle w:val="a9"/>
          <w:rFonts w:ascii="Times New Roman" w:hAnsi="Times New Roman"/>
          <w:color w:val="000000"/>
          <w:sz w:val="24"/>
        </w:rPr>
        <w:t xml:space="preserve"> участниками электронного аукциона указываются без слов </w:t>
      </w:r>
      <w:r>
        <w:rPr>
          <w:rStyle w:val="a9"/>
          <w:rFonts w:ascii="Times New Roman" w:hAnsi="Times New Roman"/>
          <w:b/>
          <w:color w:val="FF0000"/>
          <w:sz w:val="24"/>
          <w:u w:val="single"/>
        </w:rPr>
        <w:t>или</w:t>
      </w:r>
      <w:r>
        <w:rPr>
          <w:rStyle w:val="a9"/>
          <w:rFonts w:ascii="Times New Roman" w:hAnsi="Times New Roman"/>
          <w:color w:val="000000"/>
          <w:sz w:val="24"/>
        </w:rPr>
        <w:t xml:space="preserve"> - в виде конкретного значения.</w:t>
      </w:r>
    </w:p>
    <w:p w14:paraId="70EE2C5E" w14:textId="77777777" w:rsidR="005962D4" w:rsidRDefault="005962D4" w:rsidP="005962D4">
      <w:pPr>
        <w:pStyle w:val="21"/>
        <w:tabs>
          <w:tab w:val="left" w:pos="0"/>
          <w:tab w:val="left" w:pos="960"/>
        </w:tabs>
        <w:spacing w:after="0" w:line="240" w:lineRule="auto"/>
        <w:ind w:left="-993" w:firstLine="567"/>
        <w:jc w:val="both"/>
        <w:rPr>
          <w:rFonts w:ascii="Times New Roman" w:hAnsi="Times New Roman"/>
          <w:sz w:val="24"/>
        </w:rPr>
      </w:pPr>
      <w:r>
        <w:rPr>
          <w:rStyle w:val="a9"/>
          <w:rFonts w:ascii="Times New Roman" w:hAnsi="Times New Roman"/>
          <w:color w:val="000000"/>
          <w:sz w:val="24"/>
        </w:rPr>
        <w:t>При подготовке заявок участником закупки должны приниматься общепринятые обозначения и наименования в соответствии с требованиями действующих нормативных правовых актов Российской Федерации.</w:t>
      </w:r>
    </w:p>
    <w:p w14:paraId="7C290E60" w14:textId="77777777" w:rsidR="005962D4" w:rsidRDefault="005962D4" w:rsidP="005962D4">
      <w:pPr>
        <w:pStyle w:val="21"/>
        <w:tabs>
          <w:tab w:val="left" w:pos="0"/>
          <w:tab w:val="left" w:pos="960"/>
        </w:tabs>
        <w:spacing w:after="0" w:line="240" w:lineRule="auto"/>
        <w:ind w:left="-993" w:firstLine="567"/>
        <w:jc w:val="both"/>
        <w:rPr>
          <w:rFonts w:ascii="Times New Roman" w:hAnsi="Times New Roman"/>
          <w:sz w:val="24"/>
        </w:rPr>
      </w:pPr>
      <w:r>
        <w:rPr>
          <w:rStyle w:val="a9"/>
          <w:rFonts w:ascii="Times New Roman" w:hAnsi="Times New Roman"/>
          <w:color w:val="000000"/>
          <w:sz w:val="24"/>
        </w:rPr>
        <w:t>Все документы, входящие в состав заявки на участие в аукционе, должны быть составлены на русском языке. Документы, происходящие из иностранного государства, должны быть надлежащим образом легализованы в соответствии с законодательством и международными контрактами Российской Федерации.</w:t>
      </w:r>
    </w:p>
    <w:p w14:paraId="51AEB812" w14:textId="77777777" w:rsidR="000A4A24" w:rsidRDefault="000A4A24">
      <w:pPr>
        <w:pStyle w:val="1"/>
        <w:ind w:left="-142" w:firstLine="709"/>
        <w:jc w:val="both"/>
        <w:rPr>
          <w:sz w:val="16"/>
        </w:rPr>
      </w:pPr>
    </w:p>
    <w:sectPr w:rsidR="000A4A24" w:rsidSect="001F19C7">
      <w:pgSz w:w="16838" w:h="11906" w:orient="landscape" w:code="9"/>
      <w:pgMar w:top="709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146C49"/>
    <w:multiLevelType w:val="multilevel"/>
    <w:tmpl w:val="E0C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33677"/>
    <w:multiLevelType w:val="hybridMultilevel"/>
    <w:tmpl w:val="6FA81470"/>
    <w:lvl w:ilvl="0" w:tplc="0419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26415">
    <w:abstractNumId w:val="0"/>
  </w:num>
  <w:num w:numId="2" w16cid:durableId="591623504">
    <w:abstractNumId w:val="2"/>
  </w:num>
  <w:num w:numId="3" w16cid:durableId="89863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24"/>
    <w:rsid w:val="00003D31"/>
    <w:rsid w:val="00006C55"/>
    <w:rsid w:val="0001228F"/>
    <w:rsid w:val="00012B06"/>
    <w:rsid w:val="00013ECB"/>
    <w:rsid w:val="00022E0F"/>
    <w:rsid w:val="00050CDA"/>
    <w:rsid w:val="00076EFD"/>
    <w:rsid w:val="00087E6C"/>
    <w:rsid w:val="00095F18"/>
    <w:rsid w:val="000A18FD"/>
    <w:rsid w:val="000A35CB"/>
    <w:rsid w:val="000A4A24"/>
    <w:rsid w:val="000A72C6"/>
    <w:rsid w:val="000B51EB"/>
    <w:rsid w:val="000D33F3"/>
    <w:rsid w:val="000D479B"/>
    <w:rsid w:val="000E7E55"/>
    <w:rsid w:val="00105E2D"/>
    <w:rsid w:val="00112855"/>
    <w:rsid w:val="001145A9"/>
    <w:rsid w:val="001151C0"/>
    <w:rsid w:val="0014088E"/>
    <w:rsid w:val="001453ED"/>
    <w:rsid w:val="001578B7"/>
    <w:rsid w:val="0016022F"/>
    <w:rsid w:val="00177850"/>
    <w:rsid w:val="0018322B"/>
    <w:rsid w:val="00187D5E"/>
    <w:rsid w:val="001924DD"/>
    <w:rsid w:val="001A1434"/>
    <w:rsid w:val="001A475F"/>
    <w:rsid w:val="001B0FD3"/>
    <w:rsid w:val="001B14CB"/>
    <w:rsid w:val="001C4BDD"/>
    <w:rsid w:val="001D0AB8"/>
    <w:rsid w:val="001D16EB"/>
    <w:rsid w:val="001D2C2E"/>
    <w:rsid w:val="001E2F23"/>
    <w:rsid w:val="001E734E"/>
    <w:rsid w:val="001F19C7"/>
    <w:rsid w:val="00212F66"/>
    <w:rsid w:val="00217DF1"/>
    <w:rsid w:val="0023568C"/>
    <w:rsid w:val="00237763"/>
    <w:rsid w:val="00242F5A"/>
    <w:rsid w:val="00245F97"/>
    <w:rsid w:val="002469C9"/>
    <w:rsid w:val="00261B5B"/>
    <w:rsid w:val="00266891"/>
    <w:rsid w:val="00275B60"/>
    <w:rsid w:val="00277D8F"/>
    <w:rsid w:val="00290D70"/>
    <w:rsid w:val="002A2C62"/>
    <w:rsid w:val="002A5A5C"/>
    <w:rsid w:val="002B1443"/>
    <w:rsid w:val="002D48A7"/>
    <w:rsid w:val="002D4EA1"/>
    <w:rsid w:val="002E0282"/>
    <w:rsid w:val="003114C8"/>
    <w:rsid w:val="003153EB"/>
    <w:rsid w:val="00323305"/>
    <w:rsid w:val="0033040D"/>
    <w:rsid w:val="00337D98"/>
    <w:rsid w:val="003535D9"/>
    <w:rsid w:val="00356ACD"/>
    <w:rsid w:val="00357CC0"/>
    <w:rsid w:val="003666D1"/>
    <w:rsid w:val="00381636"/>
    <w:rsid w:val="00385286"/>
    <w:rsid w:val="00391BF2"/>
    <w:rsid w:val="003A5B94"/>
    <w:rsid w:val="003B36A0"/>
    <w:rsid w:val="003C2FA5"/>
    <w:rsid w:val="003C3870"/>
    <w:rsid w:val="003F4588"/>
    <w:rsid w:val="00402D61"/>
    <w:rsid w:val="00413445"/>
    <w:rsid w:val="00427177"/>
    <w:rsid w:val="00447A26"/>
    <w:rsid w:val="00454249"/>
    <w:rsid w:val="00474116"/>
    <w:rsid w:val="00477DCF"/>
    <w:rsid w:val="0048444B"/>
    <w:rsid w:val="00485E4A"/>
    <w:rsid w:val="00487606"/>
    <w:rsid w:val="004A7237"/>
    <w:rsid w:val="004B656F"/>
    <w:rsid w:val="004D459D"/>
    <w:rsid w:val="004F009D"/>
    <w:rsid w:val="0050257B"/>
    <w:rsid w:val="005068F9"/>
    <w:rsid w:val="00507233"/>
    <w:rsid w:val="0051066D"/>
    <w:rsid w:val="0052709E"/>
    <w:rsid w:val="00541339"/>
    <w:rsid w:val="00542055"/>
    <w:rsid w:val="0054547A"/>
    <w:rsid w:val="0055734C"/>
    <w:rsid w:val="0057028A"/>
    <w:rsid w:val="005713D4"/>
    <w:rsid w:val="0058603A"/>
    <w:rsid w:val="005956AE"/>
    <w:rsid w:val="005962D4"/>
    <w:rsid w:val="00597808"/>
    <w:rsid w:val="005A0975"/>
    <w:rsid w:val="005A3069"/>
    <w:rsid w:val="005B19B5"/>
    <w:rsid w:val="005B2F50"/>
    <w:rsid w:val="005C0661"/>
    <w:rsid w:val="005D1DED"/>
    <w:rsid w:val="005D359A"/>
    <w:rsid w:val="00612171"/>
    <w:rsid w:val="006244CE"/>
    <w:rsid w:val="00624771"/>
    <w:rsid w:val="00627321"/>
    <w:rsid w:val="00634018"/>
    <w:rsid w:val="00650A13"/>
    <w:rsid w:val="00664FB5"/>
    <w:rsid w:val="006A7AC0"/>
    <w:rsid w:val="006C037A"/>
    <w:rsid w:val="006F248B"/>
    <w:rsid w:val="006F2E69"/>
    <w:rsid w:val="0070012E"/>
    <w:rsid w:val="007036A4"/>
    <w:rsid w:val="00712366"/>
    <w:rsid w:val="0072337E"/>
    <w:rsid w:val="00726987"/>
    <w:rsid w:val="00735AA0"/>
    <w:rsid w:val="00741CBC"/>
    <w:rsid w:val="007527C6"/>
    <w:rsid w:val="007570B9"/>
    <w:rsid w:val="0077632C"/>
    <w:rsid w:val="00780872"/>
    <w:rsid w:val="00784525"/>
    <w:rsid w:val="007857EC"/>
    <w:rsid w:val="0078586D"/>
    <w:rsid w:val="00796CC7"/>
    <w:rsid w:val="007A1866"/>
    <w:rsid w:val="007B1E82"/>
    <w:rsid w:val="007B3A98"/>
    <w:rsid w:val="007B4F27"/>
    <w:rsid w:val="007B513D"/>
    <w:rsid w:val="007B5C4C"/>
    <w:rsid w:val="007C67B3"/>
    <w:rsid w:val="007C6C82"/>
    <w:rsid w:val="007D121F"/>
    <w:rsid w:val="007F56DA"/>
    <w:rsid w:val="00803CFE"/>
    <w:rsid w:val="008056A4"/>
    <w:rsid w:val="008058F7"/>
    <w:rsid w:val="008351FB"/>
    <w:rsid w:val="00843B7F"/>
    <w:rsid w:val="00855306"/>
    <w:rsid w:val="00857C44"/>
    <w:rsid w:val="008600BE"/>
    <w:rsid w:val="00861E20"/>
    <w:rsid w:val="00865D76"/>
    <w:rsid w:val="00871C74"/>
    <w:rsid w:val="00871EEC"/>
    <w:rsid w:val="0087336D"/>
    <w:rsid w:val="00874324"/>
    <w:rsid w:val="0089323F"/>
    <w:rsid w:val="00894238"/>
    <w:rsid w:val="008C350F"/>
    <w:rsid w:val="008D5CA0"/>
    <w:rsid w:val="008E3654"/>
    <w:rsid w:val="00910642"/>
    <w:rsid w:val="0091419B"/>
    <w:rsid w:val="009169D9"/>
    <w:rsid w:val="00917C2F"/>
    <w:rsid w:val="009204A0"/>
    <w:rsid w:val="0096226E"/>
    <w:rsid w:val="00992D4C"/>
    <w:rsid w:val="00995A5B"/>
    <w:rsid w:val="009970D1"/>
    <w:rsid w:val="009A59EF"/>
    <w:rsid w:val="009A61ED"/>
    <w:rsid w:val="009B4B16"/>
    <w:rsid w:val="009D3916"/>
    <w:rsid w:val="009E5828"/>
    <w:rsid w:val="00A1006C"/>
    <w:rsid w:val="00A10F66"/>
    <w:rsid w:val="00A27008"/>
    <w:rsid w:val="00A3159B"/>
    <w:rsid w:val="00A43589"/>
    <w:rsid w:val="00A851AC"/>
    <w:rsid w:val="00A86636"/>
    <w:rsid w:val="00A935BA"/>
    <w:rsid w:val="00AC302F"/>
    <w:rsid w:val="00AE303F"/>
    <w:rsid w:val="00AE7F9D"/>
    <w:rsid w:val="00B04A4F"/>
    <w:rsid w:val="00B05B78"/>
    <w:rsid w:val="00B14BE0"/>
    <w:rsid w:val="00B22584"/>
    <w:rsid w:val="00B30C93"/>
    <w:rsid w:val="00B32C7C"/>
    <w:rsid w:val="00B41C04"/>
    <w:rsid w:val="00B622F0"/>
    <w:rsid w:val="00B63F6A"/>
    <w:rsid w:val="00B6584C"/>
    <w:rsid w:val="00B7668B"/>
    <w:rsid w:val="00B94214"/>
    <w:rsid w:val="00B9469C"/>
    <w:rsid w:val="00B96636"/>
    <w:rsid w:val="00BA2F52"/>
    <w:rsid w:val="00BA6FCC"/>
    <w:rsid w:val="00BB2C47"/>
    <w:rsid w:val="00BC4F6E"/>
    <w:rsid w:val="00BD57BE"/>
    <w:rsid w:val="00BF274A"/>
    <w:rsid w:val="00C0712A"/>
    <w:rsid w:val="00C43098"/>
    <w:rsid w:val="00C52C49"/>
    <w:rsid w:val="00C728F5"/>
    <w:rsid w:val="00C8174B"/>
    <w:rsid w:val="00CB57EC"/>
    <w:rsid w:val="00CB70DA"/>
    <w:rsid w:val="00CC2C6F"/>
    <w:rsid w:val="00CC5186"/>
    <w:rsid w:val="00CE055C"/>
    <w:rsid w:val="00CE421C"/>
    <w:rsid w:val="00CE6DC3"/>
    <w:rsid w:val="00CF4FA1"/>
    <w:rsid w:val="00D0432F"/>
    <w:rsid w:val="00D07E9F"/>
    <w:rsid w:val="00D143E7"/>
    <w:rsid w:val="00D26C77"/>
    <w:rsid w:val="00D33396"/>
    <w:rsid w:val="00D41D76"/>
    <w:rsid w:val="00D50215"/>
    <w:rsid w:val="00D560C8"/>
    <w:rsid w:val="00D57EEA"/>
    <w:rsid w:val="00D626CC"/>
    <w:rsid w:val="00D64AEE"/>
    <w:rsid w:val="00D64FD8"/>
    <w:rsid w:val="00D65F4F"/>
    <w:rsid w:val="00D67537"/>
    <w:rsid w:val="00D71FEE"/>
    <w:rsid w:val="00D76173"/>
    <w:rsid w:val="00D7726D"/>
    <w:rsid w:val="00D80EF6"/>
    <w:rsid w:val="00D91B7C"/>
    <w:rsid w:val="00D94435"/>
    <w:rsid w:val="00D95D62"/>
    <w:rsid w:val="00DA04DD"/>
    <w:rsid w:val="00DB13C9"/>
    <w:rsid w:val="00DB7F6E"/>
    <w:rsid w:val="00DE31FF"/>
    <w:rsid w:val="00DF77E9"/>
    <w:rsid w:val="00E06B98"/>
    <w:rsid w:val="00E12B8C"/>
    <w:rsid w:val="00E200D3"/>
    <w:rsid w:val="00E37F37"/>
    <w:rsid w:val="00E61923"/>
    <w:rsid w:val="00E75E76"/>
    <w:rsid w:val="00E9156B"/>
    <w:rsid w:val="00EA67FE"/>
    <w:rsid w:val="00EB17DE"/>
    <w:rsid w:val="00EC0CB8"/>
    <w:rsid w:val="00EC3A53"/>
    <w:rsid w:val="00EE2AEF"/>
    <w:rsid w:val="00F03055"/>
    <w:rsid w:val="00F05578"/>
    <w:rsid w:val="00F10C32"/>
    <w:rsid w:val="00F163F4"/>
    <w:rsid w:val="00F1761A"/>
    <w:rsid w:val="00F202DB"/>
    <w:rsid w:val="00F22571"/>
    <w:rsid w:val="00F32120"/>
    <w:rsid w:val="00F40987"/>
    <w:rsid w:val="00F440AE"/>
    <w:rsid w:val="00F57F6C"/>
    <w:rsid w:val="00F63AEC"/>
    <w:rsid w:val="00F76D2A"/>
    <w:rsid w:val="00F81B44"/>
    <w:rsid w:val="00F924CF"/>
    <w:rsid w:val="00FB51AD"/>
    <w:rsid w:val="00FC01A6"/>
    <w:rsid w:val="00FC24F8"/>
    <w:rsid w:val="00FC2C7E"/>
    <w:rsid w:val="00FD56DB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3391"/>
  <w15:docId w15:val="{8F683C3F-93E8-4853-BC96-0FB25817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8A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1F19C7"/>
    <w:pPr>
      <w:keepNext/>
      <w:numPr>
        <w:ilvl w:val="2"/>
        <w:numId w:val="1"/>
      </w:numPr>
      <w:jc w:val="right"/>
      <w:outlineLvl w:val="2"/>
    </w:pPr>
    <w:rPr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rsid w:val="0057028A"/>
    <w:pPr>
      <w:widowControl w:val="0"/>
      <w:suppressAutoHyphens/>
      <w:spacing w:after="120" w:line="480" w:lineRule="auto"/>
      <w:ind w:left="283"/>
    </w:pPr>
  </w:style>
  <w:style w:type="paragraph" w:customStyle="1" w:styleId="1">
    <w:name w:val="Абзац списка1"/>
    <w:basedOn w:val="a"/>
    <w:rsid w:val="0057028A"/>
    <w:pPr>
      <w:ind w:left="720"/>
    </w:pPr>
    <w:rPr>
      <w:rFonts w:ascii="Arial" w:hAnsi="Arial"/>
      <w:sz w:val="20"/>
    </w:rPr>
  </w:style>
  <w:style w:type="paragraph" w:customStyle="1" w:styleId="ConsPlusNormal">
    <w:name w:val="ConsPlusNormal"/>
    <w:link w:val="ConsPlusNormal0"/>
    <w:qFormat/>
    <w:rsid w:val="0057028A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paragraph" w:styleId="a3">
    <w:name w:val="endnote text"/>
    <w:basedOn w:val="a"/>
    <w:link w:val="a4"/>
    <w:uiPriority w:val="99"/>
    <w:semiHidden/>
    <w:rsid w:val="0057028A"/>
    <w:pPr>
      <w:suppressAutoHyphens w:val="0"/>
      <w:spacing w:before="120"/>
      <w:jc w:val="both"/>
    </w:pPr>
    <w:rPr>
      <w:sz w:val="20"/>
    </w:rPr>
  </w:style>
  <w:style w:type="paragraph" w:styleId="a5">
    <w:name w:val="Balloon Text"/>
    <w:basedOn w:val="a"/>
    <w:link w:val="a6"/>
    <w:semiHidden/>
    <w:rsid w:val="0057028A"/>
    <w:rPr>
      <w:rFonts w:ascii="Tahoma" w:hAnsi="Tahoma"/>
      <w:sz w:val="16"/>
    </w:rPr>
  </w:style>
  <w:style w:type="character" w:styleId="a7">
    <w:name w:val="line number"/>
    <w:basedOn w:val="a0"/>
    <w:semiHidden/>
    <w:rsid w:val="0057028A"/>
  </w:style>
  <w:style w:type="character" w:styleId="a8">
    <w:name w:val="Hyperlink"/>
    <w:rsid w:val="0057028A"/>
    <w:rPr>
      <w:color w:val="0000FF"/>
      <w:u w:val="single"/>
    </w:rPr>
  </w:style>
  <w:style w:type="character" w:styleId="a9">
    <w:name w:val="page number"/>
    <w:basedOn w:val="a0"/>
    <w:rsid w:val="0057028A"/>
  </w:style>
  <w:style w:type="character" w:customStyle="1" w:styleId="sectioninfo2">
    <w:name w:val="section__info2"/>
    <w:rsid w:val="0057028A"/>
    <w:rPr>
      <w:vanish w:val="0"/>
    </w:rPr>
  </w:style>
  <w:style w:type="character" w:customStyle="1" w:styleId="ConsPlusNormal0">
    <w:name w:val="ConsPlusNormal Знак"/>
    <w:link w:val="ConsPlusNormal"/>
    <w:rsid w:val="0057028A"/>
    <w:rPr>
      <w:rFonts w:ascii="Arial" w:hAnsi="Arial"/>
      <w:sz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7028A"/>
    <w:rPr>
      <w:sz w:val="20"/>
    </w:rPr>
  </w:style>
  <w:style w:type="character" w:customStyle="1" w:styleId="a6">
    <w:name w:val="Текст выноски Знак"/>
    <w:basedOn w:val="a0"/>
    <w:link w:val="a5"/>
    <w:semiHidden/>
    <w:rsid w:val="0057028A"/>
    <w:rPr>
      <w:rFonts w:ascii="Tahoma" w:hAnsi="Tahoma"/>
      <w:sz w:val="16"/>
    </w:rPr>
  </w:style>
  <w:style w:type="character" w:customStyle="1" w:styleId="cardmaininfotitle2">
    <w:name w:val="cardmaininfo__title2"/>
    <w:basedOn w:val="a0"/>
    <w:rsid w:val="0057028A"/>
    <w:rPr>
      <w:color w:val="909EBB"/>
    </w:rPr>
  </w:style>
  <w:style w:type="table" w:styleId="10">
    <w:name w:val="Table Simple 1"/>
    <w:basedOn w:val="a1"/>
    <w:rsid w:val="005702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1F19C7"/>
    <w:rPr>
      <w:rFonts w:ascii="Times New Roman" w:hAnsi="Times New Roman"/>
      <w:b/>
      <w:sz w:val="28"/>
      <w:szCs w:val="24"/>
      <w:lang w:eastAsia="zh-CN"/>
    </w:rPr>
  </w:style>
  <w:style w:type="character" w:customStyle="1" w:styleId="notactual2">
    <w:name w:val="notactual2"/>
    <w:basedOn w:val="a0"/>
    <w:rsid w:val="005A0975"/>
    <w:rPr>
      <w:color w:val="909EBB"/>
    </w:rPr>
  </w:style>
  <w:style w:type="paragraph" w:styleId="aa">
    <w:name w:val="Normal (Web)"/>
    <w:basedOn w:val="a"/>
    <w:uiPriority w:val="99"/>
    <w:semiHidden/>
    <w:unhideWhenUsed/>
    <w:rsid w:val="00F225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38290215D178A6D34E9153EE8CD6BB010EF698A0C61AE43AE00B020ABb8N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350F5-EE70-47CB-869E-6A965A07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Давыдова Наталья Валерьевна</dc:creator>
  <cp:lastModifiedBy>Давыдова Наталья Валерьевна</cp:lastModifiedBy>
  <cp:revision>4</cp:revision>
  <cp:lastPrinted>2021-07-05T10:49:00Z</cp:lastPrinted>
  <dcterms:created xsi:type="dcterms:W3CDTF">2026-06-23T08:13:00Z</dcterms:created>
  <dcterms:modified xsi:type="dcterms:W3CDTF">2026-06-23T10:37:00Z</dcterms:modified>
</cp:coreProperties>
</file>