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  <w:lang w:eastAsia="en-US"/>
        </w:rPr>
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(НМЦК(ЦК))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</w:p>
    <w:p>
      <w:pPr>
        <w:spacing w:after="0" w:line="240" w:lineRule="auto"/>
        <w:rPr>
          <w:rFonts w:ascii="Times New Roman" w:hAnsi="Times New Roman" w:eastAsia="Calibri" w:cs="Times New Roman"/>
          <w:sz w:val="20"/>
          <w:szCs w:val="20"/>
          <w:lang w:eastAsia="en-US"/>
        </w:rPr>
      </w:pPr>
      <w:r>
        <w:rPr>
          <w:rFonts w:ascii="Times New Roman" w:hAnsi="Times New Roman" w:eastAsia="Calibri" w:cs="Times New Roman"/>
          <w:sz w:val="20"/>
          <w:szCs w:val="20"/>
          <w:lang w:eastAsia="en-US"/>
        </w:rPr>
      </w:r>
      <w:r>
        <w:rPr>
          <w:rFonts w:ascii="Times New Roman" w:hAnsi="Times New Roman" w:eastAsia="Calibri" w:cs="Times New Roman"/>
          <w:sz w:val="20"/>
          <w:szCs w:val="20"/>
          <w:lang w:eastAsia="en-US"/>
        </w:rPr>
      </w:r>
    </w:p>
    <w:p>
      <w:pPr>
        <w:spacing w:after="0" w:line="240" w:lineRule="auto"/>
        <w:rPr>
          <w:rFonts w:ascii="Times New Roman" w:hAnsi="Times New Roman" w:eastAsia="Calibri" w:cs="Times New Roman"/>
          <w:sz w:val="20"/>
          <w:szCs w:val="20"/>
          <w:lang w:eastAsia="en-US"/>
        </w:rPr>
      </w:pPr>
      <w:r>
        <w:rPr>
          <w:rFonts w:ascii="Times New Roman" w:hAnsi="Times New Roman" w:eastAsia="Calibri" w:cs="Times New Roman"/>
          <w:sz w:val="20"/>
          <w:szCs w:val="20"/>
          <w:lang w:eastAsia="en-US"/>
        </w:rPr>
      </w:r>
      <w:r>
        <w:rPr>
          <w:rFonts w:ascii="Times New Roman" w:hAnsi="Times New Roman" w:eastAsia="Calibri" w:cs="Times New Roman"/>
          <w:sz w:val="20"/>
          <w:szCs w:val="20"/>
          <w:lang w:eastAsia="en-US"/>
        </w:rPr>
      </w:r>
    </w:p>
    <w:p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0"/>
          <w:szCs w:val="20"/>
          <w:lang w:eastAsia="en-US"/>
        </w:rPr>
        <w:t xml:space="preserve">Дата подготовки обоснования НМЦК(ЦК</w:t>
      </w:r>
      <w:r>
        <w:rPr>
          <w:rFonts w:ascii="Times New Roman" w:hAnsi="Times New Roman" w:eastAsia="Calibri" w:cs="Times New Roman"/>
          <w:sz w:val="20"/>
          <w:szCs w:val="20"/>
          <w:lang w:eastAsia="en-US"/>
        </w:rPr>
        <w:t xml:space="preserve">)</w:t>
      </w:r>
      <w:r>
        <w:rPr>
          <w:rFonts w:ascii="Times New Roman" w:hAnsi="Times New Roman" w:eastAsia="Calibri" w:cs="Times New Roman"/>
          <w:b/>
          <w:sz w:val="20"/>
          <w:szCs w:val="20"/>
          <w:lang w:eastAsia="en-US"/>
        </w:rPr>
        <w:t xml:space="preserve">:   </w:t>
      </w:r>
      <w:r>
        <w:rPr>
          <w:rFonts w:ascii="Times New Roman" w:hAnsi="Times New Roman" w:eastAsia="Calibri" w:cs="Times New Roman"/>
          <w:b/>
          <w:lang w:eastAsia="en-US"/>
        </w:rPr>
        <w:t xml:space="preserve">20</w:t>
      </w:r>
      <w:r>
        <w:rPr>
          <w:rFonts w:ascii="Times New Roman" w:hAnsi="Times New Roman" w:eastAsia="Calibri" w:cs="Times New Roman"/>
          <w:b/>
          <w:lang w:eastAsia="en-US"/>
        </w:rPr>
        <w:t xml:space="preserve"> июля</w:t>
      </w:r>
      <w:r>
        <w:rPr>
          <w:rFonts w:ascii="Times New Roman" w:hAnsi="Times New Roman" w:eastAsia="Calibri" w:cs="Times New Roman"/>
          <w:b/>
          <w:lang w:eastAsia="en-US"/>
        </w:rPr>
        <w:t xml:space="preserve"> 2026</w:t>
      </w:r>
      <w:r>
        <w:rPr>
          <w:rFonts w:ascii="Times New Roman" w:hAnsi="Times New Roman" w:eastAsia="Calibri" w:cs="Times New Roman"/>
          <w:b/>
          <w:lang w:eastAsia="en-US"/>
        </w:rPr>
        <w:t xml:space="preserve"> года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spacing w:after="0" w:line="240" w:lineRule="auto"/>
        <w:rPr>
          <w:rFonts w:ascii="Times New Roman" w:hAnsi="Times New Roman" w:eastAsia="Calibri" w:cs="Times New Roman"/>
          <w:b/>
          <w:sz w:val="20"/>
          <w:szCs w:val="20"/>
          <w:lang w:eastAsia="en-US"/>
        </w:rPr>
      </w:pPr>
      <w:r>
        <w:rPr>
          <w:rFonts w:ascii="Times New Roman" w:hAnsi="Times New Roman" w:eastAsia="Calibri" w:cs="Times New Roman"/>
          <w:b/>
          <w:sz w:val="20"/>
          <w:szCs w:val="20"/>
          <w:lang w:eastAsia="en-US"/>
        </w:rPr>
      </w:r>
      <w:r>
        <w:rPr>
          <w:rFonts w:ascii="Times New Roman" w:hAnsi="Times New Roman" w:eastAsia="Calibri" w:cs="Times New Roman"/>
          <w:b/>
          <w:sz w:val="20"/>
          <w:szCs w:val="20"/>
          <w:lang w:eastAsia="en-US"/>
        </w:rPr>
      </w:r>
    </w:p>
    <w:p>
      <w:pPr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sz w:val="20"/>
          <w:szCs w:val="20"/>
          <w:lang w:eastAsia="en-US"/>
        </w:rPr>
        <w:t xml:space="preserve">Предмет </w:t>
      </w:r>
      <w:r>
        <w:rPr>
          <w:rFonts w:ascii="Times New Roman" w:hAnsi="Times New Roman" w:eastAsia="Calibri" w:cs="Times New Roman"/>
          <w:sz w:val="20"/>
          <w:szCs w:val="20"/>
          <w:lang w:eastAsia="en-US"/>
        </w:rPr>
        <w:t xml:space="preserve">контракта:  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Поставка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 (приобретение) портьер, гардин (штор из тюли) и карнизов к ним для нужд Межрегионального операци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онного управления Федерального к</w:t>
      </w:r>
      <w:bookmarkStart w:id="0" w:name="_GoBack"/>
      <w:r/>
      <w:bookmarkEnd w:id="0"/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азначейства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sz w:val="20"/>
          <w:szCs w:val="20"/>
          <w:lang w:eastAsia="en-US"/>
        </w:rPr>
        <w:t xml:space="preserve">Используемый</w:t>
      </w:r>
      <w:r>
        <w:rPr>
          <w:rFonts w:ascii="Times New Roman" w:hAnsi="Times New Roman" w:eastAsia="Calibri" w:cs="Times New Roman"/>
          <w:sz w:val="20"/>
          <w:szCs w:val="20"/>
          <w:lang w:eastAsia="en-US"/>
        </w:rPr>
        <w:t xml:space="preserve"> метод определения НМЦК (ЦК)</w:t>
      </w:r>
      <w:r>
        <w:rPr>
          <w:rFonts w:ascii="Times New Roman" w:hAnsi="Times New Roman" w:eastAsia="Calibri" w:cs="Times New Roman"/>
          <w:sz w:val="20"/>
          <w:szCs w:val="20"/>
          <w:lang w:eastAsia="en-US"/>
        </w:rPr>
        <w:t xml:space="preserve">: </w:t>
      </w:r>
      <w:r>
        <w:rPr>
          <w:rFonts w:ascii="Times New Roman" w:hAnsi="Times New Roman" w:eastAsia="Times New Roman" w:cs="Times New Roman"/>
          <w:b/>
          <w:szCs w:val="28"/>
        </w:rPr>
        <w:t xml:space="preserve">Метод сопоставимых рыночных цен (анализ рынка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</w:p>
    <w:p>
      <w:pPr>
        <w:rPr>
          <w:rFonts w:ascii="Times New Roman" w:hAnsi="Times New Roman" w:eastAsia="Calibri" w:cs="Times New Roman"/>
          <w:sz w:val="20"/>
          <w:szCs w:val="20"/>
          <w:lang w:eastAsia="en-US"/>
        </w:rPr>
      </w:pPr>
      <w:r>
        <w:rPr>
          <w:rFonts w:ascii="Times New Roman" w:hAnsi="Times New Roman" w:eastAsia="Calibri" w:cs="Times New Roman"/>
          <w:sz w:val="20"/>
          <w:szCs w:val="20"/>
          <w:lang w:eastAsia="en-US"/>
        </w:rPr>
      </w:r>
      <w:r>
        <w:rPr>
          <w:rFonts w:ascii="Times New Roman" w:hAnsi="Times New Roman" w:eastAsia="Calibri" w:cs="Times New Roman"/>
          <w:sz w:val="20"/>
          <w:szCs w:val="20"/>
          <w:lang w:eastAsia="en-US"/>
        </w:rPr>
      </w:r>
    </w:p>
    <w:p>
      <w:pPr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Calibri" w:cs="Times New Roman"/>
          <w:sz w:val="20"/>
          <w:szCs w:val="20"/>
          <w:lang w:eastAsia="en-US"/>
        </w:rPr>
        <w:t xml:space="preserve">Реквизиты запросов ценовой информации (в </w:t>
      </w:r>
      <w:r>
        <w:rPr>
          <w:rFonts w:ascii="Times New Roman" w:hAnsi="Times New Roman" w:eastAsia="Calibri" w:cs="Times New Roman"/>
          <w:sz w:val="20"/>
          <w:szCs w:val="20"/>
          <w:lang w:eastAsia="en-US"/>
        </w:rPr>
        <w:t xml:space="preserve">т.ч</w:t>
      </w:r>
      <w:r>
        <w:rPr>
          <w:rFonts w:ascii="Times New Roman" w:hAnsi="Times New Roman" w:eastAsia="Calibri" w:cs="Times New Roman"/>
          <w:sz w:val="20"/>
          <w:szCs w:val="20"/>
          <w:lang w:eastAsia="en-US"/>
        </w:rPr>
        <w:t xml:space="preserve">. в ЕИС):</w:t>
      </w:r>
      <w:r>
        <w:rPr>
          <w:rFonts w:ascii="Times New Roman" w:hAnsi="Times New Roman" w:eastAsia="Calibri" w:cs="Times New Roman"/>
          <w:sz w:val="20"/>
          <w:szCs w:val="20"/>
          <w:lang w:eastAsia="en-US"/>
        </w:rPr>
        <w:t xml:space="preserve"> </w:t>
      </w:r>
      <w:r>
        <w:rPr>
          <w:rFonts w:ascii="Times New Roman" w:hAnsi="Times New Roman" w:eastAsia="Calibri" w:cs="Times New Roman"/>
          <w:sz w:val="20"/>
          <w:szCs w:val="20"/>
          <w:lang w:eastAsia="en-US"/>
        </w:rPr>
        <w:t xml:space="preserve"> </w:t>
      </w:r>
      <w:r>
        <w:rPr>
          <w:rFonts w:ascii="Times New Roman" w:hAnsi="Times New Roman" w:eastAsia="Calibri" w:cs="Times New Roman"/>
          <w:lang w:eastAsia="en-US"/>
        </w:rPr>
        <w:t xml:space="preserve">в</w:t>
      </w:r>
      <w:r>
        <w:rPr>
          <w:rFonts w:ascii="Times New Roman" w:hAnsi="Times New Roman" w:eastAsia="Times New Roman" w:cs="Times New Roman"/>
        </w:rPr>
        <w:t xml:space="preserve"> целях получения ценовой информации в отношении планируемых к закупке товаров подготовлен и направлен запрос (исх. от  </w:t>
      </w:r>
      <w:r>
        <w:rPr>
          <w:rFonts w:ascii="Times New Roman" w:hAnsi="Times New Roman" w:eastAsia="Times New Roman" w:cs="Times New Roman"/>
        </w:rPr>
        <w:t xml:space="preserve">07.07.2026 № 99-11-15/7380</w:t>
      </w:r>
      <w:r>
        <w:rPr>
          <w:rFonts w:ascii="Times New Roman" w:hAnsi="Times New Roman" w:eastAsia="Times New Roman" w:cs="Times New Roman"/>
        </w:rPr>
        <w:t xml:space="preserve">) о предоставлении ценовой информации в </w:t>
      </w:r>
      <w:r>
        <w:rPr>
          <w:rFonts w:ascii="Times New Roman" w:hAnsi="Times New Roman" w:eastAsia="Times New Roman" w:cs="Times New Roman"/>
        </w:rPr>
        <w:t xml:space="preserve">3</w:t>
      </w:r>
      <w:r>
        <w:rPr>
          <w:rFonts w:ascii="Times New Roman" w:hAnsi="Times New Roman" w:eastAsia="Times New Roman" w:cs="Times New Roman"/>
        </w:rPr>
        <w:t xml:space="preserve"> (</w:t>
      </w:r>
      <w:r>
        <w:rPr>
          <w:rFonts w:ascii="Times New Roman" w:hAnsi="Times New Roman" w:eastAsia="Times New Roman" w:cs="Times New Roman"/>
        </w:rPr>
        <w:t xml:space="preserve">три)</w:t>
      </w:r>
      <w:r>
        <w:rPr>
          <w:rFonts w:ascii="Times New Roman" w:hAnsi="Times New Roman" w:eastAsia="Times New Roman" w:cs="Times New Roman"/>
        </w:rPr>
        <w:t xml:space="preserve"> организаци</w:t>
      </w:r>
      <w:r>
        <w:rPr>
          <w:rFonts w:ascii="Times New Roman" w:hAnsi="Times New Roman" w:eastAsia="Times New Roman" w:cs="Times New Roman"/>
        </w:rPr>
        <w:t xml:space="preserve">и</w:t>
      </w:r>
      <w:r>
        <w:rPr>
          <w:rFonts w:ascii="Times New Roman" w:hAnsi="Times New Roman" w:eastAsia="Times New Roman" w:cs="Times New Roman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информация о которых и о поставленных ими товарах содержится на официальном сайте единой информационной системы в реестре контрактов, заключенных заказчиками, ответы не получены</w:t>
      </w:r>
      <w:r>
        <w:rPr>
          <w:rFonts w:ascii="Times New Roman" w:hAnsi="Times New Roman" w:cs="Times New Roman"/>
          <w:color w:val="000000"/>
        </w:rPr>
        <w:t xml:space="preserve">, а также </w:t>
      </w:r>
      <w:r>
        <w:rPr>
          <w:rFonts w:ascii="Times New Roman" w:hAnsi="Times New Roman" w:cs="Times New Roman"/>
          <w:color w:val="000000"/>
        </w:rPr>
        <w:t xml:space="preserve">в 2 (две) организации, информация о которых содержится в реестре российской промышленной продукции, ответы не получены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 </w:t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rPr>
          <w:rFonts w:ascii="Calibri" w:hAnsi="Calibri" w:eastAsia="Times New Roman" w:cs="Times New Roman"/>
        </w:rPr>
      </w:pPr>
      <w:r>
        <w:rPr>
          <w:rFonts w:ascii="Calibri" w:hAnsi="Calibri" w:eastAsia="Times New Roman" w:cs="Times New Roman"/>
        </w:rPr>
        <w:t xml:space="preserve">З</w:t>
      </w:r>
      <w:r>
        <w:rPr>
          <w:rFonts w:ascii="Times New Roman" w:hAnsi="Times New Roman" w:eastAsia="Times New Roman" w:cs="Times New Roman"/>
          <w:szCs w:val="28"/>
        </w:rPr>
        <w:t xml:space="preserve">апрос в ЕИС </w:t>
      </w:r>
      <w:r>
        <w:rPr>
          <w:rFonts w:ascii="Times New Roman" w:hAnsi="Times New Roman" w:eastAsia="Times New Roman" w:cs="Times New Roman"/>
          <w:b/>
          <w:szCs w:val="28"/>
        </w:rPr>
        <w:t xml:space="preserve">№ </w:t>
      </w:r>
      <w:r>
        <w:rPr>
          <w:rFonts w:ascii="Times New Roman" w:hAnsi="Times New Roman" w:eastAsia="Times New Roman" w:cs="Times New Roman"/>
          <w:b/>
          <w:szCs w:val="28"/>
        </w:rPr>
        <w:t xml:space="preserve">0895100000</w:t>
      </w:r>
      <w:r>
        <w:rPr>
          <w:rFonts w:ascii="Times New Roman" w:hAnsi="Times New Roman" w:eastAsia="Times New Roman" w:cs="Times New Roman"/>
          <w:b/>
          <w:szCs w:val="28"/>
        </w:rPr>
        <w:t xml:space="preserve">126000667</w:t>
      </w:r>
      <w:r>
        <w:rPr>
          <w:rFonts w:ascii="Times New Roman" w:hAnsi="Times New Roman" w:eastAsia="Times New Roman" w:cs="Times New Roman"/>
          <w:b/>
          <w:szCs w:val="28"/>
        </w:rPr>
        <w:t xml:space="preserve"> от </w:t>
      </w:r>
      <w:r>
        <w:rPr>
          <w:rFonts w:ascii="Times New Roman" w:hAnsi="Times New Roman" w:eastAsia="Times New Roman" w:cs="Times New Roman"/>
          <w:b/>
          <w:szCs w:val="28"/>
        </w:rPr>
        <w:t xml:space="preserve">08.07.</w:t>
      </w:r>
      <w:r>
        <w:rPr>
          <w:rFonts w:ascii="Times New Roman" w:hAnsi="Times New Roman" w:eastAsia="Times New Roman" w:cs="Times New Roman"/>
          <w:b/>
          <w:szCs w:val="28"/>
        </w:rPr>
        <w:t xml:space="preserve">2026</w:t>
      </w:r>
      <w:r>
        <w:rPr>
          <w:rFonts w:ascii="Times New Roman" w:hAnsi="Times New Roman" w:eastAsia="Times New Roman" w:cs="Times New Roman"/>
          <w:b/>
          <w:szCs w:val="28"/>
        </w:rPr>
        <w:t xml:space="preserve">,</w:t>
      </w:r>
      <w:r>
        <w:rPr>
          <w:rFonts w:ascii="Times New Roman" w:hAnsi="Times New Roman" w:eastAsia="Times New Roman" w:cs="Times New Roman"/>
          <w:b/>
          <w:szCs w:val="28"/>
        </w:rPr>
        <w:t xml:space="preserve">   </w:t>
      </w:r>
      <w:r>
        <w:rPr>
          <w:rFonts w:ascii="Times New Roman" w:hAnsi="Times New Roman" w:eastAsia="Times New Roman" w:cs="Times New Roman"/>
          <w:szCs w:val="28"/>
        </w:rPr>
        <w:t xml:space="preserve">получены 3</w:t>
      </w:r>
      <w:r>
        <w:rPr>
          <w:rFonts w:ascii="Times New Roman" w:hAnsi="Times New Roman" w:eastAsia="Times New Roman" w:cs="Times New Roman"/>
          <w:szCs w:val="28"/>
        </w:rPr>
        <w:t xml:space="preserve"> (</w:t>
      </w:r>
      <w:r>
        <w:rPr>
          <w:rFonts w:ascii="Times New Roman" w:hAnsi="Times New Roman" w:eastAsia="Times New Roman" w:cs="Times New Roman"/>
          <w:szCs w:val="28"/>
        </w:rPr>
        <w:t xml:space="preserve">три</w:t>
      </w:r>
      <w:r>
        <w:rPr>
          <w:rFonts w:ascii="Times New Roman" w:hAnsi="Times New Roman" w:eastAsia="Times New Roman" w:cs="Times New Roman"/>
          <w:szCs w:val="28"/>
        </w:rPr>
        <w:t xml:space="preserve">) ответа: </w:t>
      </w:r>
      <w:r>
        <w:rPr>
          <w:rFonts w:ascii="Times New Roman" w:hAnsi="Times New Roman" w:eastAsia="Times New Roman" w:cs="Times New Roman"/>
          <w:szCs w:val="28"/>
        </w:rPr>
        <w:br/>
      </w:r>
      <w:r>
        <w:rPr>
          <w:rFonts w:ascii="Times New Roman" w:hAnsi="Times New Roman" w:eastAsia="Times New Roman" w:cs="Times New Roman"/>
          <w:i/>
          <w:szCs w:val="28"/>
        </w:rPr>
        <w:t xml:space="preserve">Источник № 1</w:t>
      </w:r>
      <w:r>
        <w:rPr>
          <w:rFonts w:ascii="Times New Roman" w:hAnsi="Times New Roman" w:eastAsia="Times New Roman" w:cs="Times New Roman"/>
          <w:b/>
          <w:szCs w:val="28"/>
        </w:rPr>
        <w:t xml:space="preserve"> – КП1</w:t>
      </w:r>
      <w:r>
        <w:rPr>
          <w:rFonts w:ascii="Times New Roman" w:hAnsi="Times New Roman" w:eastAsia="Times New Roman" w:cs="Times New Roman"/>
          <w:szCs w:val="28"/>
        </w:rPr>
        <w:t xml:space="preserve"> (</w:t>
      </w:r>
      <w:r>
        <w:rPr>
          <w:rFonts w:ascii="Times New Roman" w:hAnsi="Times New Roman" w:eastAsia="Times New Roman" w:cs="Times New Roman"/>
          <w:szCs w:val="28"/>
        </w:rPr>
        <w:t xml:space="preserve">вх</w:t>
      </w:r>
      <w:r>
        <w:rPr>
          <w:rFonts w:ascii="Times New Roman" w:hAnsi="Times New Roman" w:eastAsia="Times New Roman" w:cs="Times New Roman"/>
          <w:szCs w:val="28"/>
        </w:rPr>
        <w:t xml:space="preserve">. № </w:t>
      </w:r>
      <w:r>
        <w:rPr>
          <w:rFonts w:ascii="Times New Roman" w:hAnsi="Times New Roman" w:eastAsia="Times New Roman" w:cs="Times New Roman"/>
          <w:szCs w:val="28"/>
        </w:rPr>
        <w:t xml:space="preserve">17778</w:t>
      </w:r>
      <w:r>
        <w:rPr>
          <w:rFonts w:ascii="Times New Roman" w:hAnsi="Times New Roman" w:eastAsia="Times New Roman" w:cs="Times New Roman"/>
          <w:szCs w:val="28"/>
        </w:rPr>
        <w:t xml:space="preserve"> </w:t>
      </w:r>
      <w:r>
        <w:rPr>
          <w:rFonts w:ascii="Times New Roman" w:hAnsi="Times New Roman" w:eastAsia="Times New Roman" w:cs="Times New Roman"/>
          <w:szCs w:val="28"/>
        </w:rPr>
        <w:t xml:space="preserve">от  </w:t>
      </w:r>
      <w:r>
        <w:rPr>
          <w:rFonts w:ascii="Times New Roman" w:hAnsi="Times New Roman" w:eastAsia="Times New Roman" w:cs="Times New Roman"/>
          <w:szCs w:val="28"/>
        </w:rPr>
        <w:t xml:space="preserve">15.07.</w:t>
      </w:r>
      <w:r>
        <w:rPr>
          <w:rFonts w:ascii="Times New Roman" w:hAnsi="Times New Roman" w:eastAsia="Times New Roman" w:cs="Times New Roman"/>
          <w:szCs w:val="28"/>
        </w:rPr>
        <w:t xml:space="preserve">2026</w:t>
      </w:r>
      <w:r>
        <w:rPr>
          <w:rFonts w:ascii="Times New Roman" w:hAnsi="Times New Roman" w:eastAsia="Times New Roman" w:cs="Times New Roman"/>
          <w:szCs w:val="28"/>
        </w:rPr>
        <w:t xml:space="preserve">),  </w:t>
      </w:r>
      <w:r>
        <w:rPr>
          <w:rFonts w:ascii="Times New Roman" w:hAnsi="Times New Roman" w:eastAsia="Times New Roman" w:cs="Times New Roman"/>
          <w:i/>
        </w:rPr>
        <w:t xml:space="preserve">Источник № 2</w:t>
      </w:r>
      <w:r>
        <w:rPr>
          <w:rFonts w:ascii="Calibri" w:hAnsi="Calibri" w:eastAsia="Times New Roman" w:cs="Times New Roman"/>
        </w:rPr>
        <w:t xml:space="preserve"> – </w:t>
      </w:r>
      <w:r>
        <w:rPr>
          <w:rFonts w:ascii="Times New Roman" w:hAnsi="Times New Roman" w:eastAsia="Times New Roman" w:cs="Times New Roman"/>
          <w:b/>
          <w:szCs w:val="28"/>
        </w:rPr>
        <w:t xml:space="preserve">КП2</w:t>
      </w:r>
      <w:r>
        <w:rPr>
          <w:rFonts w:ascii="Times New Roman" w:hAnsi="Times New Roman" w:eastAsia="Times New Roman" w:cs="Times New Roman"/>
          <w:szCs w:val="28"/>
        </w:rPr>
        <w:t xml:space="preserve"> (</w:t>
      </w:r>
      <w:r>
        <w:rPr>
          <w:rFonts w:ascii="Times New Roman" w:hAnsi="Times New Roman" w:eastAsia="Times New Roman" w:cs="Times New Roman"/>
          <w:szCs w:val="28"/>
        </w:rPr>
        <w:t xml:space="preserve">вх</w:t>
      </w:r>
      <w:r>
        <w:rPr>
          <w:rFonts w:ascii="Times New Roman" w:hAnsi="Times New Roman" w:eastAsia="Times New Roman" w:cs="Times New Roman"/>
          <w:szCs w:val="28"/>
        </w:rPr>
        <w:t xml:space="preserve">. № </w:t>
      </w:r>
      <w:r>
        <w:rPr>
          <w:rFonts w:ascii="Times New Roman" w:hAnsi="Times New Roman" w:eastAsia="Times New Roman" w:cs="Times New Roman"/>
          <w:szCs w:val="28"/>
        </w:rPr>
        <w:t xml:space="preserve">17611</w:t>
      </w:r>
      <w:r>
        <w:rPr>
          <w:rFonts w:ascii="Times New Roman" w:hAnsi="Times New Roman" w:eastAsia="Times New Roman" w:cs="Times New Roman"/>
          <w:szCs w:val="28"/>
        </w:rPr>
        <w:t xml:space="preserve">от  </w:t>
      </w:r>
      <w:r>
        <w:rPr>
          <w:rFonts w:ascii="Times New Roman" w:hAnsi="Times New Roman" w:eastAsia="Times New Roman" w:cs="Times New Roman"/>
          <w:szCs w:val="28"/>
        </w:rPr>
        <w:t xml:space="preserve">14.07.</w:t>
      </w:r>
      <w:r>
        <w:rPr>
          <w:rFonts w:ascii="Times New Roman" w:hAnsi="Times New Roman" w:eastAsia="Times New Roman" w:cs="Times New Roman"/>
          <w:szCs w:val="28"/>
        </w:rPr>
        <w:t xml:space="preserve">2026</w:t>
      </w:r>
      <w:r>
        <w:rPr>
          <w:rFonts w:ascii="Times New Roman" w:hAnsi="Times New Roman" w:eastAsia="Times New Roman" w:cs="Times New Roman"/>
          <w:szCs w:val="28"/>
        </w:rPr>
        <w:t xml:space="preserve">), </w:t>
      </w:r>
      <w:r>
        <w:rPr>
          <w:rFonts w:ascii="Times New Roman" w:hAnsi="Times New Roman" w:eastAsia="Times New Roman" w:cs="Times New Roman"/>
          <w:i/>
          <w:szCs w:val="28"/>
        </w:rPr>
        <w:t xml:space="preserve"> Источник № 3</w:t>
      </w:r>
      <w:r>
        <w:rPr>
          <w:rFonts w:ascii="Times New Roman" w:hAnsi="Times New Roman" w:eastAsia="Times New Roman" w:cs="Times New Roman"/>
          <w:szCs w:val="28"/>
        </w:rPr>
        <w:t xml:space="preserve"> – </w:t>
      </w:r>
      <w:r>
        <w:rPr>
          <w:rFonts w:ascii="Times New Roman" w:hAnsi="Times New Roman" w:eastAsia="Times New Roman" w:cs="Times New Roman"/>
          <w:b/>
          <w:szCs w:val="28"/>
        </w:rPr>
        <w:t xml:space="preserve">КП3 </w:t>
      </w:r>
      <w:r>
        <w:rPr>
          <w:rFonts w:ascii="Times New Roman" w:hAnsi="Times New Roman" w:eastAsia="Times New Roman" w:cs="Times New Roman"/>
          <w:szCs w:val="28"/>
        </w:rPr>
        <w:t xml:space="preserve">(</w:t>
      </w:r>
      <w:r>
        <w:rPr>
          <w:rFonts w:ascii="Times New Roman" w:hAnsi="Times New Roman" w:eastAsia="Times New Roman" w:cs="Times New Roman"/>
          <w:szCs w:val="28"/>
        </w:rPr>
        <w:t xml:space="preserve">вх</w:t>
      </w:r>
      <w:r>
        <w:rPr>
          <w:rFonts w:ascii="Times New Roman" w:hAnsi="Times New Roman" w:eastAsia="Times New Roman" w:cs="Times New Roman"/>
          <w:szCs w:val="28"/>
        </w:rPr>
        <w:t xml:space="preserve">. № </w:t>
      </w:r>
      <w:r>
        <w:rPr>
          <w:rFonts w:ascii="Times New Roman" w:hAnsi="Times New Roman" w:eastAsia="Times New Roman" w:cs="Times New Roman"/>
          <w:szCs w:val="28"/>
        </w:rPr>
        <w:t xml:space="preserve">17612</w:t>
      </w:r>
      <w:r>
        <w:rPr>
          <w:rFonts w:ascii="Times New Roman" w:hAnsi="Times New Roman" w:eastAsia="Times New Roman" w:cs="Times New Roman"/>
          <w:szCs w:val="28"/>
        </w:rPr>
        <w:t xml:space="preserve"> </w:t>
      </w:r>
      <w:r>
        <w:rPr>
          <w:rFonts w:ascii="Times New Roman" w:hAnsi="Times New Roman" w:eastAsia="Times New Roman" w:cs="Times New Roman"/>
          <w:szCs w:val="28"/>
        </w:rPr>
        <w:t xml:space="preserve">от  </w:t>
      </w:r>
      <w:r>
        <w:rPr>
          <w:rFonts w:ascii="Times New Roman" w:hAnsi="Times New Roman" w:eastAsia="Times New Roman" w:cs="Times New Roman"/>
          <w:szCs w:val="28"/>
        </w:rPr>
        <w:t xml:space="preserve">14.07.</w:t>
      </w:r>
      <w:r>
        <w:rPr>
          <w:rFonts w:ascii="Times New Roman" w:hAnsi="Times New Roman" w:eastAsia="Times New Roman" w:cs="Times New Roman"/>
          <w:szCs w:val="28"/>
        </w:rPr>
        <w:t xml:space="preserve">2026</w:t>
      </w:r>
      <w:r>
        <w:rPr>
          <w:rFonts w:ascii="Times New Roman" w:hAnsi="Times New Roman" w:eastAsia="Times New Roman" w:cs="Times New Roman"/>
          <w:szCs w:val="28"/>
        </w:rPr>
        <w:t xml:space="preserve">)</w:t>
      </w:r>
      <w:r>
        <w:rPr>
          <w:rFonts w:ascii="Times New Roman" w:hAnsi="Times New Roman" w:eastAsia="Times New Roman" w:cs="Times New Roman"/>
          <w:szCs w:val="28"/>
        </w:rPr>
        <w:t xml:space="preserve"> </w:t>
      </w:r>
      <w:r>
        <w:rPr>
          <w:rFonts w:ascii="Calibri" w:hAnsi="Calibri" w:eastAsia="Times New Roman" w:cs="Times New Roman"/>
        </w:rPr>
        <w:t xml:space="preserve"> </w:t>
      </w:r>
      <w:r>
        <w:rPr>
          <w:rFonts w:ascii="Calibri" w:hAnsi="Calibri" w:eastAsia="Times New Roman" w:cs="Times New Roman"/>
        </w:rPr>
      </w:r>
    </w:p>
    <w:p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Расчет НМЦК произведен по наименьшему коммерческому предложению (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Источник №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W w:w="16011" w:type="dxa"/>
        <w:jc w:val="center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21"/>
        <w:gridCol w:w="1559"/>
        <w:gridCol w:w="1561"/>
        <w:gridCol w:w="990"/>
        <w:gridCol w:w="990"/>
        <w:gridCol w:w="993"/>
        <w:gridCol w:w="1134"/>
        <w:gridCol w:w="1134"/>
        <w:gridCol w:w="1134"/>
        <w:gridCol w:w="1134"/>
        <w:gridCol w:w="1276"/>
        <w:gridCol w:w="1417"/>
        <w:gridCol w:w="2268"/>
      </w:tblGrid>
      <w:tr>
        <w:tblPrEx/>
        <w:trPr>
          <w:jc w:val="center"/>
          <w:trHeight w:val="21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  <w:t xml:space="preserve">№</w:t>
            </w: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  <w:t xml:space="preserve">п/п</w:t>
            </w: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Calibri" w:hAnsi="Calibri" w:eastAsia="Calibri" w:cs="Times New Roman"/>
                <w:vertAlign w:val="superscript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  <w:t xml:space="preserve">Наименование товара, работы, услуги по КТРУ</w:t>
            </w:r>
            <w:r>
              <w:rPr>
                <w:rFonts w:ascii="Calibri" w:hAnsi="Calibri" w:eastAsia="Calibri" w:cs="Times New Roman"/>
                <w:vertAlign w:val="superscript"/>
                <w:lang w:eastAsia="en-US"/>
              </w:rPr>
            </w:r>
          </w:p>
          <w:p>
            <w:pPr>
              <w:jc w:val="center"/>
              <w:spacing w:after="0" w:line="240" w:lineRule="auto"/>
              <w:rPr>
                <w:rFonts w:ascii="Calibri" w:hAnsi="Calibri" w:eastAsia="Calibri" w:cs="Times New Roman"/>
                <w:lang w:eastAsia="en-US"/>
              </w:rPr>
            </w:pPr>
            <w:r>
              <w:rPr>
                <w:rFonts w:ascii="Calibri" w:hAnsi="Calibri" w:eastAsia="Calibri" w:cs="Times New Roman"/>
                <w:lang w:eastAsia="en-US"/>
              </w:rPr>
            </w:r>
            <w:r>
              <w:rPr>
                <w:rFonts w:ascii="Calibri" w:hAnsi="Calibri" w:eastAsia="Calibri" w:cs="Times New Roman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6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  <w:t xml:space="preserve">Наименование товара, работы, услуги согласно описанию объекта закупки</w:t>
            </w: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  <w:t xml:space="preserve">Типовая принадлежность</w:t>
            </w: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  <w:t xml:space="preserve">Единица измерений</w:t>
            </w: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  <w:t xml:space="preserve">Кол-во</w:t>
            </w: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9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Расчет НМЦК(ЦК)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</w:tr>
      <w:tr>
        <w:tblPrEx/>
        <w:trPr>
          <w:jc w:val="center"/>
          <w:trHeight w:val="39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vAlign w:val="center"/>
            <w:vMerge w:val="continue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spacing w:after="0"/>
              <w:rPr>
                <w:rFonts w:ascii="Calibri" w:hAnsi="Calibri" w:eastAsia="Calibri" w:cs="Times New Roman"/>
                <w:lang w:eastAsia="en-US"/>
              </w:rPr>
            </w:pPr>
            <w:r>
              <w:rPr>
                <w:rFonts w:ascii="Calibri" w:hAnsi="Calibri" w:eastAsia="Calibri" w:cs="Times New Roman"/>
                <w:lang w:eastAsia="en-US"/>
              </w:rPr>
            </w:r>
            <w:r>
              <w:rPr>
                <w:rFonts w:ascii="Calibri" w:hAnsi="Calibri" w:eastAsia="Calibri" w:cs="Times New Roman"/>
                <w:lang w:eastAsia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vMerge w:val="continue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vMerge w:val="continue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Ценовые значения анализа рынка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Коэфф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. вариации (v)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Ср. рыночная цена за единицу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(руб.)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auto" w:fill="ffc00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Минимальная цена за единицу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(руб.)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Итоговое значение НМЦК (ЦК) (руб.)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vAlign w:val="center"/>
            <w:vMerge w:val="continue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spacing w:after="0"/>
              <w:rPr>
                <w:rFonts w:ascii="Calibri" w:hAnsi="Calibri" w:eastAsia="Calibri" w:cs="Times New Roman"/>
                <w:lang w:eastAsia="en-US"/>
              </w:rPr>
            </w:pPr>
            <w:r>
              <w:rPr>
                <w:rFonts w:ascii="Calibri" w:hAnsi="Calibri" w:eastAsia="Calibri" w:cs="Times New Roman"/>
                <w:lang w:eastAsia="en-US"/>
              </w:rPr>
            </w:r>
            <w:r>
              <w:rPr>
                <w:rFonts w:ascii="Calibri" w:hAnsi="Calibri" w:eastAsia="Calibri" w:cs="Times New Roman"/>
                <w:lang w:eastAsia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99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vMerge w:val="continue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vMerge w:val="continue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i/>
                <w:sz w:val="16"/>
                <w:szCs w:val="16"/>
                <w:lang w:eastAsia="en-US"/>
              </w:rPr>
              <w:t xml:space="preserve">Источник № </w:t>
            </w:r>
            <w:r>
              <w:rPr>
                <w:rFonts w:ascii="Times New Roman" w:hAnsi="Times New Roman" w:eastAsia="Times New Roman" w:cs="Times New Roman"/>
                <w:i/>
                <w:sz w:val="16"/>
                <w:szCs w:val="16"/>
                <w:lang w:eastAsia="en-US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en-US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en-US"/>
              </w:rPr>
              <w:t xml:space="preserve">Вх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en-US"/>
              </w:rPr>
              <w:t xml:space="preserve">. № </w:t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en-US"/>
              </w:rPr>
              <w:t xml:space="preserve">17778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en-US"/>
              </w:rPr>
              <w:br/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i/>
                <w:sz w:val="16"/>
                <w:szCs w:val="16"/>
                <w:lang w:eastAsia="en-US"/>
              </w:rPr>
              <w:t xml:space="preserve">Источник № 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en-US"/>
              </w:rPr>
              <w:t xml:space="preserve">Вх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en-US"/>
              </w:rPr>
              <w:t xml:space="preserve">. № </w:t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en-US"/>
              </w:rPr>
              <w:t xml:space="preserve">17611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en-US"/>
              </w:rPr>
              <w:br/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auto" w:fill="ffc000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i/>
                <w:sz w:val="16"/>
                <w:szCs w:val="16"/>
                <w:lang w:eastAsia="en-US"/>
              </w:rPr>
              <w:t xml:space="preserve">Источник №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en-US"/>
              </w:rPr>
              <w:t xml:space="preserve"> 3 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en-US"/>
              </w:rPr>
              <w:br/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en-US"/>
              </w:rPr>
              <w:t xml:space="preserve">Вх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en-US"/>
              </w:rPr>
              <w:t xml:space="preserve">. № </w:t>
            </w:r>
            <w:r>
              <w:rPr>
                <w:rFonts w:ascii="Times New Roman" w:hAnsi="Times New Roman" w:eastAsia="Times New Roman" w:cs="Times New Roman"/>
                <w:b/>
                <w:sz w:val="16"/>
                <w:szCs w:val="16"/>
                <w:lang w:eastAsia="en-US"/>
              </w:rPr>
              <w:t xml:space="preserve">17612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en-US"/>
              </w:rPr>
              <w:br/>
            </w:r>
            <w:r>
              <w:rPr>
                <w:rFonts w:ascii="Times New Roman" w:hAnsi="Times New Roman" w:eastAsia="Times New Roman" w:cs="Times New Roman"/>
                <w:color w:val="ff0000"/>
                <w:sz w:val="16"/>
                <w:szCs w:val="16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auto" w:fill="ffc00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</w:tr>
      <w:tr>
        <w:tblPrEx/>
        <w:trPr>
          <w:jc w:val="center"/>
          <w:trHeight w:val="40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vAlign w:val="center"/>
            <w:vMerge w:val="continue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spacing w:after="0"/>
              <w:rPr>
                <w:rFonts w:ascii="Calibri" w:hAnsi="Calibri" w:eastAsia="Calibri" w:cs="Times New Roman"/>
                <w:lang w:eastAsia="en-US"/>
              </w:rPr>
            </w:pPr>
            <w:r>
              <w:rPr>
                <w:rFonts w:ascii="Calibri" w:hAnsi="Calibri" w:eastAsia="Calibri" w:cs="Times New Roman"/>
                <w:lang w:eastAsia="en-US"/>
              </w:rPr>
            </w:r>
            <w:r>
              <w:rPr>
                <w:rFonts w:ascii="Calibri" w:hAnsi="Calibri" w:eastAsia="Calibri" w:cs="Times New Roman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vMerge w:val="continue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vMerge w:val="continue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12"/>
                <w:szCs w:val="12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Цена за ед.(руб.)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Цена за ед.(руб.)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auto" w:fill="ffc00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Цена за ед.(руб.)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auto" w:fill="ffc00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</w:tr>
      <w:tr>
        <w:tblPrEx/>
        <w:trPr>
          <w:jc w:val="center"/>
          <w:trHeight w:val="14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 xml:space="preserve">5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 xml:space="preserve">7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c00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 xml:space="preserve">9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 xml:space="preserve">10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fc00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 xml:space="preserve">11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 xml:space="preserve">12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Гардина, Тип 1.1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4,92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1 950,00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1 930,00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ffc00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0,52%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ffc00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9 544,80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Гардина, Тип 1.2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4,92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1 950,00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1 930,00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0,52%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9 544,80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Гардина, Тип 2.1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2,53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1 950,00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1 930,00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0,52%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4 908,20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Гардина, Тип 2.2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2,53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1 950,00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1 930,00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0,52%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4 908,20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5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Гардина, Тип 3.1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5,48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1 950,00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1 930,00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0,52%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10 631,20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Гардина, Тип 3.2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5,48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1 950,00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1 930,00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0,52%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10 631,20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7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Гардина, Тип 4.1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2,68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1 950,00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1 930,00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0,52%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5 199,20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Гардина, Тип 4.2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2,68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1 950,00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1 930,00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0,52%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5 199,20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9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Гардина, Тип 5.1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5,50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1 950,00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1 930,00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0,52%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10 670,00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10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Гардина, Тип 5.2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5,50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1 950,00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1 930,00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0,52%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10 670,00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11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Гардина, Тип 6.1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5,51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1 950,00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1 930,00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0,52%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10 689,40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12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Гардина, Тип 6.2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5,51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1 950,00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1 930,00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0,52%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10 689,40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13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Гардина, Тип 7.1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5,49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1 950,00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1 930,00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0,52%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10 650,60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14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Гардина, Тип 7.2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5,49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1 950,00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1 930,00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0,52%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10 650,60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15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Гардина, Тип 8.1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5,51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1 950,00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1 930,00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0,52%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10 689,40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16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Гардина, Тип 8.2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5,51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1 950,00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1 930,00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0,52%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10 689,40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17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Гардина, Тип 9.1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2,71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1 950,00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1 930,00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0,52%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5 257,40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18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Гардина, Тип 9.2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2,71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1 950,00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1 930,00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0,52%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5 257,40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19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Гардина, Тип 10.1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5,57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1 950,00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1 930,00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0,52%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10 805,80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20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Гардина, Тип 10.2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5,57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1 950,00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1 930,00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0,52%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1 940,00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10 805,80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21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Портьеры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1.1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4,92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2 910,00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0,20%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2 903,33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14 268,00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22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Портьеры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1.2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4,92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2 910,00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0,20%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2 903,33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14 268,00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23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Портьеры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2.1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2,53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2 910,00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0,20%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2 903,33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7 337,00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24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Портьеры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2.2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2,53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2 910,00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0,20%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2 903,33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7 337,00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25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Портьеры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3.1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5,48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2 910,00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0,20%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2 903,33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15 892,00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26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Портьеры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3.2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5,48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2 910,00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0,20%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2 903,33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15 892,00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27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Портьеры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4.1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2,68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2 910,00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0,20%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2 903,33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7 772,00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28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Портьеры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4.2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2,68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2 910,00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0,20%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2 903,33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7 772,00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29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Портьеры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5.1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5,50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2 910,00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0,20%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2 903,33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15 950,00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30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Портьеры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5.2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5,50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2 910,00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0,20%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2 903,33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15 950,00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31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Портьеры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6.1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5,51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2 910,00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0,20%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2 903,33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15 979,00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32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Портьеры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6.2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5,51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2 910,00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0,20%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2 903,33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15 979,00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33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Портьеры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7.1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5,49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2 910,00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0,20%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2 903,33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15 921,00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34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Портьеры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7.2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5,49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2 910,00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0,20%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2 903,33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15 921,00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35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Портьеры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8.1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5,51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2 910,00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0,20%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2 903,33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15 979,00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36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Портьеры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8.2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5,51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2 910,00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0,20%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2 903,33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15 979,00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37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Портьеры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9.1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2,71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2 910,00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0,20%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2 903,33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7 859,00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38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Портьеры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9.2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2,71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2 910,00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0,20%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2 903,33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7 859,00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39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Портьеры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10.1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5,57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2 910,00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0,20%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2 903,33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16 153,00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40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Портьеры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10.2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пог.м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5,57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2 910,00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0,20%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2 903,33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2 900,00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16 153,00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41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Карниз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1.1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штука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6 002,40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6 002,40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5 953,20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0,47%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5 986,00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5 953,20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5 953,20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42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Карниз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1.2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штука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10 479,60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10 578,00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11 697,00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6,20%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10 918,20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11 697,00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11 697,00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43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Карниз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2.1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штука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3 086,60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3 086,60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3 061,30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0,47%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3 078,17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3 061,30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3 061,30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44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Карниз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2.2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штука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5 388,90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5 439,50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5 691,00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2,94%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5 506,47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5 691,00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5 691,00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45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Карниз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3.1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штука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6 685,60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6 685,60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6 630,80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0,47%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6 667,33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6 630,80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6 630,80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46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Карниз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3.2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штука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11 672,40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11 782,00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11 571,00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0,90%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11 675,13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11 571,00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11 571,00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47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Карниз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4.1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штука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3 269,60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3 269,60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3 242,80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0,47%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3 260,67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3 242,80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3 242,80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48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Карниз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4.2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штука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5 708,40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5 762,00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11 529,00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43,63%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7 666,47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11 529,00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11 529,00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49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Карниз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5.1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штука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6 710,00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6 710,00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6 655,00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0,47%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6 691,67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6 655,00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6 655,00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50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Карниз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5.2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штука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11 715,00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11 825,00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11 550,00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1,18%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11 696,67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11 550,00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11 550,00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51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Карниз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6.1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штука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6 710,00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6 710,00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6 655,00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0,47%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6 691,67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6 655,00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6 655,00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52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Карниз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6.2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штука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11 715,00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11 825,00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11 550,00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1,18%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11 696,67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11 550,00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11 550,00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53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Карниз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7.1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штука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6 697,80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6 697,80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6 642,90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0,47%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6 679,50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6 642,90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6 642,90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54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Карниз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7.2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штука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11 693,70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11 803,50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5 628,00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36,40%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9 708,40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5 628,00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5 628,00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55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Карниз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8.1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штука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6 722,20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6 722,20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6 667,10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0,47%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6 703,83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6 667,10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6 667,10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56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Карниз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8.2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штука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11 736,30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11 846,50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11 508,00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1,48%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11 696,93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11 508,00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11 508,00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57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Карниз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9.1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штука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3 306,20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3 306,20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3 279,10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0,47%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3 297,17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3 279,10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3 279,10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4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58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Карниз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9.2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штука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5 772,30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5 826,50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5 313,00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5,00%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5 637,27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5 313,00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5 313,00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59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Карниз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10.1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штука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6 795,40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6 795,40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6 739,70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0,47%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6 776,83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6 739,70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6 739,70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14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  <w:t xml:space="preserve">60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en-US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Карниз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Тип 10.2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штука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11 864,10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11 975,50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10 332,00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8,06%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11 390,53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000000" w:fill="ffc000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10 332,00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10 332,00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</w:p>
        </w:tc>
      </w:tr>
      <w:tr>
        <w:tblPrEx/>
        <w:trPr>
          <w:jc w:val="center"/>
          <w:trHeight w:val="451"/>
        </w:trPr>
        <w:tc>
          <w:tcPr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743" w:type="dxa"/>
            <w:textDirection w:val="lrTb"/>
            <w:noWrap w:val="false"/>
          </w:tcPr>
          <w:p>
            <w:pPr>
              <w:jc w:val="right"/>
              <w:spacing w:after="0" w:line="240" w:lineRule="atLeast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en-US"/>
              </w:rPr>
              <w:t xml:space="preserve">Итого НМЦК (ЦК):</w:t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tLeast"/>
              <w:rPr>
                <w:rFonts w:ascii="Times New Roman" w:hAnsi="Times New Roman" w:eastAsia="Calibri" w:cs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eastAsia="en-US"/>
              </w:rPr>
              <w:t xml:space="preserve">596 207,90</w:t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val="en-US" w:eastAsia="en-US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b/>
          <w:bCs/>
          <w:sz w:val="28"/>
          <w:szCs w:val="28"/>
          <w:lang w:eastAsia="en-US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b/>
          <w:bCs/>
          <w:sz w:val="28"/>
          <w:szCs w:val="28"/>
          <w:lang w:eastAsia="en-US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b/>
          <w:bCs/>
          <w:sz w:val="28"/>
          <w:szCs w:val="28"/>
          <w:lang w:eastAsia="en-US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  <w:lang w:eastAsia="en-US"/>
        </w:rPr>
      </w:r>
      <w:r>
        <w:rPr>
          <w:rFonts w:ascii="Times New Roman" w:hAnsi="Times New Roman" w:eastAsia="Calibri" w:cs="Times New Roman"/>
          <w:b/>
          <w:bCs/>
          <w:sz w:val="28"/>
          <w:szCs w:val="28"/>
          <w:lang w:eastAsia="en-US"/>
        </w:rPr>
      </w:r>
    </w:p>
    <w:sectPr>
      <w:footerReference w:type="default" r:id="rId9"/>
      <w:footnotePr/>
      <w:endnotePr/>
      <w:type w:val="nextPage"/>
      <w:pgSz w:w="16838" w:h="11906" w:orient="landscape"/>
      <w:pgMar w:top="1134" w:right="1134" w:bottom="794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36155481"/>
      <w:docPartObj>
        <w:docPartGallery w:val="Page Numbers (Bottom of Page)"/>
        <w:docPartUnique w:val="true"/>
      </w:docPartObj>
      <w:rPr/>
    </w:sdtPr>
    <w:sdtContent>
      <w:p>
        <w:pPr>
          <w:pStyle w:val="705"/>
          <w:jc w:val="right"/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 PAGE   \* MERGEFORMAT 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 xml:space="preserve">2</w:t>
        </w:r>
        <w:r>
          <w:rPr>
            <w:rFonts w:ascii="Times New Roman" w:hAnsi="Times New Roman"/>
          </w:rPr>
          <w:fldChar w:fldCharType="end"/>
        </w:r>
        <w:r/>
      </w:p>
    </w:sdtContent>
  </w:sdt>
  <w:p>
    <w:pPr>
      <w:pStyle w:val="70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188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  <w:b/>
        <w:i w:val="0"/>
        <w:sz w:val="24"/>
        <w:szCs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5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4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93"/>
    <w:next w:val="69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9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93"/>
    <w:next w:val="69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9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93"/>
    <w:next w:val="69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9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93"/>
    <w:next w:val="69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9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93"/>
    <w:next w:val="69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9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93"/>
    <w:next w:val="69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93"/>
    <w:next w:val="69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3"/>
    <w:next w:val="69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3"/>
    <w:next w:val="69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93"/>
    <w:next w:val="69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94"/>
    <w:link w:val="34"/>
    <w:uiPriority w:val="10"/>
    <w:rPr>
      <w:sz w:val="48"/>
      <w:szCs w:val="48"/>
    </w:rPr>
  </w:style>
  <w:style w:type="paragraph" w:styleId="36">
    <w:name w:val="Subtitle"/>
    <w:basedOn w:val="693"/>
    <w:next w:val="69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94"/>
    <w:link w:val="36"/>
    <w:uiPriority w:val="11"/>
    <w:rPr>
      <w:sz w:val="24"/>
      <w:szCs w:val="24"/>
    </w:rPr>
  </w:style>
  <w:style w:type="paragraph" w:styleId="38">
    <w:name w:val="Quote"/>
    <w:basedOn w:val="693"/>
    <w:next w:val="69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3"/>
    <w:next w:val="69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94"/>
    <w:link w:val="703"/>
    <w:uiPriority w:val="99"/>
  </w:style>
  <w:style w:type="character" w:styleId="45">
    <w:name w:val="Footer Char"/>
    <w:basedOn w:val="694"/>
    <w:link w:val="705"/>
    <w:uiPriority w:val="99"/>
  </w:style>
  <w:style w:type="paragraph" w:styleId="46">
    <w:name w:val="Caption"/>
    <w:basedOn w:val="693"/>
    <w:next w:val="69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94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9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94"/>
    <w:uiPriority w:val="99"/>
    <w:unhideWhenUsed/>
    <w:rPr>
      <w:vertAlign w:val="superscript"/>
    </w:rPr>
  </w:style>
  <w:style w:type="character" w:styleId="179">
    <w:name w:val="Endnote Text Char"/>
    <w:link w:val="700"/>
    <w:uiPriority w:val="99"/>
    <w:rPr>
      <w:sz w:val="20"/>
    </w:rPr>
  </w:style>
  <w:style w:type="paragraph" w:styleId="181">
    <w:name w:val="toc 1"/>
    <w:basedOn w:val="693"/>
    <w:next w:val="69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93"/>
    <w:next w:val="69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93"/>
    <w:next w:val="69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93"/>
    <w:next w:val="69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3"/>
    <w:next w:val="69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3"/>
    <w:next w:val="69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3"/>
    <w:next w:val="69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3"/>
    <w:next w:val="69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3"/>
    <w:next w:val="69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3"/>
    <w:next w:val="693"/>
    <w:uiPriority w:val="99"/>
    <w:unhideWhenUsed/>
    <w:pPr>
      <w:spacing w:after="0" w:afterAutospacing="0"/>
    </w:pPr>
  </w:style>
  <w:style w:type="paragraph" w:styleId="693" w:default="1">
    <w:name w:val="Normal"/>
    <w:qFormat/>
  </w:style>
  <w:style w:type="character" w:styleId="694" w:default="1">
    <w:name w:val="Default Paragraph Font"/>
    <w:uiPriority w:val="1"/>
    <w:semiHidden/>
    <w:unhideWhenUsed/>
  </w:style>
  <w:style w:type="table" w:styleId="69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6" w:default="1">
    <w:name w:val="No List"/>
    <w:uiPriority w:val="99"/>
    <w:semiHidden/>
    <w:unhideWhenUsed/>
  </w:style>
  <w:style w:type="paragraph" w:styleId="697" w:customStyle="1">
    <w:name w:val="ConsPlusNormal"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</w:rPr>
  </w:style>
  <w:style w:type="paragraph" w:styleId="698" w:customStyle="1">
    <w:name w:val="ConsPlusNonformat"/>
    <w:uiPriority w:val="99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</w:rPr>
  </w:style>
  <w:style w:type="character" w:styleId="699">
    <w:name w:val="Hyperlink"/>
    <w:basedOn w:val="694"/>
    <w:uiPriority w:val="99"/>
    <w:unhideWhenUsed/>
    <w:rPr>
      <w:color w:val="0000ff" w:themeColor="hyperlink"/>
      <w:u w:val="single"/>
    </w:rPr>
  </w:style>
  <w:style w:type="paragraph" w:styleId="700">
    <w:name w:val="endnote text"/>
    <w:basedOn w:val="693"/>
    <w:link w:val="70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701" w:customStyle="1">
    <w:name w:val="Текст концевой сноски Знак"/>
    <w:basedOn w:val="694"/>
    <w:link w:val="700"/>
    <w:uiPriority w:val="99"/>
    <w:semiHidden/>
    <w:rPr>
      <w:sz w:val="20"/>
      <w:szCs w:val="20"/>
    </w:rPr>
  </w:style>
  <w:style w:type="character" w:styleId="702">
    <w:name w:val="endnote reference"/>
    <w:basedOn w:val="694"/>
    <w:uiPriority w:val="99"/>
    <w:semiHidden/>
    <w:unhideWhenUsed/>
    <w:rPr>
      <w:vertAlign w:val="superscript"/>
    </w:rPr>
  </w:style>
  <w:style w:type="paragraph" w:styleId="703">
    <w:name w:val="Header"/>
    <w:basedOn w:val="693"/>
    <w:link w:val="70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04" w:customStyle="1">
    <w:name w:val="Верхний колонтитул Знак"/>
    <w:basedOn w:val="694"/>
    <w:link w:val="703"/>
    <w:uiPriority w:val="99"/>
  </w:style>
  <w:style w:type="paragraph" w:styleId="705">
    <w:name w:val="Footer"/>
    <w:basedOn w:val="693"/>
    <w:link w:val="70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06" w:customStyle="1">
    <w:name w:val="Нижний колонтитул Знак"/>
    <w:basedOn w:val="694"/>
    <w:link w:val="705"/>
    <w:uiPriority w:val="99"/>
  </w:style>
  <w:style w:type="paragraph" w:styleId="707">
    <w:name w:val="List Paragraph"/>
    <w:basedOn w:val="693"/>
    <w:uiPriority w:val="34"/>
    <w:qFormat/>
    <w:pPr>
      <w:contextualSpacing/>
      <w:ind w:left="720"/>
    </w:pPr>
  </w:style>
  <w:style w:type="paragraph" w:styleId="708">
    <w:name w:val="No Spacing"/>
    <w:link w:val="709"/>
    <w:uiPriority w:val="1"/>
    <w:qFormat/>
    <w:pPr>
      <w:spacing w:after="0" w:line="240" w:lineRule="auto"/>
    </w:pPr>
  </w:style>
  <w:style w:type="character" w:styleId="709" w:customStyle="1">
    <w:name w:val="Без интервала Знак"/>
    <w:link w:val="708"/>
    <w:uiPriority w:val="1"/>
  </w:style>
  <w:style w:type="paragraph" w:styleId="710">
    <w:name w:val="Balloon Text"/>
    <w:basedOn w:val="693"/>
    <w:link w:val="71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11" w:customStyle="1">
    <w:name w:val="Текст выноски Знак"/>
    <w:basedOn w:val="694"/>
    <w:link w:val="710"/>
    <w:uiPriority w:val="99"/>
    <w:semiHidden/>
    <w:rPr>
      <w:rFonts w:ascii="Tahoma" w:hAnsi="Tahoma" w:cs="Tahoma"/>
      <w:sz w:val="16"/>
      <w:szCs w:val="16"/>
    </w:rPr>
  </w:style>
  <w:style w:type="character" w:styleId="712" w:customStyle="1">
    <w:name w:val="Font Style29"/>
    <w:rPr>
      <w:rFonts w:ascii="Times New Roman" w:hAnsi="Times New Roman" w:cs="Times New Roman"/>
      <w:sz w:val="24"/>
      <w:szCs w:val="24"/>
    </w:rPr>
  </w:style>
  <w:style w:type="character" w:styleId="713" w:customStyle="1">
    <w:name w:val="Font Style16"/>
    <w:rPr>
      <w:rFonts w:ascii="Times New Roman" w:hAnsi="Times New Roman" w:cs="Times New Roman"/>
      <w:b/>
      <w:bCs/>
      <w:sz w:val="20"/>
      <w:szCs w:val="20"/>
    </w:rPr>
  </w:style>
  <w:style w:type="table" w:styleId="714">
    <w:name w:val="Table Grid"/>
    <w:basedOn w:val="695"/>
    <w:uiPriority w:val="39"/>
    <w:pPr>
      <w:spacing w:after="0" w:line="240" w:lineRule="auto"/>
    </w:pPr>
    <w:rPr>
      <w:rFonts w:eastAsia="Calibri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5" w:customStyle="1">
    <w:name w:val="Сетка таблицы1"/>
    <w:basedOn w:val="695"/>
    <w:next w:val="714"/>
    <w:uiPriority w:val="39"/>
    <w:pPr>
      <w:spacing w:after="0" w:line="240" w:lineRule="auto"/>
    </w:pPr>
    <w:rPr>
      <w:rFonts w:ascii="Calibri" w:hAnsi="Calibri" w:eastAsia="Calibri" w:cs="Times New Roman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6" w:customStyle="1">
    <w:name w:val="Сетка таблицы11"/>
    <w:basedOn w:val="695"/>
    <w:uiPriority w:val="39"/>
    <w:pPr>
      <w:spacing w:after="0" w:line="240" w:lineRule="auto"/>
    </w:pPr>
    <w:rPr>
      <w:rFonts w:ascii="Calibri" w:hAnsi="Calibri" w:eastAsia="Calibri" w:cs="Times New Roman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7" w:customStyle="1">
    <w:name w:val="Сетка таблицы2"/>
    <w:basedOn w:val="695"/>
    <w:next w:val="714"/>
    <w:uiPriority w:val="39"/>
    <w:pPr>
      <w:spacing w:after="0" w:line="240" w:lineRule="auto"/>
    </w:pPr>
    <w:rPr>
      <w:rFonts w:eastAsia="Calibri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8" w:customStyle="1">
    <w:name w:val="Сетка таблицы21"/>
    <w:basedOn w:val="695"/>
    <w:uiPriority w:val="39"/>
    <w:pPr>
      <w:spacing w:after="0" w:line="240" w:lineRule="auto"/>
    </w:pPr>
    <w:rPr>
      <w:rFonts w:ascii="Calibri" w:hAnsi="Calibri" w:eastAsia="Calibri" w:cs="Times New Roman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19" w:customStyle="1">
    <w:name w:val="docdata"/>
    <w:basedOn w:val="69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720">
    <w:name w:val="Normal (Web)"/>
    <w:basedOn w:val="693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5E7F2-9D71-4641-92A0-C25082DA9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r7-office/2025.3.1.923</Application>
  <Company>ФК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2569</dc:creator>
  <cp:lastModifiedBy>Годзиева Ольга Сергеевна</cp:lastModifiedBy>
  <cp:revision>62</cp:revision>
  <dcterms:created xsi:type="dcterms:W3CDTF">2026-02-17T12:26:00Z</dcterms:created>
  <dcterms:modified xsi:type="dcterms:W3CDTF">2026-08-17T10:55:40Z</dcterms:modified>
</cp:coreProperties>
</file>