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120"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Контракт № ____</w:t>
      </w:r>
    </w:p>
    <w:p>
      <w:pPr>
        <w:pStyle w:val="Normal"/>
        <w:keepNext w:val="true"/>
        <w:spacing w:lineRule="auto" w:line="240" w:before="240" w:after="120"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на оказание услуг по проведению лабораторных исследований и испытаний в рамках производственного контроля</w:t>
      </w:r>
    </w:p>
    <w:p>
      <w:pPr>
        <w:pStyle w:val="Normal"/>
        <w:spacing w:lineRule="auto" w:line="24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г.Кемерово                                                                                                            «___» ____________ 2026 г.</w:t>
      </w:r>
    </w:p>
    <w:p>
      <w:pPr>
        <w:pStyle w:val="Normal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bookmarkStart w:id="0" w:name="_Hlk1775658901"/>
      <w:r>
        <w:rPr>
          <w:rFonts w:cs="Tinos" w:ascii="Tinos" w:hAnsi="Tinos"/>
          <w:b/>
          <w:bCs/>
          <w:color w:val="000000"/>
          <w:sz w:val="24"/>
          <w:szCs w:val="24"/>
          <w:lang w:val="ru-RU" w:bidi="ar-SA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bookmarkEnd w:id="0"/>
      <w:r>
        <w:rPr>
          <w:rFonts w:cs="Tinos" w:ascii="Tinos" w:hAnsi="Tinos"/>
          <w:b/>
          <w:bCs/>
          <w:color w:val="000000"/>
          <w:sz w:val="24"/>
          <w:szCs w:val="24"/>
          <w:lang w:val="ru-RU" w:bidi="ar-SA"/>
        </w:rPr>
        <w:t xml:space="preserve"> </w:t>
      </w:r>
      <w:r>
        <w:rPr>
          <w:rFonts w:eastAsia="Times New Roman" w:cs="Tinos" w:ascii="Tinos" w:hAnsi="Tinos"/>
          <w:b/>
          <w:bCs/>
          <w:color w:val="000000"/>
          <w:sz w:val="24"/>
          <w:szCs w:val="24"/>
          <w:shd w:fill="FFFFFF" w:val="clear"/>
          <w:lang w:val="ru-RU" w:eastAsia="ru-RU" w:bidi="ar-SA"/>
        </w:rPr>
        <w:t>(НИИ КПССЗ),</w:t>
      </w:r>
      <w:r>
        <w:rPr>
          <w:rFonts w:cs="Tinos" w:ascii="Tinos" w:hAnsi="Tinos"/>
          <w:b w:val="false"/>
          <w:color w:val="000000"/>
          <w:sz w:val="24"/>
          <w:szCs w:val="24"/>
          <w:lang w:val="ru-RU" w:bidi="ar-SA"/>
        </w:rPr>
        <w:t xml:space="preserve"> в лице в лице начальника отдела материально-технического снабжения Кузнецовой Александры Евгеньевны, действующей на основании доверенности от 08.06.2026 г, именуемое в дальнейшем </w:t>
      </w:r>
      <w:r>
        <w:rPr>
          <w:rFonts w:cs="Tinos" w:ascii="Tinos" w:hAnsi="Tinos"/>
          <w:b/>
          <w:bCs/>
          <w:color w:val="000000"/>
          <w:sz w:val="24"/>
          <w:szCs w:val="24"/>
          <w:lang w:val="ru-RU" w:bidi="ar-SA"/>
        </w:rPr>
        <w:t>«Заказчик»</w:t>
      </w:r>
      <w:r>
        <w:rPr>
          <w:rFonts w:cs="Tinos" w:ascii="Tinos" w:hAnsi="Tinos"/>
          <w:b w:val="false"/>
          <w:color w:val="000000"/>
          <w:sz w:val="24"/>
          <w:szCs w:val="24"/>
          <w:lang w:val="ru-RU" w:bidi="ar-SA"/>
        </w:rPr>
        <w:t>, с одной с</w:t>
      </w:r>
      <w:r>
        <w:rPr>
          <w:rFonts w:eastAsia="Calibri" w:cs="Tinos" w:ascii="Tinos" w:hAnsi="Tinos"/>
          <w:b w:val="false"/>
          <w:color w:val="auto"/>
          <w:kern w:val="0"/>
          <w:sz w:val="24"/>
          <w:szCs w:val="24"/>
          <w:lang w:val="ru-RU" w:eastAsia="en-US" w:bidi="ar-SA"/>
        </w:rPr>
        <w:t>тороны, и __________________________, в лице ______________, действующего на основании _________________</w:t>
      </w:r>
      <w:r>
        <w:rPr>
          <w:rFonts w:cs="Tinos" w:ascii="Tinos" w:hAnsi="Tinos"/>
          <w:b w:val="false"/>
          <w:color w:val="000000"/>
          <w:sz w:val="24"/>
          <w:szCs w:val="24"/>
          <w:lang w:val="ru-RU" w:bidi="ar-SA"/>
        </w:rPr>
        <w:t>, именуем</w:t>
      </w:r>
      <w:r>
        <w:rPr>
          <w:rFonts w:cs="Tinos" w:ascii="Tinos" w:hAnsi="Tinos"/>
          <w:b w:val="false"/>
          <w:color w:val="000000"/>
          <w:sz w:val="24"/>
          <w:szCs w:val="24"/>
          <w:shd w:fill="auto" w:val="clear"/>
          <w:lang w:val="ru-RU" w:bidi="ar-SA"/>
        </w:rPr>
        <w:t xml:space="preserve">ое в дальнейшем </w:t>
      </w:r>
      <w:r>
        <w:rPr>
          <w:rFonts w:cs="Tinos" w:ascii="Tinos" w:hAnsi="Tinos"/>
          <w:b/>
          <w:bCs/>
          <w:color w:val="000000"/>
          <w:sz w:val="24"/>
          <w:szCs w:val="24"/>
          <w:shd w:fill="auto" w:val="clear"/>
          <w:lang w:val="ru-RU" w:bidi="ar-SA"/>
        </w:rPr>
        <w:t>«Исполнитель»,</w:t>
      </w:r>
      <w:r>
        <w:rPr>
          <w:rFonts w:cs="Tinos" w:ascii="Tinos" w:hAnsi="Tinos"/>
          <w:b w:val="false"/>
          <w:color w:val="000000"/>
          <w:sz w:val="24"/>
          <w:szCs w:val="24"/>
          <w:shd w:fill="auto" w:val="clear"/>
          <w:lang w:val="ru-RU" w:bidi="ar-SA"/>
        </w:rPr>
        <w:t xml:space="preserve"> действующий на основании свидетельства об аккредитации ________________, с другой </w:t>
      </w:r>
      <w:r>
        <w:rPr>
          <w:rFonts w:eastAsia="Calibri" w:cs="Tinos" w:ascii="Tinos" w:hAnsi="Tinos"/>
          <w:b w:val="false"/>
          <w:color w:val="000000"/>
          <w:sz w:val="24"/>
          <w:szCs w:val="24"/>
          <w:shd w:fill="auto" w:val="clear"/>
          <w:lang w:val="ru-RU" w:eastAsia="en-US" w:bidi="ar-SA"/>
        </w:rPr>
        <w:t>стороны, совместно именуемые «Стороны», на основании на основании 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 о нижеследующем:</w:t>
      </w:r>
    </w:p>
    <w:p>
      <w:pPr>
        <w:pStyle w:val="Normal"/>
        <w:keepNext w:val="true"/>
        <w:spacing w:lineRule="auto" w:line="240" w:before="240" w:after="120"/>
        <w:jc w:val="center"/>
        <w:rPr>
          <w:color w:val="000000"/>
          <w:highlight w:val="none"/>
          <w:shd w:fill="auto" w:val="clear"/>
        </w:rPr>
      </w:pPr>
      <w:r>
        <w:rPr>
          <w:rFonts w:ascii="Tinos" w:hAnsi="Tinos"/>
          <w:b/>
          <w:color w:val="000000"/>
          <w:sz w:val="24"/>
          <w:szCs w:val="24"/>
          <w:shd w:fill="auto" w:val="clear"/>
          <w:lang w:val="ru-RU" w:bidi="ar-SA"/>
        </w:rPr>
        <w:t>1. ПРЕДМЕТ 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10" w:start="0" w:end="0"/>
        <w:jc w:val="both"/>
        <w:rPr>
          <w:color w:val="000000"/>
          <w:highlight w:val="none"/>
          <w:shd w:fill="auto" w:val="clear"/>
        </w:rPr>
      </w:pPr>
      <w:r>
        <w:rPr>
          <w:rFonts w:ascii="Tinos" w:hAnsi="Tinos"/>
          <w:b w:val="false"/>
          <w:color w:val="000000"/>
          <w:sz w:val="24"/>
          <w:szCs w:val="24"/>
          <w:shd w:fill="auto" w:val="clear"/>
          <w:lang w:val="ru-RU" w:bidi="ar-SA"/>
        </w:rPr>
        <w:t>1.1. Исполнитель обязуется по заданию Заказчика оказать услуги по проведению лабораторных исследований и испытаний в рамках производственного контроля и выдать Заказчику результаты произведенных исследований/испытаний (далее – Услуги) в соответствии с Техническим заданием (Приложение № 1 к настоящему Контракту), а Заказчик обязуется принять и оплатить оказанные Услуги в порядке и на условиях, предусмотренных настоящим Контрактом.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1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color w:val="000000"/>
          <w:sz w:val="24"/>
          <w:szCs w:val="24"/>
          <w:shd w:fill="auto" w:val="clear"/>
          <w:lang w:val="ru-RU" w:bidi="ar-SA"/>
        </w:rPr>
        <w:t xml:space="preserve">1.2. Место оказания Услуг: </w:t>
      </w:r>
      <w:r>
        <w:rPr>
          <w:rFonts w:cs="Tinos" w:ascii="Tinos" w:hAnsi="Tinos"/>
          <w:b w:val="false"/>
          <w:color w:val="000000"/>
          <w:sz w:val="24"/>
          <w:szCs w:val="24"/>
          <w:shd w:fill="auto" w:val="clear"/>
          <w:lang w:val="ru-RU" w:eastAsia="en-US" w:bidi="ar-SA"/>
        </w:rPr>
        <w:t>Кемерово, р-н Рудничный, бульвар имени академика Л.С.Барбар</w:t>
      </w:r>
      <w:r>
        <w:rPr>
          <w:rFonts w:cs="Tinos" w:ascii="Tinos" w:hAnsi="Tinos"/>
          <w:b w:val="false"/>
          <w:sz w:val="24"/>
          <w:szCs w:val="24"/>
          <w:lang w:val="ru-RU" w:eastAsia="en-US" w:bidi="ar-SA"/>
        </w:rPr>
        <w:t>аша, стр. 6</w:t>
      </w:r>
      <w:r>
        <w:rPr>
          <w:rFonts w:ascii="Tinos" w:hAnsi="Tinos"/>
          <w:b w:val="false"/>
          <w:sz w:val="24"/>
          <w:szCs w:val="24"/>
          <w:lang w:val="ru-RU" w:bidi="ar-SA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1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1.3. Сроки оказания Услуг: с момента заключения контракта до 31.08.2026 г.</w:t>
      </w:r>
    </w:p>
    <w:p>
      <w:pPr>
        <w:pStyle w:val="Normal"/>
        <w:keepNext w:val="true"/>
        <w:spacing w:lineRule="auto" w:line="240" w:before="240" w:after="120"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2. ЦЕНА КОНТРАКТА И ПОРЯДОК РАСЧЕТОВ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2.1. Цена настоящего Контракта составляет ___________ (______________________) рублей ___ копеек, в том числе НДС ___% в размере ___________ рублей (если НДС не облагается, указывается основание).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2.2.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Федеральным законом № 44-ФЗ.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2.3. Цена Контракта включает в себя все расходы Исполнителя, связанные с оказанием Услуг, в том числе стоимость лабораторных испытаний, выезда специалистов, отбора образцов/проб, оформления протоколов, транспортные расходы, налоги, сборы и другие обязательные платежи.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2.4. Оплата по Контракту осуществляется в безналичном порядке путем перечисления денежных средств с расчетного счета Заказчика на расчетный счет Исполнителя.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2.5. Срок оплаты за фактически оказанные Услуги составляет 10 (десять) рабочих дней с даты подписания Заказчиком в Единой информационной системе (далее – ЕИС) документа о приемке.</w:t>
      </w:r>
    </w:p>
    <w:p>
      <w:pPr>
        <w:pStyle w:val="Normal"/>
        <w:keepNext w:val="true"/>
        <w:spacing w:lineRule="auto" w:line="240" w:before="240" w:after="120"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3. ПРАВА И ОБЯЗАННОСТИ СТОРОН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3.1. Заказчик обязан: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3.1.1. Обеспечить доступ специалистов Исполнителя на объекты для отбора проб и проведения замеров.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3.1.2. Своевременно принять и оплатить оказанные Услуги в соответствии с условиями Контракта.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3.2. Заказчик имеет право: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3.2.1. Осуществлять контроль за ходом, сроками и качеством оказания Услуг, не вмешиваясь в оперативно - хозяйственную деятельность Исполнителя.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3.3. Исполнитель обязан: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3.3.1. Обеспечить экспертов, производящих инструментальные измерения и оценку исправным инструментом и оборудованием, прошедшими поверку и внесенными в Федеральный информационный фонд по обеспечению единства измерений.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3.3.2. Обеспечить специалистов, производящих измерения и оценку специальной и санитарной одеждой и обувью.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3.3.3. Нести ответственность за нарушение нормативных требований охраны труда, правил безопасности, пожарной безопасности, экологии и охраны окружающей среды при выполнении работ на территории Заказчика.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3.3.4. Гарантировать отсутствие в реестре недобросовестных поставщиков (подрядчиков, исполнителей).</w:t>
      </w:r>
    </w:p>
    <w:p>
      <w:pPr>
        <w:pStyle w:val="Normal"/>
        <w:widowControl/>
        <w:tabs>
          <w:tab w:val="clear" w:pos="720"/>
          <w:tab w:val="left" w:pos="426" w:leader="none"/>
        </w:tabs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3.3.5. 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3.3.6. Обеспечивать соблюдение работниками, оказывающими Услуги, требований внутриобъектового режима, режима работы и внутреннего трудового распорядка, нормативные требования охраны труда, правил безопасности, пожарной безопасности, санитарно-гигиенического режима, экологии при выполнении работ на территории Заказчика при обязательном наличии у них документов, удостоверяющих личность;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3.3.7. Соблюдать требования об обеспечении конфиденциальности информации в соответствии с требованиями законодательства Российской Федерации.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3.3.8. Обеспечить сохранность документов, получаемых от Заказчика в ходе оказания Услуг.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3.4. Исполнитель имеет право: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3.4.1. Требовать своевременной оплаты оказанных и принятых Заказчиком Услуг.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 xml:space="preserve">3.4.2. </w:t>
      </w:r>
      <w:r>
        <w:rPr>
          <w:rFonts w:cs="Tinos" w:ascii="Tinos" w:hAnsi="Tinos"/>
          <w:b w:val="false"/>
          <w:sz w:val="24"/>
          <w:szCs w:val="24"/>
          <w:lang w:val="ru-RU" w:bidi="ar-SA"/>
        </w:rPr>
        <w:t>Осуществлять иные права в соответствии с действующим законодательством Российской Федерации.</w:t>
      </w:r>
    </w:p>
    <w:p>
      <w:pPr>
        <w:pStyle w:val="Normal"/>
        <w:spacing w:lineRule="auto" w:line="240"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/>
          <w:bCs/>
          <w:sz w:val="24"/>
          <w:szCs w:val="24"/>
          <w:lang w:val="ru-RU" w:bidi="ar-SA"/>
        </w:rPr>
        <w:t>4. ТРЕБОВАНИЯ К КАЧЕСТВУ УСЛУГ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/>
        <w:ind w:firstLine="567" w:start="0" w:end="0"/>
        <w:jc w:val="both"/>
        <w:outlineLvl w:val="1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color w:val="000000"/>
          <w:sz w:val="24"/>
          <w:szCs w:val="24"/>
          <w:lang w:val="ru-RU" w:bidi="ar-SA"/>
        </w:rPr>
        <w:t>4.1. Качество оказываемых услуг соответствует нормативным требованиям охраны труда, действующим на территории РФ:</w:t>
      </w:r>
    </w:p>
    <w:p>
      <w:pPr>
        <w:pStyle w:val="Style8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outlineLvl w:val="1"/>
        <w:rPr>
          <w:rFonts w:ascii="Tinos" w:hAnsi="Tinos"/>
          <w:sz w:val="24"/>
          <w:szCs w:val="24"/>
          <w:lang w:val="ru-RU" w:bidi="ar-SA"/>
        </w:rPr>
      </w:pPr>
      <w:r>
        <w:rPr>
          <w:rFonts w:eastAsia="Calibri" w:ascii="Tinos" w:hAnsi="Tinos"/>
          <w:bCs/>
          <w:sz w:val="24"/>
          <w:szCs w:val="24"/>
          <w:lang w:val="ru-RU" w:eastAsia="en-US" w:bidi="ar-SA"/>
        </w:rPr>
        <w:t>Федеральный закон от 30.03.1999 №52-ФЗ «О санитарно-эпидемиологическом благополучии населения»;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outlineLvl w:val="1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color w:val="000000"/>
          <w:sz w:val="24"/>
          <w:szCs w:val="24"/>
          <w:lang w:val="ru-RU" w:bidi="ar-SA"/>
        </w:rPr>
        <w:t>Трудовой кодекс Российской Федерации от 30.12.2001 №197-ФЗ;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eastAsia="Calibri" w:ascii="Tinos" w:hAnsi="Tinos"/>
          <w:sz w:val="24"/>
          <w:szCs w:val="24"/>
          <w:lang w:val="ru-RU" w:eastAsia="en-US" w:bidi="ar-SA"/>
        </w:rPr>
        <w:t>Постановление Главного государственного санитарного врача РФ от 13.07.2001 №18</w:t>
      </w:r>
      <w:r>
        <w:rPr>
          <w:rFonts w:ascii="Tinos" w:hAnsi="Tinos"/>
          <w:sz w:val="24"/>
          <w:szCs w:val="24"/>
          <w:lang w:val="ru-RU" w:bidi="ar-SA"/>
        </w:rPr>
        <w:t xml:space="preserve"> </w:t>
      </w:r>
      <w:r>
        <w:rPr>
          <w:rFonts w:eastAsia="Calibri" w:ascii="Tinos" w:hAnsi="Tinos"/>
          <w:sz w:val="24"/>
          <w:szCs w:val="24"/>
          <w:lang w:val="ru-RU" w:eastAsia="en-US" w:bidi="ar-SA"/>
        </w:rPr>
        <w:t>«О введении в действие Санитарных правил - СП 1.1.1058-01»</w:t>
      </w:r>
      <w:r>
        <w:rPr>
          <w:rFonts w:ascii="Tinos" w:hAnsi="Tinos"/>
          <w:sz w:val="24"/>
          <w:szCs w:val="24"/>
          <w:lang w:val="ru-RU" w:bidi="ar-SA"/>
        </w:rPr>
        <w:t xml:space="preserve"> </w:t>
      </w:r>
      <w:r>
        <w:rPr>
          <w:rFonts w:eastAsia="Calibri" w:ascii="Tinos" w:hAnsi="Tinos"/>
          <w:sz w:val="24"/>
          <w:szCs w:val="24"/>
          <w:lang w:val="ru-RU" w:eastAsia="en-US" w:bidi="ar-SA"/>
        </w:rPr>
        <w:t>(вместе с «СП 1.1.1058-01. 1.1. Общие вопросы. 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Санитарные правила», утв. Главным государственным санитарным врачом РФ 10.07.2001)</w:t>
      </w:r>
      <w:r>
        <w:rPr>
          <w:rFonts w:ascii="Tinos" w:hAnsi="Tinos"/>
          <w:sz w:val="24"/>
          <w:szCs w:val="24"/>
          <w:lang w:val="ru-RU" w:bidi="ar-SA"/>
        </w:rPr>
        <w:t>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 xml:space="preserve"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Санитарные правила и нормы...»); 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Постановление Главного государственного санитарного врача РФ от 24.12.2020 №44 «Об утверждении санитарных правил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Постановление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eastAsia="Calibri" w:ascii="Tinos" w:hAnsi="Tinos"/>
          <w:sz w:val="24"/>
          <w:szCs w:val="24"/>
          <w:lang w:val="ru-RU" w:eastAsia="en-US" w:bidi="ar-SA"/>
        </w:rPr>
        <w:t>МУ 2.2.4.706-98/МУ ОТ РМ 01-98. «2.2.4. Физические факторы производственной среды. Оценка освещения рабочих мест. Методические указания»</w:t>
      </w:r>
      <w:r>
        <w:rPr>
          <w:rFonts w:ascii="Tinos" w:hAnsi="Tinos"/>
          <w:sz w:val="24"/>
          <w:szCs w:val="24"/>
          <w:lang w:val="ru-RU" w:bidi="ar-SA"/>
        </w:rPr>
        <w:t xml:space="preserve"> </w:t>
      </w:r>
      <w:r>
        <w:rPr>
          <w:rFonts w:eastAsia="Calibri" w:ascii="Tinos" w:hAnsi="Tinos"/>
          <w:sz w:val="24"/>
          <w:szCs w:val="24"/>
          <w:lang w:val="ru-RU" w:eastAsia="en-US" w:bidi="ar-SA"/>
        </w:rPr>
        <w:t>(утв. Главным государственным санитарным врачом РФ, Минтрудом РФ 16.06.1998);</w:t>
      </w:r>
    </w:p>
    <w:p>
      <w:pPr>
        <w:pStyle w:val="Normal"/>
        <w:widowControl/>
        <w:numPr>
          <w:ilvl w:val="0"/>
          <w:numId w:val="9"/>
        </w:numPr>
        <w:tabs>
          <w:tab w:val="clear" w:pos="720"/>
          <w:tab w:val="left" w:pos="284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eastAsia="Calibri" w:ascii="Tinos" w:hAnsi="Tinos"/>
          <w:sz w:val="24"/>
          <w:szCs w:val="24"/>
          <w:lang w:val="ru-RU" w:eastAsia="en-US" w:bidi="ar-SA"/>
        </w:rPr>
        <w:t>МУК 4.3.2756-10. «4.3. Методы контроля. Физические факторы. Методические указания по измерению и оценке микроклимата производственных помещений. Методические указания»</w:t>
      </w:r>
      <w:r>
        <w:rPr>
          <w:rFonts w:ascii="Tinos" w:hAnsi="Tinos"/>
          <w:sz w:val="24"/>
          <w:szCs w:val="24"/>
          <w:lang w:val="ru-RU" w:bidi="ar-SA"/>
        </w:rPr>
        <w:t xml:space="preserve"> </w:t>
      </w:r>
      <w:r>
        <w:rPr>
          <w:rFonts w:eastAsia="Calibri" w:ascii="Tinos" w:hAnsi="Tinos"/>
          <w:sz w:val="24"/>
          <w:szCs w:val="24"/>
          <w:lang w:val="ru-RU" w:eastAsia="en-US" w:bidi="ar-SA"/>
        </w:rPr>
        <w:t>(утв. Главным государственным санитарным врачом РФ 12.11.2010);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53" w:leader="none"/>
        </w:tabs>
        <w:suppressAutoHyphens w:val="true"/>
        <w:bidi w:val="0"/>
        <w:spacing w:lineRule="auto" w:line="240"/>
        <w:ind w:hanging="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4.2. Исполнитель должен иметь аттестат аккредитации испытательной лаборатории (центра), выданный Федеральным агентством по техническому регулированию и метрологии.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253" w:leader="none"/>
        </w:tabs>
        <w:suppressAutoHyphens w:val="true"/>
        <w:bidi w:val="0"/>
        <w:spacing w:lineRule="auto" w:line="240"/>
        <w:ind w:hanging="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 xml:space="preserve">4.3. Область аккредитации испытательной лаборатории (центра), определенная в приложении к аттестату аккредитации испытательной лаборатории (центра) должна содержать: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0" w:leader="none"/>
          <w:tab w:val="left" w:pos="253" w:leader="none"/>
          <w:tab w:val="left" w:pos="455" w:leader="none"/>
        </w:tabs>
        <w:suppressAutoHyphens w:val="true"/>
        <w:bidi w:val="0"/>
        <w:spacing w:lineRule="auto" w:line="240"/>
        <w:ind w:hanging="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4.3.1. В наименовании испытуемой продукции «физические факторы» следующие наименования измеряемых и оцениваемых факторов:</w:t>
      </w:r>
    </w:p>
    <w:p>
      <w:pPr>
        <w:pStyle w:val="Normal"/>
        <w:widowControl/>
        <w:numPr>
          <w:ilvl w:val="0"/>
          <w:numId w:val="8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параметры микроклимата;</w:t>
      </w:r>
    </w:p>
    <w:p>
      <w:pPr>
        <w:pStyle w:val="Normal"/>
        <w:widowControl/>
        <w:numPr>
          <w:ilvl w:val="2"/>
          <w:numId w:val="8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 xml:space="preserve"> </w:t>
      </w:r>
      <w:r>
        <w:rPr>
          <w:rFonts w:ascii="Tinos" w:hAnsi="Tinos"/>
          <w:sz w:val="24"/>
          <w:szCs w:val="24"/>
          <w:lang w:val="ru-RU" w:bidi="ar-SA"/>
        </w:rPr>
        <w:t>параметры световой среды;</w:t>
      </w:r>
    </w:p>
    <w:p>
      <w:pPr>
        <w:pStyle w:val="Normal"/>
        <w:widowControl/>
        <w:numPr>
          <w:ilvl w:val="2"/>
          <w:numId w:val="8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>электромагнитные излучения, создаваемые ВДТ и ПЭВМ.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/>
        <w:ind w:hanging="0" w:start="0" w:end="0"/>
        <w:jc w:val="center"/>
        <w:rPr>
          <w:rFonts w:ascii="Tinos" w:hAnsi="Tinos"/>
          <w:b/>
          <w:bCs/>
          <w:i w:val="false"/>
          <w:i w:val="false"/>
          <w:iCs w:val="false"/>
          <w:sz w:val="24"/>
          <w:szCs w:val="24"/>
          <w:lang w:val="ru-RU" w:bidi="ar-SA"/>
        </w:rPr>
      </w:pPr>
      <w:r>
        <w:rPr>
          <w:rFonts w:ascii="Tinos" w:hAnsi="Tinos"/>
          <w:b/>
          <w:bCs/>
          <w:i w:val="false"/>
          <w:iCs w:val="false"/>
          <w:sz w:val="24"/>
          <w:szCs w:val="24"/>
          <w:lang w:val="ru-RU" w:bidi="ar-SA"/>
        </w:rPr>
        <w:t>5. ТРЕБОВАНИЕ К ГАРАНТИИ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 w:before="0" w:after="120"/>
        <w:ind w:hanging="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 xml:space="preserve">            </w:t>
      </w:r>
      <w:r>
        <w:rPr>
          <w:rFonts w:ascii="Tinos" w:hAnsi="Tinos"/>
          <w:sz w:val="24"/>
          <w:szCs w:val="24"/>
          <w:lang w:val="ru-RU" w:bidi="ar-SA"/>
        </w:rPr>
        <w:t>5.1.  Гарантийный срок оказания услуг – не менее 12 месяцев.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0" w:leader="none"/>
          <w:tab w:val="left" w:pos="253" w:leader="none"/>
          <w:tab w:val="left" w:pos="455" w:leader="none"/>
          <w:tab w:val="left" w:pos="597" w:leader="none"/>
        </w:tabs>
        <w:suppressAutoHyphens w:val="true"/>
        <w:bidi w:val="0"/>
        <w:spacing w:lineRule="auto" w:line="240" w:before="0" w:after="120"/>
        <w:ind w:hanging="0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sz w:val="24"/>
          <w:szCs w:val="24"/>
          <w:lang w:val="ru-RU" w:bidi="ar-SA"/>
        </w:rPr>
        <w:t xml:space="preserve">      </w:t>
      </w:r>
      <w:r>
        <w:rPr>
          <w:rFonts w:ascii="Tinos" w:hAnsi="Tinos"/>
          <w:sz w:val="24"/>
          <w:szCs w:val="24"/>
          <w:lang w:val="ru-RU" w:bidi="ar-SA"/>
        </w:rPr>
        <w:t>5.2. В заявляемый срок гарантии Исполнитель без каких-либо затрат со стороны Заказчика обязуется устранить недостатки оказанной услуги по лабораторным исследованиям и испытаниям, допущенные по вине Исполнителя и выявленные при проверке уполномоченным контролирующим органом в течении 10 дней с момента их обнаружения (либо в иной, согласованный Заказчиком срок).</w:t>
      </w:r>
    </w:p>
    <w:p>
      <w:pPr>
        <w:pStyle w:val="Normal"/>
        <w:bidi w:val="0"/>
        <w:spacing w:lineRule="auto" w:line="240" w:before="0" w:after="0"/>
        <w:ind w:firstLine="567" w:end="46"/>
        <w:contextualSpacing/>
        <w:jc w:val="center"/>
        <w:rPr>
          <w:rFonts w:ascii="Tinos" w:hAnsi="Tinos" w:cs="Tinos"/>
          <w:b/>
          <w:bCs/>
          <w:sz w:val="24"/>
          <w:szCs w:val="24"/>
          <w:shd w:fill="auto" w:val="clear"/>
          <w:lang w:val="ru-RU" w:bidi="ar-SA"/>
        </w:rPr>
      </w:pPr>
      <w:r>
        <w:rPr>
          <w:rFonts w:cs="Tinos" w:ascii="Tinos" w:hAnsi="Tinos"/>
          <w:b/>
          <w:bCs/>
          <w:sz w:val="24"/>
          <w:szCs w:val="24"/>
          <w:shd w:fill="auto" w:val="clear"/>
          <w:lang w:val="ru-RU" w:bidi="ar-SA"/>
        </w:rPr>
      </w:r>
    </w:p>
    <w:p>
      <w:pPr>
        <w:pStyle w:val="Normal"/>
        <w:bidi w:val="0"/>
        <w:spacing w:lineRule="auto" w:line="240" w:before="0" w:after="0"/>
        <w:ind w:firstLine="567" w:end="46"/>
        <w:contextualSpacing/>
        <w:jc w:val="center"/>
        <w:rPr>
          <w:rFonts w:ascii="Tinos" w:hAnsi="Tinos" w:cs="Tinos"/>
          <w:b/>
          <w:bCs/>
          <w:sz w:val="24"/>
          <w:szCs w:val="24"/>
          <w:shd w:fill="auto" w:val="clear"/>
          <w:lang w:val="ru-RU" w:bidi="ar-SA"/>
        </w:rPr>
      </w:pPr>
      <w:r>
        <w:rPr>
          <w:rFonts w:cs="Tinos" w:ascii="Tinos" w:hAnsi="Tinos"/>
          <w:b/>
          <w:bCs/>
          <w:sz w:val="24"/>
          <w:szCs w:val="24"/>
          <w:shd w:fill="auto" w:val="clear"/>
          <w:lang w:val="ru-RU" w:bidi="ar-SA"/>
        </w:rPr>
        <w:t>6. ПОРЯДОК ПРИЕМКИ</w:t>
      </w:r>
    </w:p>
    <w:p>
      <w:pPr>
        <w:pStyle w:val="Normal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 w:cs="Tinos"/>
          <w:sz w:val="24"/>
          <w:szCs w:val="24"/>
          <w:shd w:fill="auto" w:val="clear"/>
          <w:lang w:val="ru-RU" w:bidi="ar-SA"/>
        </w:rPr>
      </w:pPr>
      <w:r>
        <w:rPr>
          <w:rFonts w:cs="Tinos" w:ascii="Tinos" w:hAnsi="Tinos"/>
          <w:sz w:val="24"/>
          <w:szCs w:val="24"/>
          <w:shd w:fill="auto" w:val="clear"/>
          <w:lang w:val="ru-RU" w:bidi="ar-SA"/>
        </w:rPr>
        <w:t>6.1.В течении 5 рабочих дней после завершения работ Исполнитель предоставляет Заказчику следующую документацию: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mes New Roman" w:ascii="Tinos" w:hAnsi="Tinos"/>
          <w:color w:themeColor="text1" w:val="000000"/>
          <w:sz w:val="24"/>
          <w:szCs w:val="24"/>
          <w:shd w:fill="auto" w:val="clear"/>
          <w:lang w:val="ru-RU" w:bidi="ar-SA"/>
        </w:rPr>
        <w:t xml:space="preserve">а) </w:t>
      </w:r>
      <w:r>
        <w:rPr>
          <w:rFonts w:cs="Tinos" w:ascii="Tinos" w:hAnsi="Tinos"/>
          <w:color w:val="000000"/>
          <w:sz w:val="24"/>
          <w:szCs w:val="24"/>
          <w:shd w:fill="auto" w:val="clear"/>
          <w:lang w:val="ru-RU" w:bidi="ar-SA"/>
        </w:rPr>
        <w:t>Акт приема пере</w:t>
      </w:r>
      <w:r>
        <w:rPr>
          <w:rFonts w:cs="Tinos" w:ascii="Tinos" w:hAnsi="Tinos"/>
          <w:sz w:val="24"/>
          <w:szCs w:val="24"/>
          <w:shd w:fill="auto" w:val="clear"/>
          <w:lang w:val="ru-RU" w:bidi="ar-SA"/>
        </w:rPr>
        <w:t>дачи выполненных работ в двух экземплярах;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shd w:fill="auto" w:val="clear"/>
          <w:lang w:val="ru-RU" w:bidi="ar-SA"/>
        </w:rPr>
        <w:t>б) счет-фактуру (УПД) или товарную накладную;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shd w:fill="auto" w:val="clear"/>
          <w:lang w:val="ru-RU" w:bidi="ar-SA"/>
        </w:rPr>
        <w:t>в) Сертификаты соответствия (сертификат качества), на тов</w:t>
      </w:r>
      <w:r>
        <w:rPr>
          <w:rFonts w:cs="Tinos" w:ascii="Tinos" w:hAnsi="Tinos"/>
          <w:color w:themeColor="text1" w:val="000000"/>
          <w:kern w:val="2"/>
          <w:sz w:val="24"/>
          <w:szCs w:val="24"/>
          <w:shd w:fill="auto" w:val="clear"/>
          <w:lang w:val="ru-RU" w:bidi="ar-SA"/>
        </w:rPr>
        <w:t>ары, используемый при выполнении работ, выданные официальными сертифиц</w:t>
      </w:r>
      <w:r>
        <w:rPr>
          <w:rFonts w:cs="Tinos" w:ascii="Tinos" w:hAnsi="Tinos"/>
          <w:color w:val="000000"/>
          <w:kern w:val="2"/>
          <w:sz w:val="24"/>
          <w:szCs w:val="24"/>
          <w:shd w:fill="auto" w:val="clear"/>
          <w:lang w:val="ru-RU" w:bidi="ar-SA"/>
        </w:rPr>
        <w:t>ированными органами РФ (при наличии).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color w:val="000000"/>
          <w:kern w:val="2"/>
          <w:sz w:val="24"/>
          <w:szCs w:val="24"/>
          <w:shd w:fill="auto" w:val="clear"/>
          <w:lang w:val="ru-RU" w:bidi="ar-SA"/>
        </w:rPr>
        <w:t>г) Н</w:t>
      </w:r>
      <w:r>
        <w:rPr>
          <w:rFonts w:cs="Tinos" w:ascii="Tinos" w:hAnsi="Tinos"/>
          <w:b w:val="false"/>
          <w:color w:val="000000"/>
          <w:kern w:val="2"/>
          <w:sz w:val="24"/>
          <w:szCs w:val="24"/>
          <w:shd w:fill="auto" w:val="clear"/>
          <w:lang w:val="ru-RU" w:bidi="ar-SA"/>
        </w:rPr>
        <w:t>адлежащим образом оформленные результаты исследований (протоколы испытаний, экспертные заключения) по результатам проведения лабораторного контроля.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color w:val="000000"/>
          <w:sz w:val="24"/>
          <w:szCs w:val="24"/>
          <w:lang w:val="ru-RU" w:bidi="ar-SA"/>
        </w:rPr>
        <w:t xml:space="preserve">6.2. Приемка результата выполненных работ указанных </w:t>
      </w:r>
      <w:r>
        <w:rPr>
          <w:rFonts w:cs="Tinos" w:ascii="Tinos" w:hAnsi="Tinos"/>
          <w:color w:val="000000"/>
          <w:sz w:val="24"/>
          <w:szCs w:val="24"/>
          <w:shd w:fill="auto" w:val="clear"/>
          <w:lang w:val="ru-RU" w:bidi="ar-SA"/>
        </w:rPr>
        <w:t>в  Спецификации (Приложение №1 к настоящему Контракту)</w:t>
      </w:r>
      <w:r>
        <w:rPr>
          <w:rFonts w:cs="Tinos" w:ascii="Tinos" w:hAnsi="Tinos"/>
          <w:color w:val="000000"/>
          <w:sz w:val="24"/>
          <w:szCs w:val="24"/>
          <w:lang w:val="ru-RU" w:bidi="ar-SA"/>
        </w:rPr>
        <w:t xml:space="preserve"> осуществляется Заказчиком в течение 5 (пяти) рабочих дней после предоставления Исполнителем подписанных </w:t>
      </w:r>
      <w:r>
        <w:rPr>
          <w:rFonts w:cs="Tinos" w:ascii="Tinos" w:hAnsi="Tinos"/>
          <w:color w:val="000000"/>
          <w:sz w:val="24"/>
          <w:szCs w:val="24"/>
          <w:shd w:fill="auto" w:val="clear"/>
          <w:lang w:val="ru-RU" w:bidi="ar-SA"/>
        </w:rPr>
        <w:t>итоговых документов подтверждающих выполнение данных работ,</w:t>
      </w:r>
      <w:r>
        <w:rPr>
          <w:rFonts w:cs="Tinos" w:ascii="Tinos" w:hAnsi="Tinos"/>
          <w:color w:val="000000"/>
          <w:sz w:val="24"/>
          <w:szCs w:val="24"/>
          <w:lang w:val="ru-RU" w:bidi="ar-SA"/>
        </w:rPr>
        <w:t xml:space="preserve"> оформленных в соответствии с законодательством Российской Федерации.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color w:val="000000"/>
          <w:sz w:val="24"/>
          <w:szCs w:val="24"/>
          <w:lang w:val="ru-RU" w:bidi="ar-SA"/>
        </w:rPr>
        <w:t>Исполнитель имеет право присутствовать при приемке результат</w:t>
      </w:r>
      <w:r>
        <w:rPr>
          <w:rFonts w:cs="Tinos" w:ascii="Tinos" w:hAnsi="Tinos"/>
          <w:sz w:val="24"/>
          <w:szCs w:val="24"/>
          <w:lang w:val="ru-RU" w:bidi="ar-SA"/>
        </w:rPr>
        <w:t>а выполненных работ и лично либо направить для участия в приемке своего представителя, в таком случае Заказчик производит приемку выполненных работ в присутствии Исполнителя либо его представителя. Стороны пришли к соглашению о том, что Акт приемки товаров, работ, услуг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 xml:space="preserve">6.3. По результатам приемки Комиссия </w:t>
      </w:r>
      <w:r>
        <w:rPr>
          <w:rFonts w:cs="Tinos" w:ascii="Tinos" w:hAnsi="Tinos"/>
          <w:color w:val="000000"/>
          <w:sz w:val="24"/>
          <w:szCs w:val="24"/>
          <w:lang w:val="ru-RU" w:bidi="ar-SA"/>
        </w:rPr>
        <w:t>Заказчика п</w:t>
      </w:r>
      <w:r>
        <w:rPr>
          <w:rFonts w:cs="Tinos" w:ascii="Tinos" w:hAnsi="Tinos"/>
          <w:sz w:val="24"/>
          <w:szCs w:val="24"/>
          <w:lang w:val="ru-RU" w:bidi="ar-SA"/>
        </w:rPr>
        <w:t xml:space="preserve">о приемке, при отсутствии замечаний к результату выполненных работ  и расхождений, составляет и подписывает Акт приемки товаров, работ, услуг (ф.0510452).  При присутствии Исполнителя при приемке результата выполненных работ, Акт приемки товаров, работ, услуг (ф. 0510452) составляется в двух экземплярах, подписывается Комиссией по приемке и Исполнителем или уполномоченным им лицом, в день окончания приемки. Один экземпляр Акта приемки товаров, работ, услуг (ф. 0510452), с подписями Сторон, передается Исполнителю. 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 xml:space="preserve">В случае отсутствия Исполнителя при приемке результата выполненных работ, подписанный Комиссией по приемке и утвержденный Заказчиком скан копия Акта приемки товаров, работ, услуг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 xml:space="preserve">6.4. При обнаружении недостатков результата выполненных работ, Заказчик  составляет и направляет в адрес Исполнителя претензию. 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 xml:space="preserve">6.5. При признании претензии обоснованной Исполнитель обязуется устранить недостатки результатов  выполненных работ, в срок не более 10 (десяти) дней с момента получения письменной претензии. 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 xml:space="preserve">6.6. В случае если Исполнитель оспаривает факт выполнения работ ненадлежащего качества, Стороны привлекают для выявления характера недостатков независимого эксперта. 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6.7. Обязательства Исполнителя по выполнению работ считаются выполненными Исполнителем после утверждения Заказчиком Акта приемки товаров, работ, услуг (ф. 0510452).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 w:cs="Tinos"/>
          <w:color w:val="000000"/>
          <w:sz w:val="24"/>
          <w:szCs w:val="24"/>
          <w:lang w:val="ru-RU" w:bidi="ar-SA"/>
        </w:rPr>
      </w:pPr>
      <w:r>
        <w:rPr>
          <w:rFonts w:cs="Tinos" w:ascii="Tinos" w:hAnsi="Tinos"/>
          <w:color w:val="000000"/>
          <w:sz w:val="24"/>
          <w:szCs w:val="24"/>
          <w:lang w:val="ru-RU" w:bidi="ar-SA"/>
        </w:rPr>
        <w:t>6.8. Исполнитель предоставляет гарантию на выполненные работы и применяемые в его процессе материалы в течение 2 лет с даты подписания Заказчиком акта приемки выполненных работ.</w:t>
      </w:r>
    </w:p>
    <w:p>
      <w:pPr>
        <w:pStyle w:val="1"/>
        <w:widowControl/>
        <w:bidi w:val="0"/>
        <w:spacing w:lineRule="auto" w:line="240" w:before="0" w:after="0"/>
        <w:ind w:firstLine="624" w:start="0" w:end="57"/>
        <w:contextualSpacing/>
        <w:jc w:val="both"/>
        <w:rPr>
          <w:rFonts w:ascii="Tinos" w:hAnsi="Tinos" w:cs="Tinos"/>
          <w:color w:val="000000"/>
          <w:sz w:val="24"/>
          <w:szCs w:val="24"/>
          <w:lang w:val="ru-RU" w:bidi="ar-SA"/>
        </w:rPr>
      </w:pPr>
      <w:r>
        <w:rPr>
          <w:rFonts w:cs="Tinos" w:ascii="Tinos" w:hAnsi="Tinos"/>
          <w:color w:val="000000"/>
          <w:sz w:val="24"/>
          <w:szCs w:val="24"/>
          <w:lang w:val="ru-RU" w:bidi="ar-SA"/>
        </w:rPr>
      </w:r>
    </w:p>
    <w:p>
      <w:pPr>
        <w:pStyle w:val="1"/>
        <w:bidi w:val="0"/>
        <w:spacing w:lineRule="auto" w:line="240" w:before="0" w:after="0"/>
        <w:ind w:firstLine="567" w:end="46"/>
        <w:contextualSpacing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b/>
          <w:bCs/>
          <w:sz w:val="24"/>
          <w:szCs w:val="24"/>
          <w:lang w:val="ru-RU" w:bidi="ar-SA"/>
        </w:rPr>
        <w:t>7. ОТВЕТСТВЕННОСТЬ СТОРОН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>7.1.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20"/>
          <w:tab w:val="left" w:pos="0" w:leader="none"/>
          <w:tab w:val="left" w:pos="540" w:leader="none"/>
        </w:tabs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 xml:space="preserve">7.2. В случае нарушения сроков выполнения работ, установленных п.1.3.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20"/>
          <w:tab w:val="left" w:pos="0" w:leader="none"/>
        </w:tabs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>7.3.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_______руб.</w:t>
      </w:r>
    </w:p>
    <w:p>
      <w:pPr>
        <w:pStyle w:val="Normal"/>
        <w:widowControl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>7.4. За нарушение сроков оплаты, указанную в п. 2.5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>7.5 Удержание с Исполнителя пени не освобождает его от выполнения обязательств по настоящему Контракту.</w:t>
      </w:r>
    </w:p>
    <w:p>
      <w:pPr>
        <w:pStyle w:val="Normal"/>
        <w:widowControl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eastAsia="en-US" w:bidi="ar-SA"/>
        </w:rPr>
      </w:pPr>
      <w:r>
        <w:rPr>
          <w:rFonts w:cs="Tinos" w:ascii="Tinos" w:hAnsi="Tinos"/>
          <w:sz w:val="24"/>
          <w:szCs w:val="24"/>
          <w:lang w:val="ru-RU" w:eastAsia="en-US" w:bidi="ar-SA"/>
        </w:rPr>
        <w:t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8. СРОК ДЕЙСТВИЯ, ИЗМЕНЕНИЕ И РАСТОРЖЕНИЕ КОНТРАКТА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  <w:t>8.1. Настоящий Контракт вступает в силу со дня его заключения и действует до «30» сентября 2026 г., а в части неисполненных обязательств – до полного их исполнения Сторонами.</w:t>
      </w:r>
    </w:p>
    <w:p>
      <w:pPr>
        <w:pStyle w:val="Normal"/>
        <w:widowControl/>
        <w:suppressAutoHyphens w:val="true"/>
        <w:bidi w:val="0"/>
        <w:spacing w:lineRule="auto" w:line="240" w:before="0" w:after="120"/>
        <w:ind w:firstLine="567" w:start="0" w:end="0"/>
        <w:jc w:val="both"/>
        <w:rPr>
          <w:rFonts w:ascii="Tinos" w:hAnsi="Tinos" w:cs="Tinos"/>
          <w:sz w:val="24"/>
          <w:szCs w:val="24"/>
          <w:lang w:val="ru-RU" w:eastAsia="en-US" w:bidi="ar-SA"/>
        </w:rPr>
      </w:pPr>
      <w:r>
        <w:rPr>
          <w:rFonts w:cs="Tinos" w:ascii="Tinos" w:hAnsi="Tinos"/>
          <w:b w:val="false"/>
          <w:sz w:val="24"/>
          <w:szCs w:val="24"/>
          <w:lang w:val="ru-RU" w:eastAsia="en-US" w:bidi="ar-SA"/>
        </w:rPr>
        <w:t>8</w:t>
      </w:r>
      <w:r>
        <w:rPr>
          <w:rFonts w:cs="Tinos" w:ascii="Tinos" w:hAnsi="Tinos"/>
          <w:sz w:val="24"/>
          <w:szCs w:val="24"/>
          <w:lang w:val="ru-RU" w:eastAsia="en-US" w:bidi="ar-SA"/>
        </w:rPr>
        <w:t>.2. Настоящий Контракт может быть изменен по соглашению Сторон, составленному в письменной форме.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8.3. Настоящий Контракт может быть расторгнут по соглашению Сторон, с составлением соответствующего дополнительного соглашения, или по решению суда в случаях, предусмотренных действующим законодательством Российской Федерации.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8.4. Заказчик вправе отказаться от исполнения Контракта в одностороннем внесудебном порядке в случаях: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- 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-  неоднократного нарушения Исполнителем сроков оказания услуг;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- в иных случаях, предусмотренных гражданским законодательством.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 w:cs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center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b/>
          <w:sz w:val="24"/>
          <w:szCs w:val="24"/>
          <w:lang w:val="ru-RU" w:bidi="ar-SA"/>
        </w:rPr>
        <w:t>9. ДОПОЛНИТЕЛЬНЫЕ УСЛОВИЯ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ConsPlusNonformat"/>
        <w:widowControl/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решаются в судебном порядке в соответствии с законодательством Российской Федерации по месту нахождения Заказчика.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9.3. Все споры и разногласия, которые могут возникнуть по настоящему Контракту,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9.4. Стороны подтверждают взаимное согласие на возможность осуществления обмена юридически значимыми первичными документами, адресованными Сторонам Контракта (Контракта,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9.5. Настоящий Контракт,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Контракту.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Любые приложения, изменения и дополнения к настоящему Контракту действительны и являются неотъемлемой частью настоящего Контракта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Стороны прямо договорились,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установленные законодательством РФ.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9.9. Использование ЭП, владельцем которой является уполномоченное лицо стороны Контракта, с нарушением конфиденциальности соответствующего ключа не освобождает сторону Контракта от ответственности за неблагоприятные последствия, наступившие в результате такого использования.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sz w:val="24"/>
          <w:szCs w:val="24"/>
          <w:lang w:val="ru-RU" w:bidi="ar-SA"/>
        </w:rPr>
        <w:t>9.11. Настоящий Контракт заключается в электронной форме.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/>
          <w:sz w:val="24"/>
          <w:szCs w:val="24"/>
          <w:lang w:val="ru-RU" w:bidi="ar-SA"/>
        </w:rPr>
      </w:pPr>
      <w:r>
        <w:rPr>
          <w:rFonts w:cs="Tinos" w:ascii="Tinos" w:hAnsi="Tinos"/>
          <w:b w:val="false"/>
          <w:sz w:val="24"/>
          <w:szCs w:val="24"/>
          <w:lang w:val="ru-RU" w:bidi="ar-SA"/>
        </w:rPr>
        <w:t>9.12. Неотъемлемой частью Контракта является: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 w:cs="Tinos"/>
          <w:b w:val="false"/>
          <w:sz w:val="24"/>
          <w:szCs w:val="24"/>
          <w:lang w:val="ru-RU" w:bidi="ar-SA"/>
        </w:rPr>
      </w:pPr>
      <w:r>
        <w:rPr>
          <w:rFonts w:cs="Tinos" w:ascii="Tinos" w:hAnsi="Tinos"/>
          <w:b w:val="false"/>
          <w:sz w:val="24"/>
          <w:szCs w:val="24"/>
          <w:lang w:val="ru-RU" w:bidi="ar-SA"/>
        </w:rPr>
        <w:t>- Спецификация — приложение №1 к контракту;</w:t>
      </w:r>
    </w:p>
    <w:p>
      <w:pPr>
        <w:pStyle w:val="ConsPlusNonformat"/>
        <w:widowControl/>
        <w:tabs>
          <w:tab w:val="left" w:pos="360" w:leader="none"/>
          <w:tab w:val="left" w:pos="540" w:leader="none"/>
          <w:tab w:val="left" w:pos="720" w:leader="none"/>
        </w:tabs>
        <w:bidi w:val="0"/>
        <w:spacing w:lineRule="auto" w:line="240" w:before="0" w:after="0"/>
        <w:ind w:firstLine="567" w:end="46"/>
        <w:contextualSpacing/>
        <w:jc w:val="both"/>
        <w:rPr>
          <w:rFonts w:ascii="Tinos" w:hAnsi="Tinos" w:cs="Tinos"/>
          <w:b w:val="false"/>
          <w:sz w:val="24"/>
          <w:szCs w:val="24"/>
          <w:lang w:val="ru-RU" w:bidi="ar-SA"/>
        </w:rPr>
      </w:pPr>
      <w:r>
        <w:rPr>
          <w:rFonts w:cs="Tinos" w:ascii="Tinos" w:hAnsi="Tinos"/>
          <w:b w:val="false"/>
          <w:sz w:val="24"/>
          <w:szCs w:val="24"/>
          <w:lang w:val="ru-RU" w:bidi="ar-SA"/>
        </w:rPr>
        <w:t>- Техническое задание — приложение №2 к контракту.</w:t>
      </w:r>
    </w:p>
    <w:p>
      <w:pPr>
        <w:pStyle w:val="Normal"/>
        <w:keepNext w:val="true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/>
          <w:sz w:val="24"/>
          <w:szCs w:val="24"/>
          <w:lang w:val="ru-RU" w:bidi="ar-SA"/>
        </w:rPr>
      </w:pPr>
      <w:r>
        <w:rPr>
          <w:rFonts w:ascii="Tinos" w:hAnsi="Tinos"/>
          <w:b/>
          <w:sz w:val="24"/>
          <w:szCs w:val="24"/>
          <w:lang w:val="ru-RU" w:bidi="ar-SA"/>
        </w:rPr>
        <w:t>10. АДРЕСА, РЕКВИЗИТЫ И ПОДПИСИ СТОРОН</w:t>
      </w:r>
    </w:p>
    <w:tbl>
      <w:tblPr>
        <w:tblStyle w:val="TableGrid"/>
        <w:tblW w:w="969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845"/>
        <w:gridCol w:w="4846"/>
      </w:tblGrid>
      <w:tr>
        <w:trPr/>
        <w:tc>
          <w:tcPr>
            <w:tcW w:w="48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ЗАКАЗЧИК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ИСПОЛНИТЕЛЬ</w:t>
            </w:r>
          </w:p>
        </w:tc>
      </w:tr>
      <w:tr>
        <w:trPr/>
        <w:tc>
          <w:tcPr>
            <w:tcW w:w="4845" w:type="dxa"/>
            <w:tcBorders/>
          </w:tcPr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bookmarkStart w:id="1" w:name="_Hlk179380629_Копия_1"/>
            <w:bookmarkEnd w:id="1"/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УФК по Новосибирской области (НИИ КПССЗ л/с 20396Х66880)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УФК по Новосибирской области (НИИ КПССЗ л/с 22396Х66880)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УФК по Новосибирской области (НИИ КПССЗ л/с 21396Х66880)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ИНН 4205012290  КПП 420501001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р/с 03214643000000013900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ОКЦ № 5 СибГУ Банка России//УФК по Кемеровской области-Кузбассу г. Кемерово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БИК 013207212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к/с 40102810745370000032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КБК 00000000000000000130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ОГРН 1034205024479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ОКПО 55608705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ОКАТО 32401367000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ОКТМО 32701000001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ОКОГУ 1322600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ОКФС 12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ОКОПФ 75103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ОКВЭД 72.19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eastAsia="en-US" w:bidi="ar-SA"/>
              </w:rPr>
              <w:t>Адрес: 650002, г. Кемерово, р-н Рудничный,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rPr>
                <w:rFonts w:ascii="Tinos" w:hAnsi="Tinos"/>
                <w:sz w:val="24"/>
                <w:szCs w:val="24"/>
                <w:lang w:val="ru-RU" w:eastAsia="en-US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eastAsia="en-US" w:bidi="ar-SA"/>
              </w:rPr>
              <w:t>бульвар имени академика Л.С.Барбараша, стр. 6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Начальник отдела материально-технического снабжения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_____________________ /</w:t>
            </w:r>
            <w:r>
              <w:rPr>
                <w:rFonts w:eastAsia="Calibri" w:cs="Tinos" w:ascii="Tinos" w:hAnsi="Tinos"/>
                <w:kern w:val="0"/>
                <w:sz w:val="24"/>
                <w:szCs w:val="24"/>
                <w:lang w:val="ru-RU" w:eastAsia="en-US" w:bidi="ar-SA"/>
              </w:rPr>
              <w:t>А.Е.Кузнецова</w:t>
            </w: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/ М.П.</w:t>
            </w:r>
          </w:p>
        </w:tc>
        <w:tc>
          <w:tcPr>
            <w:tcW w:w="48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br/>
              <w:br/>
              <w:t xml:space="preserve">_____________________ / _____________/ </w:t>
              <w:br/>
              <w:t>М.П.</w:t>
            </w:r>
          </w:p>
        </w:tc>
      </w:tr>
    </w:tbl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 xml:space="preserve">Приложение №1 </w:t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>к контракту №______ от «__» _______2026г</w:t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>Спецификация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0" w:type="dxa"/>
        </w:tblCellMar>
      </w:tblPr>
      <w:tblGrid>
        <w:gridCol w:w="609"/>
        <w:gridCol w:w="4540"/>
        <w:gridCol w:w="148"/>
        <w:gridCol w:w="716"/>
        <w:gridCol w:w="1010"/>
        <w:gridCol w:w="1252"/>
        <w:gridCol w:w="961"/>
        <w:gridCol w:w="1364"/>
      </w:tblGrid>
      <w:tr>
        <w:trPr/>
        <w:tc>
          <w:tcPr>
            <w:tcW w:w="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bidi="ar-SA"/>
              </w:rPr>
              <w:t>№</w:t>
            </w:r>
          </w:p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4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bidi="ar-SA"/>
              </w:rPr>
              <w:t>Наименование, минимальные технические (качественные) характеристики  товара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Кол-во</w:t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Ед.изм.</w:t>
            </w:r>
          </w:p>
        </w:tc>
        <w:tc>
          <w:tcPr>
            <w:tcW w:w="1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color w:val="000000"/>
                <w:spacing w:val="-11"/>
                <w:sz w:val="24"/>
                <w:szCs w:val="24"/>
                <w:lang w:val="ru-RU" w:bidi="ar-SA"/>
              </w:rPr>
              <w:t>Ст-ть единицы,  рублей</w:t>
            </w:r>
          </w:p>
        </w:tc>
        <w:tc>
          <w:tcPr>
            <w:tcW w:w="9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НДС, рублей</w:t>
            </w:r>
          </w:p>
        </w:tc>
        <w:tc>
          <w:tcPr>
            <w:tcW w:w="13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val="clear" w:fill="FFFFFF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color w:val="000000"/>
                <w:spacing w:val="-11"/>
                <w:sz w:val="24"/>
                <w:szCs w:val="24"/>
                <w:lang w:val="ru-RU" w:bidi="ar-SA"/>
              </w:rPr>
              <w:t>Общая стоимость с НДС, рублей</w:t>
            </w:r>
          </w:p>
        </w:tc>
      </w:tr>
      <w:tr>
        <w:trPr/>
        <w:tc>
          <w:tcPr>
            <w:tcW w:w="6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cs="Tinos" w:ascii="Tinos" w:hAnsi="Tinos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45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576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nos" w:hAnsi="Tino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 w:ascii="Tinos" w:hAnsi="Tinos"/>
                <w:sz w:val="24"/>
                <w:szCs w:val="24"/>
                <w:lang w:val="ru-RU" w:eastAsia="ru-RU" w:bidi="ar-SA"/>
              </w:rPr>
              <w:t>Услуги по проведению лабораторных исследований и испытаний в рамках производственного контроля, в том числе:</w:t>
            </w:r>
          </w:p>
          <w:p>
            <w:pPr>
              <w:pStyle w:val="Normal"/>
              <w:tabs>
                <w:tab w:val="clear" w:pos="720"/>
                <w:tab w:val="left" w:pos="576" w:leader="none"/>
              </w:tabs>
              <w:spacing w:lineRule="auto" w:line="240" w:before="0" w:after="0"/>
              <w:ind w:hanging="0" w:start="0" w:end="0"/>
              <w:jc w:val="both"/>
              <w:rPr>
                <w:rFonts w:ascii="Tinos" w:hAnsi="Tinos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 w:ascii="Tinos" w:hAnsi="Tinos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ind w:end="32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- проведение исследований микроклимата производственных помещений – 1 рабочее место;</w:t>
            </w:r>
          </w:p>
          <w:p>
            <w:pPr>
              <w:pStyle w:val="Normal"/>
              <w:ind w:end="32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- проведение исследований световой среды (коэффициент естественной освещенности, средняя освещенность на рабочей поверхности, коэффициент пульсации освещенности, объединенный показатель дискомфорта) – 1 рабоче место;</w:t>
            </w:r>
          </w:p>
          <w:p>
            <w:pPr>
              <w:pStyle w:val="Normal"/>
              <w:spacing w:before="0" w:after="120"/>
              <w:ind w:end="32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>- проведение исследования электромагнитных полей, электромагнитного излучения – 1 рабочее место;</w:t>
            </w:r>
          </w:p>
          <w:p>
            <w:pPr>
              <w:pStyle w:val="Normal"/>
              <w:spacing w:before="0" w:after="120"/>
              <w:ind w:end="32"/>
              <w:rPr>
                <w:lang w:val="ru-RU"/>
              </w:rPr>
            </w:pPr>
            <w:r>
              <w:rPr>
                <w:lang w:val="ru-RU"/>
              </w:rPr>
              <w:t>- оформление  протоколов испытаний, экспертных заключений.</w:t>
            </w:r>
          </w:p>
        </w:tc>
        <w:tc>
          <w:tcPr>
            <w:tcW w:w="864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101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jc w:val="center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Усл.ед.</w:t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</w:r>
          </w:p>
        </w:tc>
        <w:tc>
          <w:tcPr>
            <w:tcW w:w="96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236" w:type="dxa"/>
            <w:gridSpan w:val="7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jc w:val="end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  <w:t>ИТОГО</w:t>
            </w:r>
          </w:p>
        </w:tc>
        <w:tc>
          <w:tcPr>
            <w:tcW w:w="136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9"/>
              <w:spacing w:lineRule="auto" w:line="240" w:before="0" w:after="120"/>
              <w:rPr>
                <w:rFonts w:ascii="Tinos" w:hAnsi="Tinos"/>
                <w:sz w:val="24"/>
                <w:szCs w:val="24"/>
                <w:lang w:val="ru-RU" w:bidi="ar-SA"/>
              </w:rPr>
            </w:pPr>
            <w:r>
              <w:rPr>
                <w:rFonts w:ascii="Tinos" w:hAnsi="Tinos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529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Начальник отдела материально-технического снабжения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_____________________ /</w:t>
            </w:r>
            <w:r>
              <w:rPr>
                <w:rFonts w:eastAsia="Calibri" w:cs="Tinos" w:ascii="Tinos" w:hAnsi="Tinos"/>
                <w:kern w:val="0"/>
                <w:sz w:val="24"/>
                <w:szCs w:val="24"/>
                <w:lang w:val="ru-RU" w:eastAsia="en-US" w:bidi="ar-SA"/>
              </w:rPr>
              <w:t>А.Е.Кузнецова</w:t>
            </w: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М.П.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303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ИСПОЛНИТЕЛЬ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 xml:space="preserve">_____________________ / _____________/ </w:t>
              <w:br/>
              <w:t>М.П.</w:t>
            </w:r>
          </w:p>
        </w:tc>
      </w:tr>
    </w:tbl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sz w:val="24"/>
          <w:szCs w:val="24"/>
          <w:lang w:val="ru-RU" w:bidi="ar-SA"/>
        </w:rPr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 xml:space="preserve">Приложение №2 </w:t>
      </w:r>
    </w:p>
    <w:p>
      <w:pPr>
        <w:pStyle w:val="Normal"/>
        <w:spacing w:lineRule="auto" w:line="240" w:before="240" w:after="120"/>
        <w:jc w:val="end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>к контракту №______ от «__» _______2026г</w:t>
      </w:r>
    </w:p>
    <w:p>
      <w:pPr>
        <w:pStyle w:val="Normal"/>
        <w:spacing w:lineRule="auto" w:line="240" w:before="240" w:after="120"/>
        <w:jc w:val="center"/>
        <w:rPr>
          <w:rFonts w:ascii="Tinos" w:hAnsi="Tinos"/>
          <w:b w:val="false"/>
          <w:bCs w:val="false"/>
          <w:sz w:val="24"/>
          <w:szCs w:val="24"/>
          <w:lang w:val="ru-RU" w:bidi="ar-SA"/>
        </w:rPr>
      </w:pPr>
      <w:r>
        <w:rPr>
          <w:rFonts w:ascii="Tinos" w:hAnsi="Tinos"/>
          <w:b w:val="false"/>
          <w:bCs w:val="false"/>
          <w:sz w:val="24"/>
          <w:szCs w:val="24"/>
          <w:lang w:val="ru-RU" w:bidi="ar-SA"/>
        </w:rPr>
        <w:t>Техническое задание</w:t>
      </w:r>
    </w:p>
    <w:p>
      <w:pPr>
        <w:pStyle w:val="Normal"/>
        <w:tabs>
          <w:tab w:val="clear" w:pos="720"/>
          <w:tab w:val="left" w:pos="460" w:leader="none"/>
        </w:tabs>
        <w:ind w:start="35" w:end="0"/>
        <w:rPr>
          <w:lang w:val="ru-RU" w:eastAsia="en-US" w:bidi="ar-SA"/>
        </w:rPr>
      </w:pPr>
      <w:r>
        <w:rPr>
          <w:lang w:val="ru-RU" w:eastAsia="en-US" w:bidi="ar-SA"/>
        </w:rPr>
        <w:t xml:space="preserve">Требования к оказанию услуги: 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>Исполнитель о</w:t>
      </w:r>
      <w:r>
        <w:rPr>
          <w:rFonts w:eastAsia="" w:cs="" w:cstheme="minorBidi" w:eastAsiaTheme="minorEastAsia"/>
          <w:iCs/>
          <w:color w:val="auto"/>
          <w:kern w:val="0"/>
          <w:sz w:val="24"/>
          <w:szCs w:val="22"/>
          <w:lang w:val="ru-RU" w:eastAsia="en-US" w:bidi="ar-SA"/>
        </w:rPr>
        <w:t>бязан до начала оказания услуг документально подтвердить аккредитацию на право оказывать услуги в области проведения лабораторн</w:t>
      </w:r>
      <w:r>
        <w:rPr>
          <w:lang w:val="ru-RU" w:eastAsia="en-US" w:bidi="ar-SA"/>
        </w:rPr>
        <w:t>ых исследований и испытаний путем предоставления аттестата аккредитации испытательной лаборатории (центра).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iCs/>
          <w:lang w:val="ru-RU" w:eastAsia="en-US" w:bidi="ar-SA"/>
        </w:rPr>
      </w:pPr>
      <w:r>
        <w:rPr>
          <w:iCs/>
          <w:lang w:val="ru-RU" w:eastAsia="en-US" w:bidi="ar-SA"/>
        </w:rPr>
        <w:t>Предоставить список персонального состава специалистов, проводящих измерения и оценку.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iCs/>
          <w:lang w:val="ru-RU" w:eastAsia="en-US" w:bidi="ar-SA"/>
        </w:rPr>
        <w:t>Определить методы проведения измерений и оценок на основе действующих нормативно-правовых актов</w:t>
      </w:r>
      <w:r>
        <w:rPr>
          <w:lang w:val="ru-RU" w:eastAsia="en-US" w:bidi="ar-SA"/>
        </w:rPr>
        <w:t>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iCs/>
          <w:lang w:val="ru-RU" w:eastAsia="en-US" w:bidi="ar-SA"/>
        </w:rPr>
      </w:pPr>
      <w:r>
        <w:rPr>
          <w:iCs/>
          <w:lang w:val="ru-RU" w:eastAsia="en-US" w:bidi="ar-SA"/>
        </w:rPr>
        <w:t>Оказание услуги Исполнителем должно производится согласно Заявке Заказчика по графику согласованным с Заказчиком.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Провести собственными силами лаборатории инструментальные измерения и оценку уровней факторов производственной среды в ходе осуществления штатных производственных (технологических) процессов и (или) штатной деятельности организации с оформлением протоколов измерений на каждое рабочее место согласно заявке Заказчика. 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iCs/>
          <w:lang w:val="ru-RU" w:eastAsia="en-US" w:bidi="ar-SA"/>
        </w:rPr>
      </w:pPr>
      <w:r>
        <w:rPr>
          <w:iCs/>
          <w:lang w:val="ru-RU" w:eastAsia="en-US" w:bidi="ar-SA"/>
        </w:rPr>
        <w:t>Сформировать комплект необходимых для проведения лабораторных исследований и испытаний набор правовых и методических документов.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>По требованию Заказчика предоставить обоснование выводов, сделанных Исполнителем по результатам лабораторных исследований и испытаний.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>Сформировать и передать Заказчику результаты проведения лабораторных исследований и испытаний на бумажном носителе, которые содержат в себе следующие документы:</w:t>
      </w:r>
    </w:p>
    <w:p>
      <w:pPr>
        <w:pStyle w:val="Normal"/>
        <w:tabs>
          <w:tab w:val="clear" w:pos="720"/>
          <w:tab w:val="left" w:pos="313" w:leader="none"/>
          <w:tab w:val="left" w:pos="460" w:leader="none"/>
        </w:tabs>
        <w:ind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>- сведения об организации, проводящую лабораторные исследования и испытания, с приложением копии аттестата аккредитации испытательной лаборатории.</w:t>
      </w:r>
    </w:p>
    <w:p>
      <w:pPr>
        <w:pStyle w:val="Normal"/>
        <w:tabs>
          <w:tab w:val="clear" w:pos="720"/>
          <w:tab w:val="left" w:pos="460" w:leader="none"/>
        </w:tabs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- протоколы проведения исследований </w:t>
      </w:r>
      <w:r>
        <w:rPr>
          <w:rFonts w:eastAsia="" w:cs="" w:cstheme="minorBidi" w:eastAsiaTheme="minorEastAsia"/>
          <w:b w:val="false"/>
          <w:bCs w:val="false"/>
          <w:color w:val="auto"/>
          <w:kern w:val="0"/>
          <w:sz w:val="24"/>
          <w:szCs w:val="22"/>
          <w:lang w:val="ru-RU" w:eastAsia="en-US" w:bidi="ar-SA"/>
        </w:rPr>
        <w:t>(испытаний) и измерений вредных и (или) опасных производственных факторов согласно заявке Заказчика. Форма протоколов должна соответствовать нормативным документам (</w:t>
      </w:r>
      <w:r>
        <w:rPr>
          <w:rStyle w:val="Strong"/>
          <w:rFonts w:eastAsia="" w:cs="" w:cstheme="minorBidi" w:eastAsiaTheme="minorEastAsia"/>
          <w:b w:val="false"/>
          <w:bCs w:val="false"/>
          <w:color w:val="auto"/>
          <w:kern w:val="0"/>
          <w:sz w:val="24"/>
          <w:szCs w:val="22"/>
          <w:lang w:val="ru-RU" w:eastAsia="en-US" w:bidi="ar-SA"/>
        </w:rPr>
        <w:t xml:space="preserve">ГОСТ ISO/IEC 17025-2019), </w:t>
      </w:r>
      <w:r>
        <w:rPr>
          <w:rFonts w:eastAsia="" w:cs="" w:cstheme="minorBidi" w:eastAsiaTheme="minorEastAsia"/>
          <w:b w:val="false"/>
          <w:bCs w:val="false"/>
          <w:color w:val="auto"/>
          <w:kern w:val="0"/>
          <w:sz w:val="24"/>
          <w:szCs w:val="22"/>
          <w:lang w:val="ru-RU" w:eastAsia="en-US" w:bidi="ar-SA"/>
        </w:rPr>
        <w:t>определяющим порядок проведения измерений уровней показателей того или иного фактора. Оформление протоколов производится компьютерной программой.</w:t>
      </w:r>
    </w:p>
    <w:p>
      <w:pPr>
        <w:pStyle w:val="Normal"/>
        <w:numPr>
          <w:ilvl w:val="3"/>
          <w:numId w:val="1"/>
        </w:numPr>
        <w:tabs>
          <w:tab w:val="clear" w:pos="720"/>
          <w:tab w:val="left" w:pos="313" w:leader="none"/>
          <w:tab w:val="left" w:pos="460" w:leader="none"/>
        </w:tabs>
        <w:ind w:firstLine="141" w:start="35" w:end="0"/>
        <w:jc w:val="both"/>
        <w:rPr>
          <w:lang w:val="ru-RU" w:eastAsia="en-US" w:bidi="ar-SA"/>
        </w:rPr>
      </w:pPr>
      <w:r>
        <w:rPr>
          <w:lang w:val="ru-RU" w:eastAsia="en-US" w:bidi="ar-SA"/>
        </w:rPr>
        <w:t>Материалы и документация, содержащие результаты лабораторных исследований и испытаний должна соответствовать государственным нормативным требованиям охраны труда.</w:t>
      </w:r>
    </w:p>
    <w:p>
      <w:pPr>
        <w:pStyle w:val="Normal"/>
        <w:jc w:val="both"/>
        <w:rPr>
          <w:lang w:val="ru-RU" w:eastAsia="en-US" w:bidi="ar-SA"/>
        </w:rPr>
      </w:pPr>
      <w:r>
        <w:rPr>
          <w:lang w:val="ru-RU" w:eastAsia="en-US" w:bidi="ar-SA"/>
        </w:rPr>
        <w:t xml:space="preserve">10. Исполнитель в течение 5 (пяти) рабочих дней с даты проведения соответствующих замеров должен передать </w:t>
      </w:r>
      <w:r>
        <w:rPr>
          <w:b w:val="false"/>
          <w:lang w:val="ru-RU" w:eastAsia="en-US" w:bidi="ar-SA"/>
        </w:rPr>
        <w:t>Заказчику надлежащим образом оформленные результаты исследований (протоколы испытаний, экспертные заключения) по результатам проведения лабораторного контроля.</w:t>
      </w:r>
    </w:p>
    <w:p>
      <w:pPr>
        <w:pStyle w:val="Normal"/>
        <w:tabs>
          <w:tab w:val="clear" w:pos="720"/>
          <w:tab w:val="left" w:pos="397" w:leader="none"/>
        </w:tabs>
        <w:jc w:val="both"/>
        <w:rPr>
          <w:lang w:val="ru-RU" w:eastAsia="en-US" w:bidi="ar-SA"/>
        </w:rPr>
      </w:pPr>
      <w:r>
        <w:rPr>
          <w:lang w:val="ru-RU" w:eastAsia="en-US" w:bidi="ar-SA"/>
        </w:rPr>
        <w:t>11. При обнаружении Заказчиком каких-либо недостатков  (технические ошибки и пр.) в документах на бумажном носителе все исправления вносятся Исполнителем и предоставляются Заказчику на бумажном носителе  за счет средств Исполнителя.</w:t>
      </w:r>
    </w:p>
    <w:p>
      <w:pPr>
        <w:pStyle w:val="Normal"/>
        <w:tabs>
          <w:tab w:val="clear" w:pos="720"/>
          <w:tab w:val="left" w:pos="397" w:leader="none"/>
        </w:tabs>
        <w:jc w:val="both"/>
        <w:rPr>
          <w:lang w:val="ru-RU" w:eastAsia="en-US" w:bidi="ar-SA"/>
        </w:rPr>
      </w:pPr>
      <w:r>
        <w:rPr>
          <w:lang w:val="ru-RU" w:eastAsia="en-US" w:bidi="ar-SA"/>
        </w:rPr>
        <w:t>12. Заказчик не предоставляет складские помещения, транспорт, раздевалки, душевые, питание, специальную одежду для специалистов Исполнителя.</w:t>
      </w:r>
    </w:p>
    <w:p>
      <w:pPr>
        <w:pStyle w:val="Normal"/>
        <w:tabs>
          <w:tab w:val="clear" w:pos="720"/>
          <w:tab w:val="left" w:pos="397" w:leader="none"/>
        </w:tabs>
        <w:jc w:val="both"/>
        <w:rPr>
          <w:lang w:val="ru-RU" w:eastAsia="en-US" w:bidi="ar-SA"/>
        </w:rPr>
      </w:pPr>
      <w:r>
        <w:rPr>
          <w:lang w:val="ru-RU" w:eastAsia="en-US" w:bidi="ar-SA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99"/>
        <w:gridCol w:w="5301"/>
      </w:tblGrid>
      <w:tr>
        <w:trPr/>
        <w:tc>
          <w:tcPr>
            <w:tcW w:w="529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ЗАКАЗЧИК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  <w:t>Начальник отдела материально-технического снабжения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ascii="Tinos" w:hAnsi="Tinos" w:eastAsia="Calibri" w:cs="Tinos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nos" w:ascii="Tinos" w:hAnsi="Tinos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_____________________ /</w:t>
            </w:r>
            <w:r>
              <w:rPr>
                <w:rFonts w:eastAsia="Calibri" w:cs="Tinos" w:ascii="Tinos" w:hAnsi="Tinos"/>
                <w:kern w:val="0"/>
                <w:sz w:val="24"/>
                <w:szCs w:val="24"/>
                <w:lang w:val="ru-RU" w:eastAsia="en-US" w:bidi="ar-SA"/>
              </w:rPr>
              <w:t>А.Е.Кузнецова</w:t>
            </w: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/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М.П.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30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>ИСПОЛНИТЕЛЬ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start"/>
              <w:rPr>
                <w:rFonts w:ascii="Tinos" w:hAnsi="Tinos" w:eastAsia="ＭＳ 明朝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ＭＳ 明朝" w:cs="" w:ascii="Tinos" w:hAnsi="Tinos"/>
                <w:kern w:val="0"/>
                <w:sz w:val="24"/>
                <w:szCs w:val="24"/>
                <w:lang w:val="ru-RU" w:eastAsia="en-US" w:bidi="ar-SA"/>
              </w:rPr>
              <w:t xml:space="preserve">_____________________ / _____________/ </w:t>
              <w:br/>
              <w:t>М.П.</w:t>
            </w:r>
          </w:p>
        </w:tc>
      </w:tr>
    </w:tbl>
    <w:p>
      <w:pPr>
        <w:pStyle w:val="Normal"/>
        <w:tabs>
          <w:tab w:val="clear" w:pos="720"/>
          <w:tab w:val="left" w:pos="397" w:leader="none"/>
        </w:tabs>
        <w:spacing w:before="0" w:after="120"/>
        <w:jc w:val="both"/>
        <w:rPr>
          <w:lang w:val="ru-RU" w:eastAsia="en-US" w:bidi="ar-SA"/>
        </w:rPr>
      </w:pPr>
      <w:r>
        <w:rPr>
          <w:lang w:val="ru-RU" w:eastAsia="en-US" w:bidi="ar-SA"/>
        </w:rPr>
      </w:r>
    </w:p>
    <w:sectPr>
      <w:type w:val="nextPage"/>
      <w:pgSz w:w="12240" w:h="15840"/>
      <w:pgMar w:left="988" w:right="652" w:gutter="0" w:header="0" w:top="1138" w:footer="0" w:bottom="113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Courier">
    <w:altName w:val="Courier New"/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bullet"/>
      <w:lvlText w:val="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—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120"/>
      <w:jc w:val="start"/>
    </w:pPr>
    <w:rPr>
      <w:rFonts w:ascii="Times New Roman" w:hAnsi="Times New Roman" w:eastAsia="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/>
  </w:style>
  <w:style w:type="character" w:styleId="WW8Num3z6">
    <w:name w:val="WW8Num3z6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user2">
    <w:name w:val="Колонтитулы (user)"/>
    <w:basedOn w:val="Normal"/>
    <w:qFormat/>
    <w:pPr/>
    <w:rPr/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4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5"/>
      </w:numPr>
      <w:spacing w:before="0" w:after="12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7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Style8">
    <w:name w:val="Абзац списка"/>
    <w:basedOn w:val="Normal"/>
    <w:qFormat/>
    <w:pPr>
      <w:spacing w:before="0" w:after="0"/>
      <w:ind w:hanging="0" w:start="720" w:end="0"/>
      <w:contextualSpacing/>
    </w:pPr>
    <w:rPr/>
  </w:style>
  <w:style w:type="paragraph" w:styleId="Style9">
    <w:name w:val="Содержимое таблицы"/>
    <w:basedOn w:val="Normal"/>
    <w:qFormat/>
    <w:pPr>
      <w:widowControl w:val="false"/>
      <w:suppressLineNumbers/>
    </w:pPr>
    <w:rPr/>
  </w:style>
  <w:style w:type="paragraph" w:styleId="Style10">
    <w:name w:val="Заголовок таблицы"/>
    <w:basedOn w:val="Style9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1">
    <w:name w:val="Без интервала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WW-">
    <w:name w:val="WW-Базовый"/>
    <w:qFormat/>
    <w:pPr>
      <w:widowControl/>
      <w:tabs>
        <w:tab w:val="clear" w:pos="720"/>
        <w:tab w:val="left" w:pos="709" w:leader="none"/>
      </w:tabs>
      <w:suppressAutoHyphens w:val="true"/>
      <w:overflowPunct w:val="false"/>
      <w:bidi w:val="0"/>
      <w:spacing w:lineRule="atLeast" w:line="200" w:before="0" w:after="0"/>
      <w:jc w:val="star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paragraph" w:styleId="user3">
    <w:name w:val="Комментарий (user)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WW8Num3">
    <w:name w:val="WW8Num3"/>
    <w:qFormat/>
  </w:style>
  <w:style w:type="numbering" w:styleId="WW8Num5">
    <w:name w:val="WW8Num5"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LibreOffice/25.8.3.2$Linux_X86_64 LibreOffice_project/580$Build-2</Application>
  <AppVersion>15.0000</AppVersion>
  <Pages>10</Pages>
  <Words>2692</Words>
  <Characters>20122</Characters>
  <CharactersWithSpaces>22788</CharactersWithSpaces>
  <Paragraphs>175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2026-08-05T10:02:11Z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