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790545" w:rsidRDefault="00356E2A" w:rsidP="00790545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790545">
        <w:rPr>
          <w:rFonts w:ascii="Times New Roman" w:eastAsia="Times New Roman" w:hAnsi="Times New Roman" w:cs="Times New Roman"/>
          <w:color w:val="auto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Pr="0099291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284"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proofErr w:type="spellStart"/>
      <w:r w:rsidR="0099291A" w:rsidRPr="0099291A">
        <w:rPr>
          <w:rFonts w:ascii="Times New Roman" w:hAnsi="Times New Roman" w:cs="Times New Roman"/>
          <w:bCs/>
          <w:sz w:val="24"/>
          <w:szCs w:val="24"/>
        </w:rPr>
        <w:t>агарозы</w:t>
      </w:r>
      <w:proofErr w:type="spellEnd"/>
      <w:r w:rsidR="0099291A" w:rsidRPr="0099291A">
        <w:rPr>
          <w:rFonts w:ascii="Times New Roman" w:hAnsi="Times New Roman" w:cs="Times New Roman"/>
          <w:bCs/>
          <w:sz w:val="24"/>
          <w:szCs w:val="24"/>
        </w:rPr>
        <w:t xml:space="preserve"> легкоплавкой </w:t>
      </w:r>
      <w:r w:rsidR="00A9219F"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99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  <w:proofErr w:type="gramEnd"/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992"/>
        <w:gridCol w:w="992"/>
        <w:gridCol w:w="1485"/>
        <w:gridCol w:w="1080"/>
        <w:gridCol w:w="1240"/>
        <w:gridCol w:w="1179"/>
        <w:gridCol w:w="1679"/>
        <w:gridCol w:w="1484"/>
      </w:tblGrid>
      <w:tr w:rsidR="00CC73C9" w:rsidRPr="00DC57A1" w:rsidTr="00CC73C9">
        <w:trPr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CC73C9" w:rsidRPr="00DC57A1" w:rsidTr="00CC73C9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3C9" w:rsidRPr="00DC57A1" w:rsidTr="00CC73C9">
        <w:trPr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C9" w:rsidRPr="00DC57A1" w:rsidRDefault="00CC73C9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219F" w:rsidRPr="00DC57A1" w:rsidTr="005A55D6">
        <w:trPr>
          <w:trHeight w:val="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19F" w:rsidRPr="00E3461A" w:rsidRDefault="00A9219F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46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219F" w:rsidRPr="00A9219F" w:rsidRDefault="0099291A" w:rsidP="00A92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Агароза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219F" w:rsidRPr="00A9219F" w:rsidRDefault="00A9219F" w:rsidP="00A92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19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219F" w:rsidRPr="00A9219F" w:rsidRDefault="0099291A" w:rsidP="00A92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9F" w:rsidRPr="00CC73C9" w:rsidRDefault="009929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91A">
              <w:rPr>
                <w:rFonts w:ascii="Times New Roman" w:hAnsi="Times New Roman" w:cs="Times New Roman"/>
                <w:color w:val="000000"/>
              </w:rPr>
              <w:t>18 428,23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9F" w:rsidRPr="00260204" w:rsidRDefault="00A921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9F" w:rsidRPr="00CC73C9" w:rsidRDefault="0099291A" w:rsidP="006603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91A">
              <w:rPr>
                <w:rFonts w:ascii="Times New Roman" w:hAnsi="Times New Roman" w:cs="Times New Roman"/>
                <w:color w:val="000000"/>
              </w:rPr>
              <w:t>18 428,23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9F" w:rsidRPr="00CC73C9" w:rsidRDefault="00A921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9F" w:rsidRPr="00CC73C9" w:rsidRDefault="00A921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9F" w:rsidRPr="00CC73C9" w:rsidRDefault="0099291A" w:rsidP="006603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91A">
              <w:rPr>
                <w:rFonts w:ascii="Times New Roman" w:hAnsi="Times New Roman" w:cs="Times New Roman"/>
                <w:color w:val="000000"/>
              </w:rPr>
              <w:t>18 428,23</w:t>
            </w:r>
          </w:p>
        </w:tc>
      </w:tr>
    </w:tbl>
    <w:p w:rsidR="00CC73C9" w:rsidRPr="00CC73C9" w:rsidRDefault="00CC73C9" w:rsidP="005F7563">
      <w:pPr>
        <w:widowControl w:val="0"/>
        <w:spacing w:before="120" w:after="12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CC73C9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был направлен </w:t>
      </w:r>
      <w:r w:rsidRPr="00CC73C9">
        <w:rPr>
          <w:rFonts w:ascii="Times New Roman" w:hAnsi="Times New Roman" w:cs="Times New Roman"/>
          <w:sz w:val="24"/>
          <w:szCs w:val="24"/>
        </w:rPr>
        <w:t>запрос цен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91A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.06.2026 </w:t>
      </w:r>
      <w:r w:rsidRPr="00CC73C9">
        <w:rPr>
          <w:rFonts w:ascii="Times New Roman" w:hAnsi="Times New Roman" w:cs="Times New Roman"/>
          <w:sz w:val="24"/>
          <w:szCs w:val="24"/>
        </w:rPr>
        <w:t xml:space="preserve"> № </w:t>
      </w:r>
      <w:r w:rsidR="0099291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/2026 согласно списку рассылки.</w:t>
      </w:r>
      <w:r w:rsidR="008874FD">
        <w:rPr>
          <w:rFonts w:ascii="Times New Roman" w:hAnsi="Times New Roman" w:cs="Times New Roman"/>
          <w:sz w:val="24"/>
          <w:szCs w:val="24"/>
        </w:rPr>
        <w:t xml:space="preserve"> </w:t>
      </w:r>
      <w:r w:rsidRPr="00CC7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итоге Заказчиком получено 1 (одно) коммерческое предложение</w:t>
      </w: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99291A" w:rsidRPr="0099291A">
        <w:rPr>
          <w:rFonts w:ascii="Times New Roman" w:eastAsia="Times New Roman" w:hAnsi="Times New Roman" w:cs="Times New Roman"/>
          <w:szCs w:val="24"/>
          <w:lang w:eastAsia="ru-RU"/>
        </w:rPr>
        <w:t>044179/303</w:t>
      </w:r>
      <w:r w:rsidR="0099291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9219F" w:rsidRPr="00A9219F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r w:rsidR="0099291A"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="00A9219F" w:rsidRPr="00A9219F">
        <w:rPr>
          <w:rFonts w:ascii="Times New Roman" w:eastAsia="Times New Roman" w:hAnsi="Times New Roman" w:cs="Times New Roman"/>
          <w:szCs w:val="24"/>
          <w:lang w:eastAsia="ru-RU"/>
        </w:rPr>
        <w:t>.06.2026</w:t>
      </w:r>
      <w:r w:rsidRPr="00356E2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6709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0820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205694"/>
    <w:rsid w:val="00260204"/>
    <w:rsid w:val="002B7284"/>
    <w:rsid w:val="00315120"/>
    <w:rsid w:val="00356E2A"/>
    <w:rsid w:val="00370C8A"/>
    <w:rsid w:val="0046303C"/>
    <w:rsid w:val="004B3155"/>
    <w:rsid w:val="004E2C1F"/>
    <w:rsid w:val="00527CEB"/>
    <w:rsid w:val="0057073F"/>
    <w:rsid w:val="005B1870"/>
    <w:rsid w:val="005B330A"/>
    <w:rsid w:val="005F7563"/>
    <w:rsid w:val="006A3475"/>
    <w:rsid w:val="006D1718"/>
    <w:rsid w:val="00713ABE"/>
    <w:rsid w:val="007212AE"/>
    <w:rsid w:val="00770944"/>
    <w:rsid w:val="00773F8C"/>
    <w:rsid w:val="00790545"/>
    <w:rsid w:val="007E2735"/>
    <w:rsid w:val="007E7B05"/>
    <w:rsid w:val="0083208C"/>
    <w:rsid w:val="00856E78"/>
    <w:rsid w:val="00872023"/>
    <w:rsid w:val="008874FD"/>
    <w:rsid w:val="008E60FA"/>
    <w:rsid w:val="009141C4"/>
    <w:rsid w:val="00953823"/>
    <w:rsid w:val="0099291A"/>
    <w:rsid w:val="009D2D84"/>
    <w:rsid w:val="009D63BF"/>
    <w:rsid w:val="009D7780"/>
    <w:rsid w:val="00A4164F"/>
    <w:rsid w:val="00A53137"/>
    <w:rsid w:val="00A9219F"/>
    <w:rsid w:val="00AE5422"/>
    <w:rsid w:val="00B30647"/>
    <w:rsid w:val="00BA74F6"/>
    <w:rsid w:val="00BB00C7"/>
    <w:rsid w:val="00BC088A"/>
    <w:rsid w:val="00C962D4"/>
    <w:rsid w:val="00CB0A6E"/>
    <w:rsid w:val="00CC73C9"/>
    <w:rsid w:val="00D00FC8"/>
    <w:rsid w:val="00D02B40"/>
    <w:rsid w:val="00D03092"/>
    <w:rsid w:val="00DC57A1"/>
    <w:rsid w:val="00DE06A9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0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90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34</cp:revision>
  <cp:lastPrinted>2025-09-03T14:19:00Z</cp:lastPrinted>
  <dcterms:created xsi:type="dcterms:W3CDTF">2025-08-04T15:19:00Z</dcterms:created>
  <dcterms:modified xsi:type="dcterms:W3CDTF">2026-07-01T14:15:00Z</dcterms:modified>
</cp:coreProperties>
</file>