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C0334E">
        <w:rPr>
          <w:b/>
          <w:sz w:val="19"/>
          <w:szCs w:val="19"/>
        </w:rPr>
        <w:t>реактивов</w:t>
      </w:r>
      <w:r w:rsidR="000B7574">
        <w:rPr>
          <w:b/>
          <w:sz w:val="19"/>
          <w:szCs w:val="19"/>
        </w:rPr>
        <w:tab/>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Карла Маркса, 3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455276">
        <w:rPr>
          <w:rStyle w:val="a3"/>
          <w:color w:val="auto"/>
          <w:sz w:val="19"/>
          <w:szCs w:val="19"/>
          <w:u w:val="none"/>
          <w:lang w:eastAsia="ru-RU"/>
        </w:rPr>
        <w:t>26138080491933808010010002 000</w:t>
      </w:r>
      <w:r w:rsidR="00042193" w:rsidRPr="00042193">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1" w:name="Par79"/>
      <w:bookmarkEnd w:id="1"/>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2" w:name="Par81"/>
      <w:bookmarkEnd w:id="2"/>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3" w:name="P59"/>
      <w:bookmarkStart w:id="4" w:name="P57"/>
      <w:bookmarkEnd w:id="3"/>
      <w:bookmarkEnd w:id="4"/>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5" w:name="Par87"/>
      <w:bookmarkEnd w:id="5"/>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Pr="00F90A85" w:rsidRDefault="00EA353A" w:rsidP="00455276">
      <w:pPr>
        <w:ind w:firstLine="539"/>
        <w:jc w:val="both"/>
        <w:rPr>
          <w:b/>
          <w:bCs/>
          <w:i/>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455276">
        <w:rPr>
          <w:sz w:val="19"/>
          <w:szCs w:val="19"/>
          <w:lang w:eastAsia="ru-RU"/>
        </w:rPr>
        <w:t xml:space="preserve">в течение 150 (ста пятидесяти) календарных дней </w:t>
      </w:r>
      <w:proofErr w:type="gramStart"/>
      <w:r w:rsidR="00455276">
        <w:rPr>
          <w:sz w:val="19"/>
          <w:szCs w:val="19"/>
          <w:lang w:eastAsia="ru-RU"/>
        </w:rPr>
        <w:t>с даты заключения</w:t>
      </w:r>
      <w:proofErr w:type="gramEnd"/>
      <w:r w:rsidR="00455276">
        <w:rPr>
          <w:sz w:val="19"/>
          <w:szCs w:val="19"/>
          <w:lang w:eastAsia="ru-RU"/>
        </w:rPr>
        <w:t xml:space="preserve"> Контракта. Возможна поставка партиями.</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6" w:name="P120"/>
      <w:bookmarkEnd w:id="6"/>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7" w:name="P141"/>
      <w:bookmarkEnd w:id="7"/>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8" w:name="P142"/>
      <w:bookmarkEnd w:id="8"/>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9" w:name="Par103"/>
      <w:bookmarkEnd w:id="9"/>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0" w:name="Par177"/>
      <w:bookmarkStart w:id="11" w:name="Par163"/>
      <w:bookmarkEnd w:id="10"/>
      <w:bookmarkEnd w:id="11"/>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 xml:space="preserve">у осуществляется в безналичном порядке путем перечисления денежных средств со счета </w:t>
      </w:r>
      <w:r w:rsidRPr="009855C7">
        <w:rPr>
          <w:sz w:val="19"/>
          <w:szCs w:val="19"/>
          <w:lang w:eastAsia="ru-RU"/>
        </w:rPr>
        <w:lastRenderedPageBreak/>
        <w:t>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2" w:name="P181"/>
      <w:bookmarkEnd w:id="12"/>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3" w:name="P182"/>
      <w:bookmarkEnd w:id="13"/>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4" w:name="P183"/>
      <w:bookmarkEnd w:id="14"/>
    </w:p>
    <w:p w:rsidR="00EA353A" w:rsidRPr="009855C7" w:rsidRDefault="00EA353A" w:rsidP="00EA353A">
      <w:pPr>
        <w:widowControl w:val="0"/>
        <w:suppressAutoHyphens w:val="0"/>
        <w:ind w:firstLine="540"/>
        <w:jc w:val="both"/>
        <w:rPr>
          <w:sz w:val="19"/>
          <w:szCs w:val="19"/>
          <w:highlight w:val="yellow"/>
        </w:rPr>
      </w:pPr>
      <w:bookmarkStart w:id="15" w:name="P184"/>
      <w:bookmarkEnd w:id="15"/>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6" w:name="P192"/>
      <w:bookmarkStart w:id="17" w:name="P188"/>
      <w:bookmarkStart w:id="18" w:name="P186"/>
      <w:bookmarkStart w:id="19" w:name="P185"/>
      <w:bookmarkEnd w:id="16"/>
      <w:bookmarkEnd w:id="17"/>
      <w:bookmarkEnd w:id="18"/>
      <w:bookmarkEnd w:id="19"/>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lastRenderedPageBreak/>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 xml:space="preserve">.3. Все споры и разногласия в связи с исполнением Контракта, разрешаются путем переговоров. Если по результатам </w:t>
      </w:r>
      <w:r w:rsidR="006A6D37" w:rsidRPr="009855C7">
        <w:rPr>
          <w:sz w:val="19"/>
          <w:szCs w:val="19"/>
        </w:rPr>
        <w:lastRenderedPageBreak/>
        <w:t>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042193">
            <w:pPr>
              <w:jc w:val="center"/>
              <w:rPr>
                <w:b/>
                <w:sz w:val="18"/>
                <w:szCs w:val="18"/>
              </w:rPr>
            </w:pPr>
            <w:r w:rsidRPr="00C35661">
              <w:rPr>
                <w:b/>
                <w:sz w:val="18"/>
                <w:szCs w:val="18"/>
              </w:rPr>
              <w:t xml:space="preserve">Кол-во, </w:t>
            </w:r>
            <w:proofErr w:type="spellStart"/>
            <w:r>
              <w:rPr>
                <w:b/>
                <w:sz w:val="18"/>
                <w:szCs w:val="18"/>
              </w:rPr>
              <w:t>упак</w:t>
            </w:r>
            <w:proofErr w:type="spellEnd"/>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w:t>
            </w:r>
            <w:bookmarkStart w:id="20" w:name="_GoBack"/>
            <w:bookmarkEnd w:id="20"/>
            <w:r w:rsidRPr="00C35661">
              <w:rPr>
                <w:b/>
                <w:sz w:val="18"/>
                <w:szCs w:val="18"/>
              </w:rPr>
              <w:t>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A313E4" w:rsidP="001E7141">
      <w:pPr>
        <w:ind w:firstLine="567"/>
        <w:jc w:val="both"/>
        <w:rPr>
          <w:b/>
          <w:color w:val="000000"/>
        </w:rPr>
      </w:pPr>
      <w:r w:rsidRPr="00A313E4">
        <w:rPr>
          <w:b/>
          <w:color w:val="000000"/>
        </w:rPr>
        <w:t>Предложенный товар должен иметь срок годности не менее 80% от остаточного срока годности Производителя со дня подписания документа о приемке.</w:t>
      </w:r>
    </w:p>
    <w:p w:rsidR="00A313E4" w:rsidRDefault="00A313E4"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E" w:rsidRDefault="00C0334E">
      <w:r>
        <w:separator/>
      </w:r>
    </w:p>
  </w:endnote>
  <w:endnote w:type="continuationSeparator" w:id="0">
    <w:p w:rsidR="00C0334E" w:rsidRDefault="00C0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6"/>
      <w:jc w:val="right"/>
      <w:rPr>
        <w:sz w:val="19"/>
        <w:szCs w:val="19"/>
      </w:rPr>
    </w:pPr>
    <w:r>
      <w:fldChar w:fldCharType="begin"/>
    </w:r>
    <w:r>
      <w:instrText xml:space="preserve"> PAGE </w:instrText>
    </w:r>
    <w:r>
      <w:fldChar w:fldCharType="separate"/>
    </w:r>
    <w:r w:rsidR="00455276">
      <w:rPr>
        <w:noProof/>
      </w:rPr>
      <w:t>6</w:t>
    </w:r>
    <w:r>
      <w:fldChar w:fldCharType="end"/>
    </w:r>
  </w:p>
  <w:p w:rsidR="00C0334E" w:rsidRDefault="00C0334E">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E" w:rsidRDefault="00C0334E">
      <w:r>
        <w:separator/>
      </w:r>
    </w:p>
  </w:footnote>
  <w:footnote w:type="continuationSeparator" w:id="0">
    <w:p w:rsidR="00C0334E" w:rsidRDefault="00C0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4"/>
      <w:rPr>
        <w:sz w:val="19"/>
        <w:szCs w:val="19"/>
      </w:rPr>
    </w:pPr>
  </w:p>
  <w:p w:rsidR="00C0334E" w:rsidRDefault="00C0334E">
    <w:pPr>
      <w:pStyle w:val="a4"/>
      <w:rPr>
        <w:sz w:val="19"/>
        <w:szCs w:val="19"/>
      </w:rPr>
    </w:pPr>
  </w:p>
  <w:p w:rsidR="00C0334E" w:rsidRDefault="00C0334E">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55276"/>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0334E"/>
    <w:rsid w:val="00C14549"/>
    <w:rsid w:val="00C27451"/>
    <w:rsid w:val="00C33B65"/>
    <w:rsid w:val="00C35661"/>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18CD"/>
    <w:rsid w:val="00EA353A"/>
    <w:rsid w:val="00EA5141"/>
    <w:rsid w:val="00EE06EA"/>
    <w:rsid w:val="00F126B1"/>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FA428-6B45-4564-A65B-7C8D90B8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6</Pages>
  <Words>4615</Words>
  <Characters>26311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118</cp:revision>
  <cp:lastPrinted>2026-04-29T03:48:00Z</cp:lastPrinted>
  <dcterms:created xsi:type="dcterms:W3CDTF">2022-01-25T08:09:00Z</dcterms:created>
  <dcterms:modified xsi:type="dcterms:W3CDTF">2026-07-02T04:29:00Z</dcterms:modified>
</cp:coreProperties>
</file>