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nformat"/>
        <w:widowControl/>
        <w:numPr>
          <w:ilvl w:val="0"/>
          <w:numId w:val="0"/>
        </w:numPr>
        <w:ind w:firstLine="567" w:left="0" w:right="-1"/>
        <w:jc w:val="center"/>
        <w:outlineLvl w:val="0"/>
        <w:rPr>
          <w:sz w:val="24"/>
          <w:szCs w:val="24"/>
        </w:rPr>
      </w:pPr>
      <w:r>
        <w:rPr>
          <w:rFonts w:eastAsia="Times New Roman" w:cs="Times New Roman" w:ascii="Times New Roman" w:hAnsi="Times New Roman"/>
          <w:b/>
          <w:bCs/>
          <w:sz w:val="24"/>
          <w:szCs w:val="24"/>
        </w:rPr>
        <w:t>ГОСУДАРСТВЕННЫЙ КОНТРАКТ (ПРОЕКТ) № ____</w:t>
      </w:r>
    </w:p>
    <w:p>
      <w:pPr>
        <w:pStyle w:val="Normal"/>
        <w:widowControl w:val="false"/>
        <w:spacing w:lineRule="auto" w:line="240" w:before="0" w:after="0"/>
        <w:jc w:val="center"/>
        <w:rPr>
          <w:sz w:val="24"/>
          <w:szCs w:val="24"/>
        </w:rPr>
      </w:pPr>
      <w:r>
        <w:rPr>
          <w:rFonts w:eastAsia="Times New Roman" w:cs="Times New Roman"/>
          <w:b/>
          <w:bCs/>
          <w:sz w:val="24"/>
          <w:szCs w:val="24"/>
          <w:lang w:eastAsia="zh-CN"/>
        </w:rPr>
        <w:t>приобретение неисключительных прав (лицензий) на использование программного обеспечения и сервисов получения обновлений и технической поддержки по ViPNet Client 5 for Linux (Update Client 4 Lin), KC3, сеть 1274. Дистрибутив ПО ViPNet Client 5 for Linux (КС3) (рег. в РРПО: 4319)</w:t>
      </w:r>
    </w:p>
    <w:p>
      <w:pPr>
        <w:pStyle w:val="ConsPlusNonformat"/>
        <w:widowControl/>
        <w:ind w:firstLine="567" w:left="0" w:right="-1"/>
        <w:rPr>
          <w:rFonts w:ascii="Times New Roman" w:hAnsi="Times New Roman"/>
          <w:sz w:val="24"/>
          <w:szCs w:val="24"/>
        </w:rPr>
      </w:pPr>
      <w:r>
        <w:rPr>
          <w:rFonts w:ascii="Times New Roman" w:hAnsi="Times New Roman"/>
          <w:sz w:val="24"/>
          <w:szCs w:val="24"/>
        </w:rPr>
      </w:r>
    </w:p>
    <w:p>
      <w:pPr>
        <w:pStyle w:val="ConsPlusNonformat"/>
        <w:widowControl/>
        <w:ind w:hanging="0" w:left="0" w:right="-1"/>
        <w:jc w:val="both"/>
        <w:rPr>
          <w:sz w:val="24"/>
          <w:szCs w:val="24"/>
        </w:rPr>
      </w:pPr>
      <w:r>
        <w:rPr>
          <w:rFonts w:ascii="Times New Roman" w:hAnsi="Times New Roman"/>
          <w:sz w:val="24"/>
          <w:szCs w:val="24"/>
        </w:rPr>
        <w:t>г. Красноярск                                                                                                « ___» ___________ 2026 г.</w:t>
      </w:r>
    </w:p>
    <w:p>
      <w:pPr>
        <w:pStyle w:val="ConsPlusNonformat"/>
        <w:widowControl/>
        <w:ind w:firstLine="567" w:left="0" w:right="-1"/>
        <w:jc w:val="both"/>
        <w:rPr>
          <w:rFonts w:ascii="Times New Roman" w:hAnsi="Times New Roman"/>
          <w:sz w:val="24"/>
          <w:szCs w:val="24"/>
        </w:rPr>
      </w:pPr>
      <w:r>
        <w:rPr>
          <w:rFonts w:ascii="Times New Roman" w:hAnsi="Times New Roman"/>
          <w:sz w:val="24"/>
          <w:szCs w:val="24"/>
        </w:rPr>
      </w:r>
    </w:p>
    <w:p>
      <w:pPr>
        <w:pStyle w:val="Normal"/>
        <w:spacing w:before="0" w:after="0"/>
        <w:ind w:firstLine="708"/>
        <w:jc w:val="both"/>
        <w:rPr>
          <w:sz w:val="24"/>
          <w:szCs w:val="24"/>
        </w:rPr>
      </w:pPr>
      <w:r>
        <w:rPr>
          <w:b/>
          <w:color w:val="auto"/>
          <w:sz w:val="24"/>
          <w:szCs w:val="24"/>
        </w:rPr>
        <w:t xml:space="preserve">Управление Федеральной службы государственной регистрации, кадастра и картографии по Красноярскому краю </w:t>
      </w:r>
      <w:r>
        <w:rPr>
          <w:b w:val="false"/>
          <w:bCs w:val="false"/>
          <w:color w:val="auto"/>
          <w:sz w:val="24"/>
          <w:szCs w:val="24"/>
        </w:rPr>
        <w:t>(</w:t>
      </w:r>
      <w:r>
        <w:rPr>
          <w:rFonts w:cs="Times New Roman"/>
          <w:b/>
          <w:bCs/>
          <w:sz w:val="24"/>
          <w:szCs w:val="24"/>
        </w:rPr>
        <w:t>Управление Росреестра по Красноярскому краю</w:t>
      </w:r>
      <w:r>
        <w:rPr>
          <w:b w:val="false"/>
          <w:bCs w:val="false"/>
          <w:color w:val="auto"/>
          <w:sz w:val="24"/>
          <w:szCs w:val="24"/>
        </w:rPr>
        <w:t>)</w:t>
      </w:r>
      <w:r>
        <w:rPr>
          <w:b/>
          <w:color w:val="auto"/>
          <w:sz w:val="24"/>
          <w:szCs w:val="24"/>
        </w:rPr>
        <w:t xml:space="preserve">, </w:t>
      </w:r>
      <w:r>
        <w:rPr>
          <w:color w:val="auto"/>
          <w:sz w:val="24"/>
          <w:szCs w:val="24"/>
        </w:rPr>
        <w:t>действующее от имени Российской Федерации</w:t>
      </w:r>
      <w:r>
        <w:rPr>
          <w:b/>
          <w:color w:val="auto"/>
          <w:sz w:val="24"/>
          <w:szCs w:val="24"/>
        </w:rPr>
        <w:t xml:space="preserve">, </w:t>
      </w:r>
      <w:r>
        <w:rPr>
          <w:color w:val="auto"/>
          <w:sz w:val="24"/>
          <w:szCs w:val="24"/>
        </w:rPr>
        <w:t xml:space="preserve">именуемое в дальнейшем </w:t>
      </w:r>
      <w:r>
        <w:rPr>
          <w:b/>
          <w:color w:val="auto"/>
          <w:sz w:val="24"/>
          <w:szCs w:val="24"/>
        </w:rPr>
        <w:t>«Заказчик»</w:t>
      </w:r>
      <w:r>
        <w:rPr>
          <w:color w:val="auto"/>
          <w:sz w:val="24"/>
          <w:szCs w:val="24"/>
        </w:rPr>
        <w:t xml:space="preserve">, в лице ___________________________________________________________________, действующей на основании доверенности № _________ от ______________ г, с одной стороны, </w:t>
      </w:r>
      <w:r>
        <w:rPr>
          <w:sz w:val="24"/>
          <w:szCs w:val="24"/>
        </w:rPr>
        <w:t>и</w:t>
      </w:r>
    </w:p>
    <w:p>
      <w:pPr>
        <w:pStyle w:val="Normal"/>
        <w:spacing w:before="0" w:after="0"/>
        <w:ind w:firstLine="708"/>
        <w:jc w:val="both"/>
        <w:rPr/>
      </w:pPr>
      <w:r>
        <w:rPr>
          <w:sz w:val="24"/>
          <w:szCs w:val="24"/>
        </w:rPr>
        <w:t xml:space="preserve"> </w:t>
      </w:r>
      <w:r>
        <w:rPr>
          <w:sz w:val="24"/>
          <w:szCs w:val="24"/>
        </w:rPr>
        <w:t xml:space="preserve">____________________________________________ (сокращенное наименование - ____________________ </w:t>
      </w:r>
      <w:r>
        <w:rPr>
          <w:b w:val="false"/>
          <w:bCs w:val="false"/>
          <w:sz w:val="24"/>
          <w:szCs w:val="24"/>
        </w:rPr>
        <w:t>),</w:t>
      </w:r>
      <w:r>
        <w:rPr>
          <w:sz w:val="24"/>
          <w:szCs w:val="24"/>
        </w:rPr>
        <w:t xml:space="preserve"> именуемое в дальнейшем </w:t>
      </w:r>
      <w:r>
        <w:rPr>
          <w:b/>
          <w:sz w:val="24"/>
          <w:szCs w:val="24"/>
        </w:rPr>
        <w:t>«Исполнитель»</w:t>
      </w:r>
      <w:r>
        <w:rPr>
          <w:b w:val="false"/>
          <w:bCs w:val="false"/>
          <w:i w:val="false"/>
          <w:iCs w:val="false"/>
          <w:sz w:val="24"/>
          <w:szCs w:val="24"/>
        </w:rPr>
        <w:t>,</w:t>
      </w:r>
      <w:r>
        <w:rPr>
          <w:sz w:val="24"/>
          <w:szCs w:val="24"/>
        </w:rPr>
        <w:t xml:space="preserve"> в лице ___________________________ (ИНН ____________), действующего(ей) на основании Устава, с другой стороны, вместе именуемые «Стороны», </w:t>
      </w:r>
      <w:r>
        <w:rPr>
          <w:rStyle w:val="FontStyle20"/>
          <w:b w:val="false"/>
          <w:bCs w:val="false"/>
          <w:sz w:val="24"/>
          <w:szCs w:val="24"/>
        </w:rPr>
        <w:t>в соответствии с п.4 ч.1 ст.93</w:t>
      </w:r>
      <w:r>
        <w:rPr>
          <w:rStyle w:val="FontStyle20"/>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color w:val="auto"/>
          <w:sz w:val="24"/>
          <w:szCs w:val="24"/>
        </w:rPr>
        <w:t>, з</w:t>
      </w:r>
      <w:r>
        <w:rPr>
          <w:rStyle w:val="FontStyle20"/>
          <w:sz w:val="24"/>
          <w:szCs w:val="24"/>
        </w:rPr>
        <w:t>аключили настоящий государственный контракт (далее по тексту К</w:t>
      </w:r>
      <w:r>
        <w:rPr>
          <w:sz w:val="24"/>
          <w:szCs w:val="24"/>
        </w:rPr>
        <w:t>онтракт) о нижеследующем:</w:t>
      </w:r>
    </w:p>
    <w:p>
      <w:pPr>
        <w:pStyle w:val="Normal"/>
        <w:spacing w:before="0" w:after="0"/>
        <w:jc w:val="center"/>
        <w:rPr>
          <w:b/>
          <w:bCs/>
          <w:sz w:val="24"/>
          <w:szCs w:val="24"/>
          <w:highlight w:val="none"/>
        </w:rPr>
      </w:pPr>
      <w:r>
        <w:rPr>
          <w:b/>
          <w:bCs/>
          <w:sz w:val="24"/>
          <w:szCs w:val="24"/>
        </w:rPr>
      </w:r>
    </w:p>
    <w:p>
      <w:pPr>
        <w:pStyle w:val="Normal"/>
        <w:numPr>
          <w:ilvl w:val="0"/>
          <w:numId w:val="0"/>
        </w:numPr>
        <w:spacing w:before="0" w:after="0"/>
        <w:ind w:hanging="0" w:left="0"/>
        <w:jc w:val="center"/>
        <w:outlineLvl w:val="0"/>
        <w:rPr>
          <w:sz w:val="24"/>
          <w:szCs w:val="24"/>
        </w:rPr>
      </w:pPr>
      <w:r>
        <w:rPr>
          <w:b/>
          <w:sz w:val="24"/>
          <w:szCs w:val="24"/>
        </w:rPr>
        <w:t>1. Предмет контракта</w:t>
      </w:r>
    </w:p>
    <w:p>
      <w:pPr>
        <w:pStyle w:val="Normal"/>
        <w:spacing w:before="0" w:after="0"/>
        <w:ind w:firstLine="709" w:left="0" w:right="0"/>
        <w:rPr>
          <w:sz w:val="24"/>
          <w:szCs w:val="24"/>
        </w:rPr>
      </w:pPr>
      <w:r>
        <w:rPr>
          <w:sz w:val="24"/>
          <w:szCs w:val="24"/>
        </w:rPr>
        <w:t xml:space="preserve">1.1. Предметом настоящего Контракта является </w:t>
      </w:r>
      <w:r>
        <w:rPr>
          <w:b/>
          <w:bCs/>
          <w:sz w:val="24"/>
          <w:szCs w:val="24"/>
        </w:rPr>
        <w:t xml:space="preserve">приобретение неисключительных прав (лицензий) на использование программного обеспечения и сервисов получения обновлений и технической поддержки по ViPNet Client 5 for Linux (Update Client 4 Lin), KC3, сеть 1274. Дистрибутив ПО ViPNet Client 5 for Linux (КС3) (рег. в РРПО: 4319). </w:t>
      </w:r>
      <w:r>
        <w:rPr>
          <w:b/>
          <w:sz w:val="24"/>
          <w:szCs w:val="24"/>
          <w:lang w:eastAsia="zh-CN"/>
        </w:rPr>
        <w:t xml:space="preserve"> </w:t>
      </w:r>
      <w:r>
        <w:rPr>
          <w:b w:val="false"/>
          <w:bCs w:val="false"/>
          <w:color w:themeColor="dark1" w:val="000000"/>
          <w:sz w:val="24"/>
          <w:szCs w:val="24"/>
        </w:rPr>
        <w:t>(</w:t>
      </w:r>
      <w:r>
        <w:rPr>
          <w:b w:val="false"/>
          <w:bCs/>
          <w:sz w:val="24"/>
          <w:szCs w:val="24"/>
        </w:rPr>
        <w:t xml:space="preserve">далее - Услуги) </w:t>
      </w:r>
      <w:r>
        <w:rPr>
          <w:sz w:val="24"/>
          <w:szCs w:val="24"/>
        </w:rPr>
        <w:t xml:space="preserve">в объеме установленным </w:t>
      </w:r>
      <w:r>
        <w:rPr>
          <w:b w:val="false"/>
          <w:sz w:val="24"/>
          <w:szCs w:val="24"/>
        </w:rPr>
        <w:t>в соответствии с Техническим заданием (приложение № 1 к Контракту) и на условиях, предусмотренных настоящим Контрактом.</w:t>
      </w:r>
    </w:p>
    <w:p>
      <w:pPr>
        <w:pStyle w:val="Normal"/>
        <w:spacing w:before="0" w:after="0"/>
        <w:ind w:firstLine="709" w:left="0" w:right="0"/>
        <w:rPr>
          <w:sz w:val="24"/>
          <w:szCs w:val="24"/>
        </w:rPr>
      </w:pPr>
      <w:r>
        <w:rPr>
          <w:sz w:val="24"/>
          <w:szCs w:val="24"/>
        </w:rPr>
        <w:t>1.2. </w:t>
      </w:r>
      <w:r>
        <w:rPr>
          <w:rFonts w:eastAsia="Times New Roman" w:cs="Times New Roman"/>
          <w:color w:themeColor="dark1" w:val="000000"/>
          <w:sz w:val="24"/>
          <w:szCs w:val="24"/>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pPr>
        <w:pStyle w:val="Normal"/>
        <w:spacing w:before="0" w:after="0"/>
        <w:ind w:firstLine="709" w:left="0" w:right="0"/>
        <w:rPr>
          <w:sz w:val="24"/>
          <w:szCs w:val="24"/>
        </w:rPr>
      </w:pPr>
      <w:r>
        <w:rPr>
          <w:b w:val="false"/>
          <w:bCs w:val="false"/>
          <w:i w:val="false"/>
          <w:iCs w:val="false"/>
          <w:sz w:val="24"/>
          <w:szCs w:val="24"/>
        </w:rPr>
        <w:t>1.3. Срок оказания услуг: с момента заключения контракта не более 65 рабочих дней.</w:t>
      </w:r>
    </w:p>
    <w:p>
      <w:pPr>
        <w:pStyle w:val="Normal"/>
        <w:widowControl w:val="false"/>
        <w:suppressLineNumbers w:val="0"/>
        <w:spacing w:lineRule="auto" w:line="240" w:before="0" w:after="0"/>
        <w:ind w:firstLine="708" w:left="0" w:right="0"/>
        <w:jc w:val="both"/>
        <w:rPr>
          <w:sz w:val="24"/>
          <w:szCs w:val="24"/>
        </w:rPr>
      </w:pPr>
      <w:r>
        <w:rPr>
          <w:b w:val="false"/>
          <w:bCs w:val="false"/>
          <w:i w:val="false"/>
          <w:color w:val="000000"/>
          <w:sz w:val="24"/>
          <w:szCs w:val="24"/>
        </w:rPr>
        <w:t>1.4. Адрес местонахождения Заказчика: 660021, г. Красноярск, ул. Дубровинского, д.114</w:t>
      </w:r>
    </w:p>
    <w:p>
      <w:pPr>
        <w:pStyle w:val="Normal"/>
        <w:spacing w:before="0" w:after="0"/>
        <w:ind w:firstLine="709" w:left="0" w:right="0"/>
        <w:rPr>
          <w:sz w:val="24"/>
          <w:szCs w:val="24"/>
        </w:rPr>
      </w:pPr>
      <w:r>
        <w:rPr>
          <w:b w:val="false"/>
          <w:bCs w:val="false"/>
          <w:i w:val="false"/>
          <w:iCs w:val="false"/>
          <w:sz w:val="24"/>
          <w:szCs w:val="24"/>
        </w:rPr>
        <w:t>1.5. ОКПД  58.29.50.000</w:t>
      </w:r>
    </w:p>
    <w:p>
      <w:pPr>
        <w:pStyle w:val="Normal"/>
        <w:spacing w:before="0" w:after="0"/>
        <w:ind w:firstLine="709" w:left="0" w:right="0"/>
        <w:rPr>
          <w:sz w:val="24"/>
          <w:szCs w:val="24"/>
        </w:rPr>
      </w:pPr>
      <w:r>
        <w:rPr>
          <w:b w:val="false"/>
          <w:bCs w:val="false"/>
          <w:i w:val="false"/>
          <w:iCs w:val="false"/>
          <w:color w:val="000000"/>
          <w:sz w:val="24"/>
          <w:szCs w:val="24"/>
        </w:rPr>
        <w:t xml:space="preserve">1.6. </w:t>
      </w:r>
      <w:r>
        <w:rPr>
          <w:rFonts w:cs="Times New Roman"/>
          <w:sz w:val="24"/>
          <w:szCs w:val="24"/>
        </w:rPr>
        <w:t xml:space="preserve">Идентификационный код закупки: </w:t>
      </w:r>
      <w:r>
        <w:rPr>
          <w:rFonts w:eastAsia="Times New Roman" w:cs="Times New Roman"/>
          <w:color w:val="000000"/>
          <w:sz w:val="24"/>
          <w:szCs w:val="24"/>
          <w:lang w:eastAsia="ru-RU"/>
        </w:rPr>
        <w:t>261246612451024600100100290000000244.</w:t>
      </w:r>
    </w:p>
    <w:p>
      <w:pPr>
        <w:pStyle w:val="Normal"/>
        <w:widowControl w:val="false"/>
        <w:spacing w:lineRule="atLeast" w:line="28" w:before="0" w:after="0"/>
        <w:ind w:firstLine="709" w:left="0" w:right="0"/>
        <w:jc w:val="both"/>
        <w:rPr>
          <w:sz w:val="24"/>
          <w:szCs w:val="24"/>
        </w:rPr>
      </w:pPr>
      <w:r>
        <w:rPr>
          <w:rFonts w:cs="Times New Roman"/>
          <w:sz w:val="24"/>
          <w:szCs w:val="24"/>
        </w:rPr>
        <w:t xml:space="preserve">1.7. </w:t>
      </w:r>
      <w:r>
        <w:rPr>
          <w:b w:val="false"/>
          <w:bCs w:val="false"/>
          <w:i w:val="false"/>
          <w:iCs w:val="false"/>
          <w:sz w:val="24"/>
          <w:szCs w:val="24"/>
        </w:rPr>
        <w:t>Правовым основанием заключения настоящего Контракта является Итоговый протокол закупочной сессии  __________________________________________________________.</w:t>
      </w:r>
    </w:p>
    <w:p>
      <w:pPr>
        <w:pStyle w:val="Normal"/>
        <w:spacing w:before="0" w:after="0"/>
        <w:rPr>
          <w:sz w:val="24"/>
          <w:szCs w:val="24"/>
        </w:rPr>
      </w:pPr>
      <w:r>
        <w:rPr>
          <w:sz w:val="24"/>
          <w:szCs w:val="24"/>
        </w:rPr>
      </w:r>
    </w:p>
    <w:p>
      <w:pPr>
        <w:pStyle w:val="Normal"/>
        <w:numPr>
          <w:ilvl w:val="0"/>
          <w:numId w:val="0"/>
        </w:numPr>
        <w:spacing w:before="0" w:after="0"/>
        <w:ind w:hanging="0" w:left="0"/>
        <w:jc w:val="center"/>
        <w:outlineLvl w:val="0"/>
        <w:rPr>
          <w:sz w:val="24"/>
          <w:szCs w:val="24"/>
        </w:rPr>
      </w:pPr>
      <w:r>
        <w:rPr>
          <w:b/>
          <w:smallCaps/>
          <w:sz w:val="24"/>
          <w:szCs w:val="24"/>
        </w:rPr>
        <w:t>2. </w:t>
      </w:r>
      <w:r>
        <w:rPr>
          <w:b/>
          <w:sz w:val="24"/>
          <w:szCs w:val="24"/>
        </w:rPr>
        <w:t>Цена контракта</w:t>
      </w:r>
    </w:p>
    <w:p>
      <w:pPr>
        <w:pStyle w:val="Normal"/>
        <w:suppressLineNumbers w:val="0"/>
        <w:spacing w:lineRule="auto" w:line="240" w:before="0" w:after="0"/>
        <w:ind w:firstLine="709" w:left="0" w:right="-1"/>
        <w:jc w:val="both"/>
        <w:rPr>
          <w:sz w:val="24"/>
          <w:szCs w:val="24"/>
        </w:rPr>
      </w:pPr>
      <w:r>
        <w:rPr>
          <w:sz w:val="24"/>
          <w:szCs w:val="24"/>
        </w:rPr>
        <w:t xml:space="preserve">2.1. </w:t>
      </w:r>
      <w:r>
        <w:rPr>
          <w:rFonts w:cs="Times New Roman"/>
          <w:sz w:val="24"/>
          <w:szCs w:val="24"/>
        </w:rPr>
        <w:t>Цена настоящего Контракта состав</w:t>
      </w:r>
      <w:r>
        <w:rPr>
          <w:rFonts w:cs="Times New Roman"/>
          <w:b w:val="false"/>
          <w:bCs w:val="false"/>
          <w:sz w:val="24"/>
          <w:szCs w:val="24"/>
          <w:u w:val="none"/>
        </w:rPr>
        <w:t>ляет: ___________ ( __________________________________ ) рублей ____ копеек (</w:t>
      </w:r>
      <w:r>
        <w:rPr>
          <w:sz w:val="24"/>
          <w:szCs w:val="24"/>
        </w:rPr>
        <w:t xml:space="preserve">НДС 22% / НДС не облагается). </w:t>
      </w:r>
    </w:p>
    <w:p>
      <w:pPr>
        <w:pStyle w:val="Normal"/>
        <w:suppressLineNumbers w:val="0"/>
        <w:spacing w:lineRule="auto" w:line="240" w:before="0" w:after="0"/>
        <w:ind w:firstLine="709" w:left="0" w:right="-1"/>
        <w:jc w:val="both"/>
        <w:rPr>
          <w:sz w:val="24"/>
          <w:szCs w:val="24"/>
        </w:rPr>
      </w:pPr>
      <w:r>
        <w:rPr>
          <w:sz w:val="24"/>
          <w:szCs w:val="24"/>
        </w:rPr>
        <w:t>Стоимость услуг определяется по ценам, указанным в Спецификации (Приложение № 2 к Контракту).</w:t>
      </w:r>
    </w:p>
    <w:p>
      <w:pPr>
        <w:pStyle w:val="Normal"/>
        <w:suppressLineNumbers w:val="0"/>
        <w:spacing w:lineRule="auto" w:line="240" w:before="0" w:after="0"/>
        <w:ind w:firstLine="709" w:left="0" w:right="-1"/>
        <w:jc w:val="both"/>
        <w:rPr/>
      </w:pPr>
      <w:r>
        <w:rPr>
          <w:sz w:val="24"/>
          <w:szCs w:val="24"/>
        </w:rPr>
        <w:t xml:space="preserve">2.2. Цена Контракта является твердой, </w:t>
      </w:r>
      <w:r>
        <w:rPr>
          <w:rFonts w:cs="Times New Roman"/>
          <w:b w:val="false"/>
          <w:bCs w:val="false"/>
          <w:sz w:val="24"/>
          <w:szCs w:val="24"/>
          <w:u w:val="none"/>
        </w:rPr>
        <w:t>определяется на весь срок исполнения настоящего Контракта</w:t>
      </w:r>
      <w:r>
        <w:rPr>
          <w:sz w:val="24"/>
          <w:szCs w:val="24"/>
        </w:rPr>
        <w:t xml:space="preserve"> и не может изменяться в ходе его исполнения, за исключением случаев, предусмотренных </w:t>
      </w:r>
      <w:r>
        <w:rPr>
          <w:rStyle w:val="FontStyle20"/>
          <w:sz w:val="24"/>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sz w:val="24"/>
          <w:szCs w:val="24"/>
        </w:rPr>
        <w:t xml:space="preserve"> и Контрактом. </w:t>
      </w:r>
    </w:p>
    <w:p>
      <w:pPr>
        <w:pStyle w:val="ConsPlusNormal"/>
        <w:ind w:firstLine="709" w:left="0" w:right="-1"/>
        <w:jc w:val="both"/>
        <w:rPr>
          <w:sz w:val="24"/>
          <w:szCs w:val="24"/>
        </w:rPr>
      </w:pPr>
      <w:r>
        <w:rPr>
          <w:rFonts w:cs="Times New Roman" w:ascii="Times New Roman" w:hAnsi="Times New Roman"/>
          <w:sz w:val="24"/>
          <w:szCs w:val="24"/>
        </w:rPr>
        <w:t xml:space="preserve">2.3. Оплата Услуг по настоящему Контракту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Российский Федерации. </w:t>
      </w:r>
    </w:p>
    <w:p>
      <w:pPr>
        <w:pStyle w:val="ConsPlusNormal"/>
        <w:ind w:firstLine="709" w:left="0" w:right="-1"/>
        <w:jc w:val="both"/>
        <w:rPr>
          <w:sz w:val="24"/>
          <w:szCs w:val="24"/>
        </w:rPr>
      </w:pPr>
      <w:r>
        <w:rPr>
          <w:rFonts w:eastAsia="Times New Roman" w:cs="Times New Roman" w:ascii="Times New Roman" w:hAnsi="Times New Roman"/>
          <w:color w:val="auto"/>
          <w:sz w:val="24"/>
          <w:szCs w:val="24"/>
          <w:lang w:val="ru-RU" w:eastAsia="zh-CN" w:bidi="ar-SA"/>
        </w:rPr>
        <w:t>2.4.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ConsPlusNormal"/>
        <w:suppressLineNumbers w:val="0"/>
        <w:spacing w:before="0" w:after="0"/>
        <w:ind w:firstLine="709" w:left="0" w:right="-1"/>
        <w:jc w:val="both"/>
        <w:rPr>
          <w:sz w:val="24"/>
          <w:szCs w:val="24"/>
        </w:rPr>
      </w:pPr>
      <w:r>
        <w:rPr>
          <w:rFonts w:eastAsia="Times New Roman" w:cs="Times New Roman" w:ascii="Times New Roman" w:hAnsi="Times New Roman"/>
          <w:color w:val="auto"/>
          <w:sz w:val="24"/>
          <w:szCs w:val="24"/>
          <w:lang w:val="ru-RU" w:eastAsia="zh-CN" w:bidi="ar-SA"/>
        </w:rPr>
        <w:t xml:space="preserve">2.5. </w:t>
      </w:r>
      <w:r>
        <w:rPr>
          <w:rFonts w:eastAsia="Times New Roman" w:cs="Times New Roman" w:ascii="Times New Roman" w:hAnsi="Times New Roman"/>
          <w:b w:val="false"/>
          <w:bCs/>
          <w:color w:val="auto"/>
          <w:sz w:val="24"/>
          <w:szCs w:val="24"/>
          <w:lang w:val="ru-RU" w:eastAsia="zh-CN" w:bidi="ar-SA"/>
        </w:rPr>
        <w:t xml:space="preserve">Оплата производится Заказчиком в российских рублях за счет средств федерального бюджета Российской Федерации, а именно за счет лимитов бюджетных обязательств доведенных на 2026 год, путем перечисления денежных средств на расчетный счет Исполнителя за фактически оказанные услуги, в течение 10 (десяти) рабочих дней с даты подписания Заказчиком </w:t>
      </w:r>
      <w:r>
        <w:rPr>
          <w:rFonts w:eastAsia="Times New Roman" w:cs="Times New Roman" w:ascii="Times New Roman" w:hAnsi="Times New Roman"/>
          <w:sz w:val="24"/>
          <w:szCs w:val="24"/>
        </w:rPr>
        <w:t xml:space="preserve">акта </w:t>
      </w:r>
      <w:r>
        <w:rPr>
          <w:rFonts w:eastAsia="Times New Roman" w:cs="Times New Roman" w:ascii="Times New Roman" w:hAnsi="Times New Roman"/>
          <w:color w:val="000000"/>
          <w:sz w:val="24"/>
          <w:szCs w:val="24"/>
        </w:rPr>
        <w:t>приемки-передачи оказанных услуг</w:t>
      </w:r>
      <w:r>
        <w:rPr>
          <w:rFonts w:eastAsia="Times New Roman" w:cs="Times New Roman" w:ascii="Times New Roman" w:hAnsi="Times New Roman"/>
          <w:sz w:val="24"/>
          <w:szCs w:val="24"/>
        </w:rPr>
        <w:t xml:space="preserve"> / УПД.</w:t>
      </w:r>
    </w:p>
    <w:p>
      <w:pPr>
        <w:pStyle w:val="ConsPlusNormal"/>
        <w:suppressLineNumbers w:val="0"/>
        <w:spacing w:before="0" w:after="0"/>
        <w:ind w:firstLine="709" w:left="0" w:right="-1"/>
        <w:jc w:val="both"/>
        <w:rPr>
          <w:sz w:val="24"/>
          <w:szCs w:val="24"/>
        </w:rPr>
      </w:pPr>
      <w:r>
        <w:rPr>
          <w:rFonts w:cs="Times New Roman" w:ascii="Times New Roman" w:hAnsi="Times New Roman"/>
          <w:bCs/>
          <w:color w:val="000000"/>
          <w:sz w:val="24"/>
          <w:szCs w:val="24"/>
          <w:lang w:eastAsia="ru-RU"/>
        </w:rPr>
        <w:t>2.6.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соответствующем платежном поручении. Обязательства Заказчика по оплате считаются исполненными             с момента списания денежных средств со счета Заказчика. За дальнейшее прохождение денежных средств Заказчик ответственности не несет.</w:t>
      </w:r>
    </w:p>
    <w:p>
      <w:pPr>
        <w:pStyle w:val="ConsPlusNormal"/>
        <w:ind w:firstLine="709" w:left="0" w:right="-1"/>
        <w:jc w:val="both"/>
        <w:rPr>
          <w:sz w:val="24"/>
          <w:szCs w:val="24"/>
        </w:rPr>
      </w:pPr>
      <w:r>
        <w:rPr>
          <w:rFonts w:cs="Times New Roman" w:ascii="Times New Roman" w:hAnsi="Times New Roman"/>
          <w:sz w:val="24"/>
          <w:szCs w:val="24"/>
        </w:rPr>
        <w:t xml:space="preserve">2.7. </w:t>
      </w:r>
      <w:r>
        <w:rPr>
          <w:rFonts w:cs="Times New Roman" w:ascii="Times New Roman" w:hAnsi="Times New Roman"/>
          <w:color w:val="000000"/>
          <w:sz w:val="24"/>
          <w:szCs w:val="24"/>
          <w:lang w:val="ru-RU"/>
        </w:rPr>
        <w:t>Контрактом предусмотрена возможность удержания суммы неисполненных Исполнителем требований об уплате неустоек (штрафов, пеней), предъявленных Заказчиком в соответствии с Федеральным законом от 05.04.2013 г. №44-ФЗ «О контрактной системе в сфере закупок товаров, работ, услуг для обеспечения государственных и муниципальных нужд», из суммы, подлежащей оплате Исполнителю.</w:t>
      </w:r>
    </w:p>
    <w:p>
      <w:pPr>
        <w:pStyle w:val="ConsPlusNormal"/>
        <w:ind w:firstLine="709" w:left="0" w:right="-1"/>
        <w:jc w:val="both"/>
        <w:rPr>
          <w:sz w:val="24"/>
          <w:szCs w:val="24"/>
        </w:rPr>
      </w:pPr>
      <w:r>
        <w:rPr>
          <w:rFonts w:cs="Times New Roman" w:ascii="Times New Roman" w:hAnsi="Times New Roman"/>
          <w:sz w:val="24"/>
          <w:szCs w:val="24"/>
        </w:rPr>
        <w:t>2.8.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spacing w:before="0" w:after="0"/>
        <w:rPr>
          <w:b w:val="false"/>
          <w:bCs w:val="false"/>
          <w:sz w:val="24"/>
          <w:szCs w:val="24"/>
        </w:rPr>
      </w:pPr>
      <w:r>
        <w:rPr>
          <w:b w:val="false"/>
          <w:bCs w:val="false"/>
          <w:sz w:val="24"/>
          <w:szCs w:val="24"/>
        </w:rPr>
      </w:r>
    </w:p>
    <w:p>
      <w:pPr>
        <w:pStyle w:val="Normal"/>
        <w:numPr>
          <w:ilvl w:val="0"/>
          <w:numId w:val="0"/>
        </w:numPr>
        <w:spacing w:before="0" w:after="0"/>
        <w:ind w:hanging="0" w:left="0"/>
        <w:jc w:val="center"/>
        <w:outlineLvl w:val="0"/>
        <w:rPr>
          <w:sz w:val="24"/>
          <w:szCs w:val="24"/>
        </w:rPr>
      </w:pPr>
      <w:r>
        <w:rPr>
          <w:b/>
          <w:i w:val="false"/>
          <w:iCs w:val="false"/>
          <w:sz w:val="24"/>
          <w:szCs w:val="24"/>
        </w:rPr>
        <w:t>3. Права и обязанности Сторон</w:t>
      </w:r>
    </w:p>
    <w:p>
      <w:pPr>
        <w:pStyle w:val="Normal"/>
        <w:spacing w:before="0" w:after="0"/>
        <w:ind w:firstLine="709" w:left="0" w:right="0"/>
        <w:rPr>
          <w:sz w:val="24"/>
          <w:szCs w:val="24"/>
        </w:rPr>
      </w:pPr>
      <w:r>
        <w:rPr>
          <w:b/>
          <w:i w:val="false"/>
          <w:iCs w:val="false"/>
          <w:sz w:val="24"/>
          <w:szCs w:val="24"/>
        </w:rPr>
        <w:t>3.1. Права Заказчика:</w:t>
      </w:r>
    </w:p>
    <w:p>
      <w:pPr>
        <w:pStyle w:val="Normal"/>
        <w:suppressLineNumbers w:val="0"/>
        <w:spacing w:lineRule="auto" w:line="240" w:before="0" w:after="0"/>
        <w:ind w:firstLine="709" w:left="0" w:right="0"/>
        <w:jc w:val="both"/>
        <w:rPr>
          <w:sz w:val="24"/>
          <w:szCs w:val="24"/>
        </w:rPr>
      </w:pPr>
      <w:r>
        <w:rPr>
          <w:sz w:val="24"/>
          <w:szCs w:val="24"/>
        </w:rPr>
        <w:t>3.1.2.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pPr>
        <w:pStyle w:val="Normal"/>
        <w:suppressLineNumbers w:val="0"/>
        <w:tabs>
          <w:tab w:val="clear" w:pos="708"/>
          <w:tab w:val="left" w:pos="709" w:leader="none"/>
        </w:tabs>
        <w:spacing w:lineRule="auto" w:line="240" w:before="0" w:after="0"/>
        <w:ind w:firstLine="709" w:left="0" w:right="0"/>
        <w:jc w:val="both"/>
        <w:rPr>
          <w:sz w:val="24"/>
          <w:szCs w:val="24"/>
        </w:rPr>
      </w:pPr>
      <w:r>
        <w:rPr>
          <w:sz w:val="24"/>
          <w:szCs w:val="24"/>
        </w:rPr>
        <w:t>3.1.2. Требовать от Исполнителя представления надлежащим образом оформленных документов, указанных в п.4.3 настоящего Контракта.</w:t>
      </w:r>
    </w:p>
    <w:p>
      <w:pPr>
        <w:pStyle w:val="Normal"/>
        <w:suppressLineNumbers w:val="0"/>
        <w:tabs>
          <w:tab w:val="clear" w:pos="708"/>
          <w:tab w:val="left" w:pos="709" w:leader="none"/>
        </w:tabs>
        <w:spacing w:lineRule="auto" w:line="240" w:before="0" w:after="0"/>
        <w:ind w:firstLine="709" w:left="0" w:right="0"/>
        <w:jc w:val="both"/>
        <w:rPr>
          <w:sz w:val="24"/>
          <w:szCs w:val="24"/>
        </w:rPr>
      </w:pPr>
      <w:r>
        <w:rPr>
          <w:sz w:val="24"/>
          <w:szCs w:val="24"/>
        </w:rPr>
        <w:t>3.1.3.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pPr>
        <w:pStyle w:val="Normal"/>
        <w:suppressLineNumbers w:val="0"/>
        <w:spacing w:lineRule="auto" w:line="240" w:before="0" w:after="0"/>
        <w:ind w:firstLine="709" w:left="0" w:right="0"/>
        <w:jc w:val="both"/>
        <w:rPr>
          <w:sz w:val="24"/>
          <w:szCs w:val="24"/>
        </w:rPr>
      </w:pPr>
      <w:r>
        <w:rPr>
          <w:sz w:val="24"/>
          <w:szCs w:val="24"/>
        </w:rPr>
        <w:t>3.1.4. Запрашивать у Исполнителя информацию о ходе оказываемых Услуг.</w:t>
      </w:r>
    </w:p>
    <w:p>
      <w:pPr>
        <w:pStyle w:val="Normal"/>
        <w:suppressLineNumbers w:val="0"/>
        <w:tabs>
          <w:tab w:val="clear" w:pos="708"/>
          <w:tab w:val="left" w:pos="540" w:leader="none"/>
        </w:tabs>
        <w:spacing w:lineRule="auto" w:line="240" w:before="0" w:after="0"/>
        <w:ind w:firstLine="709" w:left="0" w:right="0"/>
        <w:jc w:val="both"/>
        <w:rPr>
          <w:sz w:val="24"/>
          <w:szCs w:val="24"/>
        </w:rPr>
      </w:pPr>
      <w:r>
        <w:rPr>
          <w:sz w:val="24"/>
          <w:szCs w:val="24"/>
        </w:rPr>
        <w:t>3.1.5.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Pr>
          <w:spacing w:val="1"/>
          <w:sz w:val="24"/>
          <w:szCs w:val="24"/>
        </w:rPr>
        <w:t xml:space="preserve">. </w:t>
      </w:r>
    </w:p>
    <w:p>
      <w:pPr>
        <w:pStyle w:val="Normal"/>
        <w:suppressLineNumbers w:val="0"/>
        <w:spacing w:lineRule="auto" w:line="240" w:before="0" w:after="0"/>
        <w:ind w:firstLine="709" w:left="0" w:right="0"/>
        <w:jc w:val="both"/>
        <w:rPr>
          <w:sz w:val="24"/>
          <w:szCs w:val="24"/>
        </w:rPr>
      </w:pPr>
      <w:r>
        <w:rPr>
          <w:spacing w:val="1"/>
          <w:sz w:val="24"/>
          <w:szCs w:val="24"/>
        </w:rPr>
        <w:t>3.1.6.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pPr>
        <w:pStyle w:val="Normal"/>
        <w:suppressLineNumbers w:val="0"/>
        <w:spacing w:lineRule="auto" w:line="240" w:before="0" w:after="0"/>
        <w:ind w:firstLine="709" w:left="0" w:right="0"/>
        <w:jc w:val="both"/>
        <w:rPr>
          <w:sz w:val="24"/>
          <w:szCs w:val="24"/>
        </w:rPr>
      </w:pPr>
      <w:r>
        <w:rPr>
          <w:spacing w:val="1"/>
          <w:sz w:val="24"/>
          <w:szCs w:val="24"/>
        </w:rPr>
        <w:t>3.1.7.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настоящем Контракте, становится явно невозможным.</w:t>
      </w:r>
    </w:p>
    <w:p>
      <w:pPr>
        <w:pStyle w:val="Normal"/>
        <w:suppressLineNumbers w:val="0"/>
        <w:spacing w:lineRule="auto" w:line="240" w:before="0" w:after="0"/>
        <w:ind w:firstLine="709" w:left="0" w:right="0"/>
        <w:jc w:val="both"/>
        <w:rPr/>
      </w:pPr>
      <w:r>
        <w:rPr>
          <w:spacing w:val="1"/>
          <w:sz w:val="24"/>
          <w:szCs w:val="24"/>
        </w:rPr>
        <w:t xml:space="preserve">3.1.8. Принять решение об одностороннем отказе от исполнения настоящего Контракта в соответствии с </w:t>
      </w:r>
      <w:r>
        <w:rPr>
          <w:rStyle w:val="FontStyle20"/>
          <w:sz w:val="24"/>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r>
        <w:rPr>
          <w:spacing w:val="1"/>
          <w:sz w:val="24"/>
          <w:szCs w:val="24"/>
        </w:rPr>
        <w:t>.</w:t>
      </w:r>
    </w:p>
    <w:p>
      <w:pPr>
        <w:pStyle w:val="Normal"/>
        <w:suppressLineNumbers w:val="0"/>
        <w:spacing w:lineRule="auto" w:line="240" w:before="0" w:after="0"/>
        <w:ind w:firstLine="709" w:left="0" w:right="0"/>
        <w:jc w:val="both"/>
        <w:rPr>
          <w:sz w:val="24"/>
          <w:szCs w:val="24"/>
        </w:rPr>
      </w:pPr>
      <w:r>
        <w:rPr>
          <w:spacing w:val="1"/>
          <w:sz w:val="24"/>
          <w:szCs w:val="24"/>
        </w:rPr>
        <w:t xml:space="preserve">3.1.9. По соглашению с Исполнителем изменить существенные условия настоящего Контракта в случаях, установленных Законом </w:t>
      </w:r>
      <w:r>
        <w:rPr>
          <w:sz w:val="24"/>
          <w:szCs w:val="24"/>
        </w:rPr>
        <w:t>о контрактной системе</w:t>
      </w:r>
      <w:r>
        <w:rPr>
          <w:spacing w:val="1"/>
          <w:sz w:val="24"/>
          <w:szCs w:val="24"/>
        </w:rPr>
        <w:t>.</w:t>
      </w:r>
    </w:p>
    <w:p>
      <w:pPr>
        <w:pStyle w:val="Normal"/>
        <w:suppressLineNumbers w:val="0"/>
        <w:spacing w:lineRule="auto" w:line="240" w:before="0" w:after="0"/>
        <w:ind w:firstLine="709" w:left="0" w:right="0"/>
        <w:jc w:val="both"/>
        <w:rPr>
          <w:sz w:val="24"/>
          <w:szCs w:val="24"/>
        </w:rPr>
      </w:pPr>
      <w:r>
        <w:rPr>
          <w:sz w:val="24"/>
          <w:szCs w:val="24"/>
        </w:rPr>
        <w:t>3.1.10. Пользоваться иными правами, установленными настоящим Контрактом и законодательством РФ.</w:t>
      </w:r>
    </w:p>
    <w:p>
      <w:pPr>
        <w:pStyle w:val="Normal"/>
        <w:spacing w:before="0" w:after="0"/>
        <w:ind w:firstLine="709" w:left="0" w:right="0"/>
        <w:rPr>
          <w:sz w:val="24"/>
          <w:szCs w:val="24"/>
        </w:rPr>
      </w:pPr>
      <w:r>
        <w:rPr>
          <w:b/>
          <w:i w:val="false"/>
          <w:iCs w:val="false"/>
          <w:sz w:val="24"/>
          <w:szCs w:val="24"/>
        </w:rPr>
        <w:t>3.2. Обязанности Заказчика:</w:t>
      </w:r>
    </w:p>
    <w:p>
      <w:pPr>
        <w:pStyle w:val="Normal"/>
        <w:spacing w:before="0" w:after="0"/>
        <w:ind w:firstLine="709" w:left="0" w:right="0"/>
        <w:rPr>
          <w:sz w:val="24"/>
          <w:szCs w:val="24"/>
        </w:rPr>
      </w:pPr>
      <w:r>
        <w:rPr>
          <w:rFonts w:cs="Times New Roman"/>
          <w:sz w:val="24"/>
          <w:szCs w:val="24"/>
        </w:rPr>
        <w:t>3.1.1. Предоставить представителям и автотранспорту Исполнителя доступ на территорию Заказчика для оказания Услуг</w:t>
      </w:r>
      <w:r>
        <w:rPr>
          <w:i w:val="false"/>
          <w:iCs w:val="false"/>
          <w:sz w:val="24"/>
          <w:szCs w:val="24"/>
        </w:rPr>
        <w:t>.</w:t>
      </w:r>
    </w:p>
    <w:p>
      <w:pPr>
        <w:pStyle w:val="Normal"/>
        <w:spacing w:before="0" w:after="0"/>
        <w:ind w:firstLine="709" w:left="0" w:right="0"/>
        <w:rPr>
          <w:sz w:val="24"/>
          <w:szCs w:val="24"/>
        </w:rPr>
      </w:pPr>
      <w:r>
        <w:rPr>
          <w:i w:val="false"/>
          <w:iCs w:val="false"/>
          <w:sz w:val="24"/>
          <w:szCs w:val="24"/>
        </w:rPr>
        <w:t>3.2.1.  Принять оказанные услуги в соответствии с разделом 4 настоящего Контракта. В случае отсутствия претензий относительно их объема, качества и соблюдения сроков их исполнения подписать акт оказанных услуг и передать один экземпляр Исполнителю.</w:t>
      </w:r>
    </w:p>
    <w:p>
      <w:pPr>
        <w:pStyle w:val="Normal"/>
        <w:spacing w:before="0" w:after="0"/>
        <w:ind w:firstLine="709" w:left="0" w:right="0"/>
        <w:rPr>
          <w:sz w:val="24"/>
          <w:szCs w:val="24"/>
        </w:rPr>
      </w:pPr>
      <w:r>
        <w:rPr>
          <w:i w:val="false"/>
          <w:iCs w:val="false"/>
          <w:sz w:val="24"/>
          <w:szCs w:val="24"/>
        </w:rPr>
        <w:t>3.2.2. Осуществлять оплату оказанных Исполнителем услуг в пределах суммы, предусмотренной разделом 2 настоящего Контракта.</w:t>
      </w:r>
    </w:p>
    <w:p>
      <w:pPr>
        <w:pStyle w:val="Normal"/>
        <w:spacing w:before="0" w:after="0"/>
        <w:ind w:firstLine="709" w:left="0" w:right="0"/>
        <w:rPr>
          <w:sz w:val="24"/>
          <w:szCs w:val="24"/>
        </w:rPr>
      </w:pPr>
      <w:r>
        <w:rPr>
          <w:b/>
          <w:i w:val="false"/>
          <w:iCs w:val="false"/>
          <w:sz w:val="24"/>
          <w:szCs w:val="24"/>
        </w:rPr>
        <w:t>3.3. Права Исполнителя</w:t>
      </w:r>
    </w:p>
    <w:p>
      <w:pPr>
        <w:pStyle w:val="Normal"/>
        <w:spacing w:before="0" w:after="0"/>
        <w:ind w:firstLine="709" w:left="0" w:right="0"/>
        <w:rPr>
          <w:sz w:val="24"/>
          <w:szCs w:val="24"/>
        </w:rPr>
      </w:pPr>
      <w:r>
        <w:rPr>
          <w:i w:val="false"/>
          <w:iCs w:val="false"/>
          <w:sz w:val="24"/>
          <w:szCs w:val="24"/>
        </w:rPr>
        <w:t>3.3.1. Определять способы оказания услуг по Контракту.</w:t>
      </w:r>
    </w:p>
    <w:p>
      <w:pPr>
        <w:pStyle w:val="Normal"/>
        <w:spacing w:before="0" w:after="0"/>
        <w:ind w:firstLine="709" w:left="0" w:right="0"/>
        <w:rPr>
          <w:sz w:val="24"/>
          <w:szCs w:val="24"/>
        </w:rPr>
      </w:pPr>
      <w:r>
        <w:rPr>
          <w:i w:val="false"/>
          <w:iCs w:val="false"/>
          <w:sz w:val="24"/>
          <w:szCs w:val="24"/>
        </w:rPr>
        <w:t>4.3.2. Требовать оплаты оказанных услуг в пределах суммы, предусмотренной разделом 2 настоящего Контракта.</w:t>
      </w:r>
    </w:p>
    <w:p>
      <w:pPr>
        <w:pStyle w:val="Normal"/>
        <w:suppressLineNumbers w:val="0"/>
        <w:spacing w:lineRule="auto" w:line="240" w:before="0" w:after="0"/>
        <w:ind w:firstLine="709" w:left="0" w:right="0"/>
        <w:jc w:val="both"/>
        <w:rPr>
          <w:sz w:val="24"/>
          <w:szCs w:val="24"/>
        </w:rPr>
      </w:pPr>
      <w:r>
        <w:rPr>
          <w:sz w:val="24"/>
          <w:szCs w:val="24"/>
        </w:rPr>
        <w:t xml:space="preserve">3.3.1. Требовать своевременного подписания Заказчиком акта </w:t>
      </w:r>
      <w:r>
        <w:rPr>
          <w:rFonts w:eastAsia="Times New Roman" w:cs="Times New Roman"/>
          <w:color w:val="000000"/>
          <w:sz w:val="24"/>
          <w:szCs w:val="24"/>
        </w:rPr>
        <w:t xml:space="preserve">приемки-передачи </w:t>
      </w:r>
      <w:r>
        <w:rPr>
          <w:sz w:val="24"/>
          <w:szCs w:val="24"/>
        </w:rPr>
        <w:t>оказанных услуг по настоящему Контракту на основании представленных Исполнителем документов, указанных в п.4.1. настоящего Контракта, и при условии истечения срока, указанного в п. 4.4. настоящего Контракта.</w:t>
      </w:r>
    </w:p>
    <w:p>
      <w:pPr>
        <w:pStyle w:val="Normal"/>
        <w:suppressLineNumbers w:val="0"/>
        <w:spacing w:lineRule="auto" w:line="240" w:before="0" w:after="0"/>
        <w:ind w:firstLine="709" w:left="0" w:right="0"/>
        <w:jc w:val="both"/>
        <w:rPr>
          <w:sz w:val="24"/>
          <w:szCs w:val="24"/>
        </w:rPr>
      </w:pPr>
      <w:r>
        <w:rPr>
          <w:sz w:val="24"/>
          <w:szCs w:val="24"/>
        </w:rPr>
        <w:t>3.3.2. Требовать своевременной оплаты оказанных Услуг в соответствии с условиями настоящего Контракта.</w:t>
      </w:r>
    </w:p>
    <w:p>
      <w:pPr>
        <w:pStyle w:val="Normal"/>
        <w:suppressLineNumbers w:val="0"/>
        <w:spacing w:lineRule="auto" w:line="240" w:before="0" w:after="0"/>
        <w:ind w:firstLine="709" w:left="0" w:right="0"/>
        <w:jc w:val="both"/>
        <w:rPr>
          <w:sz w:val="24"/>
          <w:szCs w:val="24"/>
        </w:rPr>
      </w:pPr>
      <w:r>
        <w:rPr>
          <w:sz w:val="24"/>
          <w:szCs w:val="24"/>
        </w:rPr>
        <w:t>3.3.3. Требовать уплаты неустоек (штрафов, пеней) в случае просрочки исполнения Заказчиком обязательств, предусмотренных настоящим Контрактом, а также в иных случаях ненадлежащего исполнения Заказчиком обязательств, предусмотренных настоящим Контрактом.</w:t>
      </w:r>
    </w:p>
    <w:p>
      <w:pPr>
        <w:pStyle w:val="Normal"/>
        <w:suppressLineNumbers w:val="0"/>
        <w:spacing w:lineRule="auto" w:line="240" w:before="0" w:after="0"/>
        <w:ind w:firstLine="709" w:left="0" w:right="0"/>
        <w:jc w:val="both"/>
        <w:rPr>
          <w:sz w:val="24"/>
          <w:szCs w:val="24"/>
        </w:rPr>
      </w:pPr>
      <w:r>
        <w:rPr>
          <w:sz w:val="24"/>
          <w:szCs w:val="24"/>
        </w:rPr>
        <w:t>3.3.4. Запрашивать у Заказчика разъяснения и уточнения относительно оказания Услуг в рамках настоящего Контракта.</w:t>
      </w:r>
    </w:p>
    <w:p>
      <w:pPr>
        <w:pStyle w:val="Normal"/>
        <w:suppressLineNumbers w:val="0"/>
        <w:spacing w:lineRule="auto" w:line="240" w:before="0" w:after="0"/>
        <w:ind w:firstLine="709" w:left="0" w:right="0"/>
        <w:jc w:val="both"/>
        <w:rPr>
          <w:sz w:val="24"/>
          <w:szCs w:val="24"/>
        </w:rPr>
      </w:pPr>
      <w:r>
        <w:rPr>
          <w:sz w:val="24"/>
          <w:szCs w:val="24"/>
        </w:rPr>
        <w:t>3.3.5. Получать от Заказчика содействие при оказании Услуг в соответствии с условиями настоящего Контракта.</w:t>
      </w:r>
    </w:p>
    <w:p>
      <w:pPr>
        <w:pStyle w:val="Normal"/>
        <w:suppressLineNumbers w:val="0"/>
        <w:spacing w:lineRule="auto" w:line="240" w:before="0" w:after="0"/>
        <w:ind w:firstLine="709" w:left="0" w:right="0"/>
        <w:jc w:val="both"/>
        <w:rPr>
          <w:sz w:val="24"/>
          <w:szCs w:val="24"/>
        </w:rPr>
      </w:pPr>
      <w:r>
        <w:rPr>
          <w:sz w:val="24"/>
          <w:szCs w:val="24"/>
        </w:rPr>
        <w:t>3.3.6. Досрочно исполнить обязательства по настоящему Контракту с согласия Заказчика.</w:t>
      </w:r>
    </w:p>
    <w:p>
      <w:pPr>
        <w:pStyle w:val="Normal"/>
        <w:suppressLineNumbers w:val="0"/>
        <w:spacing w:lineRule="auto" w:line="240" w:before="0" w:after="0"/>
        <w:ind w:firstLine="709" w:left="0" w:right="0"/>
        <w:jc w:val="both"/>
        <w:rPr>
          <w:sz w:val="24"/>
          <w:szCs w:val="24"/>
        </w:rPr>
      </w:pPr>
      <w:r>
        <w:rPr>
          <w:sz w:val="24"/>
          <w:szCs w:val="24"/>
        </w:rPr>
        <w:t>3.3.7. Пользоваться иными правами, установленными Контрактом и законодательством Российской Федерации.</w:t>
      </w:r>
    </w:p>
    <w:p>
      <w:pPr>
        <w:pStyle w:val="Normal"/>
        <w:spacing w:before="0" w:after="0"/>
        <w:ind w:firstLine="709" w:left="0" w:right="0"/>
        <w:rPr>
          <w:b/>
          <w:i w:val="false"/>
          <w:i w:val="false"/>
          <w:iCs w:val="false"/>
          <w:sz w:val="24"/>
          <w:szCs w:val="24"/>
        </w:rPr>
      </w:pPr>
      <w:r>
        <w:rPr>
          <w:b/>
          <w:i w:val="false"/>
          <w:iCs w:val="false"/>
          <w:sz w:val="24"/>
          <w:szCs w:val="24"/>
        </w:rPr>
        <w:t>3.4. Обязанности Исполнителя:</w:t>
      </w:r>
    </w:p>
    <w:p>
      <w:pPr>
        <w:pStyle w:val="Normal"/>
        <w:numPr>
          <w:ilvl w:val="0"/>
          <w:numId w:val="0"/>
        </w:numPr>
        <w:spacing w:before="0" w:after="0"/>
        <w:ind w:firstLine="708" w:left="0"/>
        <w:contextualSpacing/>
        <w:jc w:val="both"/>
        <w:outlineLvl w:val="2"/>
        <w:rPr>
          <w:sz w:val="24"/>
          <w:szCs w:val="24"/>
        </w:rPr>
      </w:pPr>
      <w:r>
        <w:rPr>
          <w:rFonts w:cs="Times New Roman"/>
          <w:color w:themeColor="dark1" w:val="000000"/>
          <w:sz w:val="24"/>
          <w:szCs w:val="24"/>
        </w:rPr>
        <w:t xml:space="preserve">3.4.1. Своевременно и надлежащим образом оказать услуги в соответствии с действующим законодательством Российской Федерации, условиями Контракта и Техническим заданием (Приложение № 1 к Контракту). </w:t>
      </w:r>
    </w:p>
    <w:p>
      <w:pPr>
        <w:pStyle w:val="Normal"/>
        <w:spacing w:before="0" w:after="0"/>
        <w:ind w:firstLine="709"/>
        <w:contextualSpacing/>
        <w:jc w:val="both"/>
        <w:rPr>
          <w:sz w:val="24"/>
          <w:szCs w:val="24"/>
        </w:rPr>
      </w:pPr>
      <w:r>
        <w:rPr>
          <w:rFonts w:cs="Times New Roman"/>
          <w:color w:themeColor="dark1" w:val="000000"/>
          <w:sz w:val="24"/>
          <w:szCs w:val="24"/>
        </w:rPr>
        <w:t>3.4.2.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pPr>
        <w:pStyle w:val="Normal"/>
        <w:spacing w:before="0" w:after="0"/>
        <w:ind w:firstLine="709"/>
        <w:contextualSpacing/>
        <w:jc w:val="both"/>
        <w:rPr>
          <w:sz w:val="24"/>
          <w:szCs w:val="24"/>
        </w:rPr>
      </w:pPr>
      <w:r>
        <w:rPr>
          <w:rFonts w:cs="Times New Roman"/>
          <w:color w:themeColor="dark1" w:val="000000"/>
          <w:sz w:val="24"/>
          <w:szCs w:val="24"/>
        </w:rPr>
        <w:t>3.4.3.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выполнению по Контракту (лицензирование,  аккредитация и прочее), Исполнитель обязан обеспечить наличие документов, подтверждающих его соответствие, либо привлекаемых им соисполнителей,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5 рабочих дней со дня получения соответствующего требования.</w:t>
      </w:r>
    </w:p>
    <w:p>
      <w:pPr>
        <w:pStyle w:val="Normal"/>
        <w:numPr>
          <w:ilvl w:val="0"/>
          <w:numId w:val="0"/>
        </w:numPr>
        <w:spacing w:before="0" w:after="0"/>
        <w:ind w:firstLine="708" w:left="0"/>
        <w:contextualSpacing/>
        <w:jc w:val="both"/>
        <w:outlineLvl w:val="2"/>
        <w:rPr>
          <w:sz w:val="24"/>
          <w:szCs w:val="24"/>
        </w:rPr>
      </w:pPr>
      <w:r>
        <w:rPr>
          <w:rFonts w:cs="Times New Roman"/>
          <w:color w:themeColor="dark1" w:val="000000"/>
          <w:sz w:val="24"/>
          <w:szCs w:val="24"/>
        </w:rPr>
        <w:t>3.4.4. 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p>
    <w:p>
      <w:pPr>
        <w:pStyle w:val="Normal"/>
        <w:numPr>
          <w:ilvl w:val="0"/>
          <w:numId w:val="0"/>
        </w:numPr>
        <w:spacing w:before="0" w:after="0"/>
        <w:ind w:firstLine="708" w:left="0"/>
        <w:contextualSpacing/>
        <w:jc w:val="both"/>
        <w:outlineLvl w:val="2"/>
        <w:rPr>
          <w:sz w:val="24"/>
          <w:szCs w:val="24"/>
        </w:rPr>
      </w:pPr>
      <w:r>
        <w:rPr>
          <w:rFonts w:cs="Times New Roman"/>
          <w:color w:themeColor="dark1" w:val="000000"/>
          <w:sz w:val="24"/>
          <w:szCs w:val="24"/>
        </w:rPr>
        <w:t>3.4.5.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 12.3. Контракта.</w:t>
      </w:r>
    </w:p>
    <w:p>
      <w:pPr>
        <w:pStyle w:val="Normal"/>
        <w:widowControl/>
        <w:spacing w:before="0" w:after="0"/>
        <w:ind w:firstLine="709"/>
        <w:contextualSpacing/>
        <w:jc w:val="both"/>
        <w:rPr>
          <w:sz w:val="24"/>
          <w:szCs w:val="24"/>
        </w:rPr>
      </w:pPr>
      <w:r>
        <w:rPr>
          <w:rFonts w:cs="Times New Roman"/>
          <w:color w:themeColor="dark1" w:val="000000"/>
          <w:sz w:val="24"/>
          <w:szCs w:val="24"/>
        </w:rPr>
        <w:t>Исполнять иные обязанности, предусмотренные действующим законодательством Российской Федерации и Контрактом.</w:t>
      </w:r>
    </w:p>
    <w:p>
      <w:pPr>
        <w:pStyle w:val="Normal"/>
        <w:spacing w:before="0" w:after="0"/>
        <w:ind w:firstLine="709" w:left="0" w:right="0"/>
        <w:rPr>
          <w:sz w:val="24"/>
          <w:szCs w:val="24"/>
        </w:rPr>
      </w:pPr>
      <w:r>
        <w:rPr>
          <w:sz w:val="24"/>
          <w:szCs w:val="24"/>
        </w:rPr>
      </w:r>
    </w:p>
    <w:p>
      <w:pPr>
        <w:pStyle w:val="Normal"/>
        <w:spacing w:before="0" w:after="0"/>
        <w:ind w:firstLine="709" w:left="0" w:right="0"/>
        <w:rPr>
          <w:sz w:val="24"/>
          <w:szCs w:val="24"/>
        </w:rPr>
      </w:pPr>
      <w:r>
        <w:rPr>
          <w:b/>
          <w:i w:val="false"/>
          <w:iCs w:val="false"/>
          <w:sz w:val="24"/>
          <w:szCs w:val="24"/>
        </w:rPr>
        <w:t>3.5. Обязанности Сторон:</w:t>
      </w:r>
    </w:p>
    <w:p>
      <w:pPr>
        <w:pStyle w:val="Normal"/>
        <w:spacing w:before="0" w:after="0"/>
        <w:ind w:firstLine="709" w:left="0" w:right="0"/>
        <w:rPr>
          <w:sz w:val="24"/>
          <w:szCs w:val="24"/>
        </w:rPr>
      </w:pPr>
      <w:r>
        <w:rPr>
          <w:i w:val="false"/>
          <w:iCs w:val="false"/>
          <w:sz w:val="24"/>
          <w:szCs w:val="24"/>
        </w:rPr>
        <w:t>3.6. В течение срока действия настоящего контракта и после его окончания каждая Сторона не должна раскрывать перед третьими лицами никакой информации, имеющей конфиденциальный характер, которая стала известна Сторонам в связи с исполнением настоящего Контракта, без предварительного письменного согласия другой Стороны.</w:t>
      </w:r>
    </w:p>
    <w:p>
      <w:pPr>
        <w:pStyle w:val="Normal"/>
        <w:suppressLineNumbers w:val="0"/>
        <w:spacing w:lineRule="auto" w:line="240" w:before="0" w:after="0"/>
        <w:ind w:firstLine="709" w:left="0" w:right="0"/>
        <w:jc w:val="both"/>
        <w:rPr/>
      </w:pPr>
      <w:r>
        <w:rPr>
          <w:i w:val="false"/>
          <w:iCs w:val="false"/>
          <w:sz w:val="24"/>
          <w:szCs w:val="24"/>
          <w:u w:val="none"/>
        </w:rPr>
        <w:t xml:space="preserve">3.7. Исполнитель подтверждает своё соответствие следующим единым требованиям, установленным чч..1-1.1 ст. 31 </w:t>
      </w:r>
      <w:r>
        <w:rPr>
          <w:rStyle w:val="FontStyle20"/>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i w:val="false"/>
          <w:iCs w:val="false"/>
          <w:sz w:val="24"/>
          <w:szCs w:val="24"/>
          <w:u w:val="none"/>
        </w:rPr>
        <w:t>:</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не ликвидируется;</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отсутствует решение арбитражного суда о признании Исполнителя (</w:t>
      </w:r>
      <w:r>
        <w:rPr>
          <w:rFonts w:eastAsia="Calibri"/>
          <w:bCs/>
          <w:i w:val="false"/>
          <w:iCs w:val="false"/>
          <w:sz w:val="24"/>
          <w:szCs w:val="24"/>
        </w:rPr>
        <w:t>юридического лица или индивидуального предпринимателя) несостоятельным (банкротом) и об открытии конкурсного производства</w:t>
      </w:r>
      <w:r>
        <w:rPr>
          <w:rFonts w:eastAsia="Calibri"/>
          <w:i w:val="false"/>
          <w:iCs w:val="false"/>
          <w:sz w:val="24"/>
          <w:szCs w:val="24"/>
        </w:rPr>
        <w:t>;</w:t>
      </w:r>
    </w:p>
    <w:p>
      <w:pPr>
        <w:pStyle w:val="Normal"/>
        <w:tabs>
          <w:tab w:val="clear" w:pos="708"/>
          <w:tab w:val="left" w:pos="540" w:leader="none"/>
        </w:tabs>
        <w:spacing w:before="0" w:after="0"/>
        <w:ind w:firstLine="709" w:left="0" w:right="0"/>
        <w:rPr/>
      </w:pPr>
      <w:r>
        <w:rPr>
          <w:rFonts w:eastAsia="Calibri"/>
          <w:i w:val="false"/>
          <w:iCs w:val="false"/>
          <w:sz w:val="24"/>
          <w:szCs w:val="24"/>
        </w:rPr>
        <w:t xml:space="preserve">- деятельность Исполнителя не приостановлена в порядке, предусмотренном </w:t>
      </w:r>
      <w:hyperlink r:id="rId2">
        <w:r>
          <w:rPr>
            <w:rStyle w:val="Style"/>
            <w:rFonts w:eastAsia="Calibri"/>
            <w:i w:val="false"/>
            <w:iCs w:val="false"/>
            <w:sz w:val="24"/>
            <w:szCs w:val="24"/>
          </w:rPr>
          <w:t>Кодексом</w:t>
        </w:r>
      </w:hyperlink>
      <w:r>
        <w:rPr>
          <w:rFonts w:eastAsia="Calibri"/>
          <w:i w:val="false"/>
          <w:iCs w:val="false"/>
          <w:sz w:val="24"/>
          <w:szCs w:val="24"/>
        </w:rPr>
        <w:t xml:space="preserve"> РФ об административных правонарушениях;</w:t>
      </w:r>
    </w:p>
    <w:p>
      <w:pPr>
        <w:pStyle w:val="Normal"/>
        <w:tabs>
          <w:tab w:val="clear" w:pos="708"/>
          <w:tab w:val="left" w:pos="540" w:leader="none"/>
        </w:tabs>
        <w:spacing w:before="0" w:after="0"/>
        <w:ind w:firstLine="709" w:left="0" w:right="0"/>
        <w:rPr/>
      </w:pPr>
      <w:r>
        <w:rPr>
          <w:rFonts w:eastAsia="Calibri"/>
          <w:i w:val="false"/>
          <w:iCs w:val="false"/>
          <w:sz w:val="24"/>
          <w:szCs w:val="24"/>
        </w:rPr>
        <w:t xml:space="preserve">- у Исполнителя-физлица, у руководителя, членов коллегиального исполнительного органа, лица, исполняющего функции единоличного исполнительного органа, главного бухгалтера Исполнителя нет судимости (она снята, погашена) за преступления в сфере экономики и (или) преступления, предусмотренные </w:t>
      </w:r>
      <w:hyperlink r:id="rId3">
        <w:r>
          <w:rPr>
            <w:rStyle w:val="Style"/>
            <w:rFonts w:eastAsia="Calibri"/>
            <w:i w:val="false"/>
            <w:iCs w:val="false"/>
            <w:sz w:val="24"/>
            <w:szCs w:val="24"/>
          </w:rPr>
          <w:t>ст. ст. 289</w:t>
        </w:r>
      </w:hyperlink>
      <w:r>
        <w:rPr>
          <w:rFonts w:eastAsia="Calibri"/>
          <w:i w:val="false"/>
          <w:iCs w:val="false"/>
          <w:sz w:val="24"/>
          <w:szCs w:val="24"/>
        </w:rPr>
        <w:t xml:space="preserve">, </w:t>
      </w:r>
      <w:hyperlink r:id="rId4">
        <w:r>
          <w:rPr>
            <w:rStyle w:val="Style"/>
            <w:rFonts w:eastAsia="Calibri"/>
            <w:i w:val="false"/>
            <w:iCs w:val="false"/>
            <w:sz w:val="24"/>
            <w:szCs w:val="24"/>
          </w:rPr>
          <w:t>290</w:t>
        </w:r>
      </w:hyperlink>
      <w:r>
        <w:rPr>
          <w:rFonts w:eastAsia="Calibri"/>
          <w:i w:val="false"/>
          <w:iCs w:val="false"/>
          <w:sz w:val="24"/>
          <w:szCs w:val="24"/>
        </w:rPr>
        <w:t xml:space="preserve">, </w:t>
      </w:r>
      <w:hyperlink r:id="rId5">
        <w:r>
          <w:rPr>
            <w:rStyle w:val="Style"/>
            <w:rFonts w:eastAsia="Calibri"/>
            <w:i w:val="false"/>
            <w:iCs w:val="false"/>
            <w:sz w:val="24"/>
            <w:szCs w:val="24"/>
          </w:rPr>
          <w:t>291</w:t>
        </w:r>
      </w:hyperlink>
      <w:r>
        <w:rPr>
          <w:rFonts w:eastAsia="Calibri"/>
          <w:i w:val="false"/>
          <w:iCs w:val="false"/>
          <w:sz w:val="24"/>
          <w:szCs w:val="24"/>
        </w:rPr>
        <w:t xml:space="preserve">, </w:t>
      </w:r>
      <w:hyperlink r:id="rId6">
        <w:r>
          <w:rPr>
            <w:rStyle w:val="Style"/>
            <w:rFonts w:eastAsia="Calibri"/>
            <w:i w:val="false"/>
            <w:iCs w:val="false"/>
            <w:sz w:val="24"/>
            <w:szCs w:val="24"/>
          </w:rPr>
          <w:t>291.1</w:t>
        </w:r>
      </w:hyperlink>
      <w:r>
        <w:rPr>
          <w:rFonts w:eastAsia="Calibri"/>
          <w:i w:val="false"/>
          <w:iCs w:val="false"/>
          <w:sz w:val="24"/>
          <w:szCs w:val="24"/>
        </w:rPr>
        <w:t xml:space="preserve"> УК РФ, такое лицо не дисквалифицировано и не лишено права занимать определенные должности (заниматься определенной деятельностью), которые связаны с оказанием услуг, являющихся объектом закупки;</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Исполнитель-юрлицо не был оштрафован за незаконное вознаграждение от своего имени в течение двух лет до подачи заявки на участие в закупке;</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между Заказчиком и Исполнителем нет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Исполнителя,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tabs>
          <w:tab w:val="clear" w:pos="708"/>
          <w:tab w:val="left" w:pos="540" w:leader="none"/>
        </w:tabs>
        <w:spacing w:before="0" w:after="0"/>
        <w:ind w:firstLine="709" w:left="0" w:right="0"/>
        <w:rPr>
          <w:sz w:val="24"/>
          <w:szCs w:val="24"/>
        </w:rPr>
      </w:pPr>
      <w:r>
        <w:rPr>
          <w:rFonts w:eastAsia="Calibri"/>
          <w:i w:val="false"/>
          <w:iCs w:val="false"/>
          <w:sz w:val="24"/>
          <w:szCs w:val="24"/>
        </w:rPr>
        <w:t>- Исполнитель не является офшорной компанией, такая компания не входит в состав участников (членов) участника - корпоративного юрлица или в состав учредителей участника - унитарного юрлица, офшорных компаний нет в числе лиц, владеющих напрямую или косвенно (через юрлицо или через несколько юрлиц) более чем 10% голосующих акций участника-юрлица либо долей, превышающей 10% в его уставном (складочном) капитале;</w:t>
      </w:r>
    </w:p>
    <w:p>
      <w:pPr>
        <w:pStyle w:val="Normal"/>
        <w:tabs>
          <w:tab w:val="clear" w:pos="708"/>
          <w:tab w:val="left" w:pos="540" w:leader="none"/>
        </w:tabs>
        <w:spacing w:before="0" w:after="0"/>
        <w:ind w:firstLine="709" w:left="0" w:right="0"/>
        <w:rPr/>
      </w:pPr>
      <w:r>
        <w:rPr>
          <w:rFonts w:eastAsia="Calibri"/>
          <w:bCs/>
          <w:i w:val="false"/>
          <w:iCs w:val="false"/>
          <w:sz w:val="24"/>
          <w:szCs w:val="24"/>
        </w:rPr>
        <w:t>- отсутствие в реестре недобросовестных поставщиков (подрядчиков, исполнителей) информации об Исполнителе,</w:t>
      </w:r>
      <w:r>
        <w:rPr>
          <w:rFonts w:eastAsia="Calibri"/>
          <w:bCs/>
          <w:i w:val="false"/>
          <w:iCs w:val="false"/>
          <w:color w:val="auto"/>
          <w:sz w:val="24"/>
          <w:szCs w:val="24"/>
        </w:rPr>
        <w:t xml:space="preserve"> в том числе информации о лицах, указанных в </w:t>
      </w:r>
      <w:hyperlink r:id="rId7">
        <w:r>
          <w:rPr>
            <w:rStyle w:val="Style"/>
            <w:rFonts w:eastAsia="Calibri"/>
            <w:bCs/>
            <w:i w:val="false"/>
            <w:iCs w:val="false"/>
            <w:color w:val="auto"/>
            <w:sz w:val="24"/>
            <w:szCs w:val="24"/>
          </w:rPr>
          <w:t>пунктах 2</w:t>
        </w:r>
      </w:hyperlink>
      <w:r>
        <w:rPr>
          <w:rFonts w:eastAsia="Calibri"/>
          <w:bCs/>
          <w:i w:val="false"/>
          <w:iCs w:val="false"/>
          <w:color w:val="auto"/>
          <w:sz w:val="24"/>
          <w:szCs w:val="24"/>
        </w:rPr>
        <w:t xml:space="preserve"> и </w:t>
      </w:r>
      <w:hyperlink r:id="rId8">
        <w:r>
          <w:rPr>
            <w:rStyle w:val="Style"/>
            <w:rFonts w:eastAsia="Calibri"/>
            <w:bCs/>
            <w:i w:val="false"/>
            <w:iCs w:val="false"/>
            <w:color w:val="auto"/>
            <w:sz w:val="24"/>
            <w:szCs w:val="24"/>
          </w:rPr>
          <w:t>3 части 3 статьи 104</w:t>
        </w:r>
      </w:hyperlink>
      <w:r>
        <w:rPr>
          <w:rFonts w:eastAsia="Calibri"/>
          <w:bCs/>
          <w:i w:val="false"/>
          <w:iCs w:val="false"/>
          <w:color w:val="auto"/>
          <w:sz w:val="24"/>
          <w:szCs w:val="24"/>
        </w:rPr>
        <w:t xml:space="preserve"> </w:t>
      </w:r>
      <w:r>
        <w:rPr>
          <w:rStyle w:val="FontStyle20"/>
          <w:color w:val="auto"/>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rFonts w:eastAsia="Calibri"/>
          <w:bCs/>
          <w:i w:val="false"/>
          <w:iCs w:val="false"/>
          <w:color w:val="auto"/>
          <w:sz w:val="24"/>
          <w:szCs w:val="24"/>
        </w:rPr>
        <w:t>.</w:t>
      </w:r>
    </w:p>
    <w:p>
      <w:pPr>
        <w:pStyle w:val="Normal"/>
        <w:spacing w:before="0" w:after="0"/>
        <w:rPr>
          <w:sz w:val="24"/>
          <w:szCs w:val="24"/>
        </w:rPr>
      </w:pPr>
      <w:r>
        <w:rPr>
          <w:sz w:val="24"/>
          <w:szCs w:val="24"/>
        </w:rPr>
      </w:r>
    </w:p>
    <w:p>
      <w:pPr>
        <w:pStyle w:val="Normal"/>
        <w:suppressLineNumbers w:val="0"/>
        <w:spacing w:lineRule="auto" w:line="240" w:before="0" w:after="0"/>
        <w:jc w:val="center"/>
        <w:rPr>
          <w:sz w:val="24"/>
          <w:szCs w:val="24"/>
        </w:rPr>
      </w:pPr>
      <w:r>
        <w:rPr>
          <w:b/>
          <w:sz w:val="24"/>
          <w:szCs w:val="24"/>
        </w:rPr>
        <w:t>4. Порядок оказания Услуг</w:t>
      </w:r>
    </w:p>
    <w:p>
      <w:pPr>
        <w:pStyle w:val="Normal"/>
        <w:suppressLineNumbers w:val="0"/>
        <w:spacing w:lineRule="auto" w:line="240" w:before="0" w:after="0"/>
        <w:ind w:firstLine="709" w:left="0" w:right="0"/>
        <w:jc w:val="left"/>
        <w:rPr>
          <w:sz w:val="24"/>
          <w:szCs w:val="24"/>
        </w:rPr>
      </w:pPr>
      <w:r>
        <w:rPr>
          <w:color w:val="000000"/>
          <w:sz w:val="24"/>
          <w:szCs w:val="24"/>
        </w:rPr>
        <w:t>3.1. Исполнитель оказывает услуги в соответствии с Техническим заданием (Приложение №1).</w:t>
      </w:r>
    </w:p>
    <w:p>
      <w:pPr>
        <w:pStyle w:val="Normal"/>
        <w:spacing w:before="0" w:after="0"/>
        <w:jc w:val="center"/>
        <w:rPr>
          <w:b/>
          <w:bCs/>
          <w:sz w:val="24"/>
          <w:szCs w:val="24"/>
        </w:rPr>
      </w:pPr>
      <w:r>
        <w:rPr>
          <w:b/>
          <w:bCs/>
          <w:sz w:val="24"/>
          <w:szCs w:val="24"/>
        </w:rPr>
      </w:r>
    </w:p>
    <w:p>
      <w:pPr>
        <w:pStyle w:val="Normal"/>
        <w:spacing w:before="0" w:after="0"/>
        <w:jc w:val="center"/>
        <w:rPr>
          <w:sz w:val="24"/>
          <w:szCs w:val="24"/>
        </w:rPr>
      </w:pPr>
      <w:r>
        <w:rPr>
          <w:b/>
          <w:sz w:val="24"/>
          <w:szCs w:val="24"/>
        </w:rPr>
        <w:t>5. Порядок сдачи-приемки оказанных услуг</w:t>
      </w:r>
    </w:p>
    <w:p>
      <w:pPr>
        <w:pStyle w:val="Normal"/>
        <w:spacing w:before="0" w:after="0"/>
        <w:ind w:firstLine="709" w:left="0" w:right="0"/>
        <w:rPr>
          <w:sz w:val="24"/>
          <w:szCs w:val="24"/>
        </w:rPr>
      </w:pPr>
      <w:r>
        <w:rPr>
          <w:sz w:val="24"/>
          <w:szCs w:val="24"/>
        </w:rPr>
        <w:t xml:space="preserve">5.1. Оказанные Исполнителем услуги принимаются Заказчиком после их исполнения, и оформляется актом </w:t>
      </w:r>
      <w:r>
        <w:rPr>
          <w:rFonts w:eastAsia="Times New Roman" w:cs="Times New Roman"/>
          <w:color w:val="000000"/>
          <w:sz w:val="24"/>
          <w:szCs w:val="24"/>
        </w:rPr>
        <w:t xml:space="preserve">приемки-передачи </w:t>
      </w:r>
      <w:r>
        <w:rPr>
          <w:sz w:val="24"/>
          <w:szCs w:val="24"/>
        </w:rPr>
        <w:t>оказанных услуг.</w:t>
      </w:r>
    </w:p>
    <w:p>
      <w:pPr>
        <w:pStyle w:val="Normal"/>
        <w:spacing w:before="0" w:after="0"/>
        <w:ind w:firstLine="709" w:left="0" w:right="0"/>
        <w:rPr>
          <w:sz w:val="24"/>
          <w:szCs w:val="24"/>
        </w:rPr>
      </w:pPr>
      <w:r>
        <w:rPr>
          <w:sz w:val="24"/>
          <w:szCs w:val="24"/>
        </w:rPr>
        <w:t>5.2. Факт предоставляемые права по ПО Исполнителем и их получения их Заказчиком должен быть подтвержден актом о передача права. Факт передачи дистрибутива Исполнителем и получения их Заказчиком должен быть подтвержден товарной накладной. Факт оказания услуг Исполнителем пол установке и настройке ПО Заказчика должен быть подтвержден актом оказанных услуг.</w:t>
      </w:r>
    </w:p>
    <w:p>
      <w:pPr>
        <w:pStyle w:val="Normal"/>
        <w:spacing w:before="0" w:after="0"/>
        <w:ind w:firstLine="709" w:left="0" w:right="0"/>
        <w:rPr>
          <w:sz w:val="24"/>
          <w:szCs w:val="24"/>
        </w:rPr>
      </w:pPr>
      <w:r>
        <w:rPr>
          <w:sz w:val="24"/>
          <w:szCs w:val="24"/>
        </w:rPr>
        <w:t xml:space="preserve">5.3. В течение 1 (одного) рабочего дня после оказания услуг Исполнитель представляет подписанный со своей стороны акт </w:t>
      </w:r>
      <w:r>
        <w:rPr>
          <w:rFonts w:eastAsia="Times New Roman" w:cs="Times New Roman"/>
          <w:color w:val="000000"/>
          <w:sz w:val="24"/>
          <w:szCs w:val="24"/>
        </w:rPr>
        <w:t xml:space="preserve">приемки-передачи </w:t>
      </w:r>
      <w:r>
        <w:rPr>
          <w:sz w:val="24"/>
          <w:szCs w:val="24"/>
        </w:rPr>
        <w:t>оказанных услуг.</w:t>
      </w:r>
    </w:p>
    <w:p>
      <w:pPr>
        <w:pStyle w:val="Normal"/>
        <w:spacing w:before="0" w:after="0"/>
        <w:ind w:firstLine="709" w:left="0" w:right="0"/>
        <w:rPr>
          <w:sz w:val="24"/>
          <w:szCs w:val="24"/>
        </w:rPr>
      </w:pPr>
      <w:r>
        <w:rPr>
          <w:sz w:val="24"/>
          <w:szCs w:val="24"/>
        </w:rPr>
        <w:t>5.4. Заказчик не позднее 1 (одного) рабочего дня после получения от Исполнителя документов, указанных в п. 4.3 Контракта,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pPr>
        <w:pStyle w:val="Style29"/>
        <w:ind w:firstLine="709" w:left="0" w:right="0"/>
        <w:rPr>
          <w:sz w:val="24"/>
          <w:szCs w:val="24"/>
        </w:rPr>
      </w:pPr>
      <w:r>
        <w:rPr>
          <w:sz w:val="24"/>
          <w:szCs w:val="24"/>
        </w:rPr>
        <w:t xml:space="preserve">5.5. Заказчик в течение 3 (трех) рабочих дней со дня получения от Исполнителя акта приемки оказанных Услуг обязан направить Исполнителю один экземпляр подписанного акта приемки оказанных Услуг 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п.11.1 настоящего Контракта. </w:t>
      </w:r>
    </w:p>
    <w:p>
      <w:pPr>
        <w:pStyle w:val="Style29"/>
        <w:ind w:firstLine="709" w:left="0" w:right="0"/>
        <w:rPr>
          <w:sz w:val="24"/>
          <w:szCs w:val="24"/>
        </w:rPr>
      </w:pPr>
      <w:r>
        <w:rPr>
          <w:sz w:val="24"/>
          <w:szCs w:val="24"/>
        </w:rPr>
        <w:t xml:space="preserve">5.6.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w:t>
      </w:r>
      <w:r>
        <w:rPr>
          <w:rFonts w:eastAsia="Times New Roman" w:cs="Times New Roman"/>
          <w:color w:val="000000"/>
          <w:sz w:val="24"/>
          <w:szCs w:val="24"/>
        </w:rPr>
        <w:t>приемки-передачи</w:t>
      </w:r>
      <w:r>
        <w:rPr>
          <w:sz w:val="24"/>
          <w:szCs w:val="24"/>
        </w:rPr>
        <w:t xml:space="preserve"> оказанных Услуг Заказчик подписывает в течение 2 (двух) рабочих дней после устранения Исполнителем указанных недостатков.</w:t>
      </w:r>
    </w:p>
    <w:p>
      <w:pPr>
        <w:pStyle w:val="Style29"/>
        <w:ind w:firstLine="709" w:left="0" w:right="0"/>
        <w:rPr>
          <w:sz w:val="24"/>
          <w:szCs w:val="24"/>
        </w:rPr>
      </w:pPr>
      <w:r>
        <w:rPr>
          <w:sz w:val="24"/>
          <w:szCs w:val="24"/>
        </w:rPr>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pPr>
        <w:pStyle w:val="Normal"/>
        <w:spacing w:before="0" w:after="0"/>
        <w:rPr>
          <w:sz w:val="24"/>
          <w:szCs w:val="24"/>
          <w:highlight w:val="none"/>
        </w:rPr>
      </w:pPr>
      <w:r>
        <w:rPr>
          <w:sz w:val="24"/>
          <w:szCs w:val="24"/>
        </w:rPr>
      </w:r>
    </w:p>
    <w:p>
      <w:pPr>
        <w:pStyle w:val="Normal"/>
        <w:suppressLineNumbers w:val="0"/>
        <w:spacing w:lineRule="auto" w:line="240" w:before="0" w:after="0"/>
        <w:jc w:val="center"/>
        <w:rPr>
          <w:sz w:val="24"/>
          <w:szCs w:val="24"/>
        </w:rPr>
      </w:pPr>
      <w:r>
        <w:rPr>
          <w:b/>
          <w:sz w:val="24"/>
          <w:szCs w:val="24"/>
        </w:rPr>
        <w:t>6. Гарантии</w:t>
      </w:r>
    </w:p>
    <w:p>
      <w:pPr>
        <w:pStyle w:val="Normal"/>
        <w:suppressLineNumbers w:val="0"/>
        <w:spacing w:lineRule="auto" w:line="240" w:before="0" w:after="0"/>
        <w:ind w:firstLine="709" w:left="0" w:right="0"/>
        <w:jc w:val="both"/>
        <w:rPr>
          <w:sz w:val="24"/>
          <w:szCs w:val="24"/>
        </w:rPr>
      </w:pPr>
      <w:r>
        <w:rPr>
          <w:sz w:val="24"/>
          <w:szCs w:val="24"/>
        </w:rPr>
        <w:t>6.1. Исполнитель гарантирует, что оказываемые Услуги соответствуют требованиям, установленным в настоящем Контракте, обязательным нормам и правилам, регулирующим данную деятельность (ГОСТ, СНиП, ПУЭ, ТУ), а также иным требованиям законодательства Российской Федерации, действующим на момент оказания Услуг.</w:t>
      </w:r>
    </w:p>
    <w:p>
      <w:pPr>
        <w:pStyle w:val="Normal"/>
        <w:suppressLineNumbers w:val="0"/>
        <w:spacing w:lineRule="auto" w:line="240" w:before="0" w:after="0"/>
        <w:ind w:firstLine="709" w:left="0" w:right="0"/>
        <w:jc w:val="both"/>
        <w:rPr>
          <w:sz w:val="24"/>
          <w:szCs w:val="24"/>
        </w:rPr>
      </w:pPr>
      <w:r>
        <w:rPr>
          <w:sz w:val="24"/>
          <w:szCs w:val="24"/>
        </w:rPr>
        <w:t xml:space="preserve">6.2. </w:t>
      </w:r>
      <w:r>
        <w:rPr>
          <w:rFonts w:cs="Times New Roman"/>
          <w:color w:themeColor="dark1" w:val="000000"/>
          <w:sz w:val="24"/>
          <w:szCs w:val="24"/>
        </w:rPr>
        <w:t xml:space="preserve">Срок гарантии на результат оказанных услуг  составляет </w:t>
      </w:r>
      <w:r>
        <w:rPr>
          <w:rFonts w:cs="Times New Roman"/>
          <w:sz w:val="24"/>
          <w:szCs w:val="24"/>
        </w:rPr>
        <w:t xml:space="preserve">не менее 12 месяцев. </w:t>
      </w:r>
      <w:r>
        <w:rPr>
          <w:rFonts w:cs="Times New Roman"/>
          <w:color w:themeColor="dark1" w:val="000000"/>
          <w:sz w:val="24"/>
          <w:szCs w:val="24"/>
        </w:rPr>
        <w:t>Гарантийный срок начинает течь с момента подписания Сторонами документа о приемке.  Гарантия должна распространяться на весь объем услуг.</w:t>
      </w:r>
    </w:p>
    <w:p>
      <w:pPr>
        <w:pStyle w:val="Normal"/>
        <w:suppressLineNumbers w:val="0"/>
        <w:spacing w:lineRule="auto" w:line="240" w:before="0" w:after="0"/>
        <w:ind w:firstLine="283" w:left="0" w:right="0"/>
        <w:jc w:val="left"/>
        <w:rPr>
          <w:b/>
          <w:bCs/>
          <w:sz w:val="24"/>
          <w:szCs w:val="24"/>
          <w:highlight w:val="none"/>
        </w:rPr>
      </w:pPr>
      <w:r>
        <w:rPr>
          <w:b/>
          <w:bCs/>
          <w:sz w:val="24"/>
          <w:szCs w:val="24"/>
        </w:rPr>
      </w:r>
    </w:p>
    <w:p>
      <w:pPr>
        <w:pStyle w:val="Normal"/>
        <w:suppressLineNumbers w:val="0"/>
        <w:spacing w:lineRule="auto" w:line="240" w:before="0" w:after="0"/>
        <w:ind w:firstLine="283" w:left="0" w:right="0"/>
        <w:jc w:val="center"/>
        <w:rPr>
          <w:sz w:val="24"/>
          <w:szCs w:val="24"/>
        </w:rPr>
      </w:pPr>
      <w:r>
        <w:rPr>
          <w:b/>
          <w:sz w:val="24"/>
          <w:szCs w:val="24"/>
        </w:rPr>
        <w:t>7. Ответственность Сторон</w:t>
      </w:r>
    </w:p>
    <w:p>
      <w:pPr>
        <w:pStyle w:val="Normal"/>
        <w:widowControl w:val="false"/>
        <w:spacing w:before="0" w:after="0"/>
        <w:ind w:firstLine="709" w:left="0" w:right="0"/>
        <w:jc w:val="both"/>
        <w:rPr>
          <w:sz w:val="24"/>
          <w:szCs w:val="24"/>
        </w:rPr>
      </w:pPr>
      <w:r>
        <w:rPr>
          <w:rFonts w:cs="Times New Roman"/>
          <w:sz w:val="24"/>
          <w:szCs w:val="24"/>
        </w:rPr>
        <w:t>7.1.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widowControl w:val="false"/>
        <w:spacing w:before="0" w:after="0"/>
        <w:ind w:firstLine="709" w:left="0" w:right="0"/>
        <w:jc w:val="both"/>
        <w:rPr>
          <w:sz w:val="24"/>
          <w:szCs w:val="24"/>
        </w:rPr>
      </w:pPr>
      <w:r>
        <w:rPr>
          <w:rFonts w:cs="Times New Roman"/>
          <w:sz w:val="24"/>
          <w:szCs w:val="24"/>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spacing w:before="0" w:after="0"/>
        <w:ind w:firstLine="709" w:left="0" w:right="0"/>
        <w:jc w:val="both"/>
        <w:rPr>
          <w:sz w:val="24"/>
          <w:szCs w:val="24"/>
        </w:rPr>
      </w:pPr>
      <w:r>
        <w:rPr>
          <w:rFonts w:cs="Times New Roman"/>
          <w:iCs/>
          <w:sz w:val="24"/>
          <w:szCs w:val="24"/>
        </w:rPr>
        <w:t>7.3.</w:t>
      </w:r>
      <w:r>
        <w:rPr>
          <w:rFonts w:cs="Times New Roman"/>
          <w:i/>
          <w:iCs/>
          <w:sz w:val="24"/>
          <w:szCs w:val="24"/>
        </w:rPr>
        <w:t xml:space="preserve"> </w:t>
      </w:r>
      <w:r>
        <w:rPr>
          <w:rFonts w:cs="Times New Roman"/>
          <w:sz w:val="24"/>
          <w:szCs w:val="24"/>
        </w:rPr>
        <w:t>Штрафы начисляются за неисполнение или ненадлежащее исполнение обязательств, предусмотренных Контрактом, за исключением просрочки исполнения Исполнителем обязательств, предусмотренных Контрактом.</w:t>
      </w:r>
    </w:p>
    <w:p>
      <w:pPr>
        <w:pStyle w:val="Normal"/>
        <w:widowControl w:val="false"/>
        <w:spacing w:before="0" w:after="0"/>
        <w:ind w:firstLine="709" w:left="0" w:right="0"/>
        <w:jc w:val="both"/>
        <w:rPr>
          <w:sz w:val="24"/>
          <w:szCs w:val="24"/>
        </w:rPr>
      </w:pPr>
      <w:r>
        <w:rPr>
          <w:rFonts w:cs="Times New Roman"/>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№1042 и рассчитывается как процент цены Контракта,        в размере 10 процентов от цены контракта.</w:t>
      </w:r>
      <w:r>
        <w:rPr>
          <w:rFonts w:cs="Times New Roman"/>
          <w:sz w:val="24"/>
          <w:szCs w:val="24"/>
          <w:vertAlign w:val="superscript"/>
        </w:rPr>
        <w:t xml:space="preserve"> </w:t>
      </w:r>
    </w:p>
    <w:p>
      <w:pPr>
        <w:pStyle w:val="Normal"/>
        <w:tabs>
          <w:tab w:val="clear" w:pos="708"/>
          <w:tab w:val="left" w:pos="0" w:leader="none"/>
          <w:tab w:val="left" w:pos="993" w:leader="none"/>
          <w:tab w:val="left" w:pos="1134" w:leader="none"/>
        </w:tabs>
        <w:spacing w:before="0" w:after="0"/>
        <w:ind w:firstLine="709" w:left="0" w:right="0"/>
        <w:jc w:val="both"/>
        <w:rPr>
          <w:sz w:val="24"/>
          <w:szCs w:val="24"/>
        </w:rPr>
      </w:pPr>
      <w:r>
        <w:rPr>
          <w:rFonts w:cs="Times New Roman"/>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left="0" w:right="0"/>
        <w:jc w:val="both"/>
        <w:rPr>
          <w:sz w:val="24"/>
          <w:szCs w:val="24"/>
        </w:rPr>
      </w:pPr>
      <w:r>
        <w:rPr>
          <w:rFonts w:cs="Times New Roman"/>
          <w:sz w:val="24"/>
          <w:szCs w:val="24"/>
          <w:lang w:eastAsia="ru-RU"/>
        </w:rPr>
        <w:t>а) 1000 рублей, если цена Контракта не превышает 3 млн. рублей;</w:t>
      </w:r>
    </w:p>
    <w:p>
      <w:pPr>
        <w:pStyle w:val="Normal"/>
        <w:spacing w:before="0" w:after="0"/>
        <w:ind w:firstLine="709" w:left="0" w:right="0"/>
        <w:jc w:val="both"/>
        <w:rPr>
          <w:sz w:val="24"/>
          <w:szCs w:val="24"/>
        </w:rPr>
      </w:pPr>
      <w:r>
        <w:rPr>
          <w:rFonts w:cs="Times New Roman"/>
          <w:sz w:val="24"/>
          <w:szCs w:val="24"/>
          <w:lang w:eastAsia="ru-RU"/>
        </w:rPr>
        <w:t>б) 5000 рублей, если цена Контракта составляет от 3 млн. рублей до 50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в) 10000 рублей, если цена Контракта составляет от 50 млн. рублей до 100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г) 100000 рублей, если цена Контракта превышает 100 млн. рублей.</w:t>
      </w:r>
    </w:p>
    <w:p>
      <w:pPr>
        <w:pStyle w:val="Normal"/>
        <w:widowControl w:val="false"/>
        <w:spacing w:before="0" w:after="0"/>
        <w:ind w:firstLine="709" w:left="0" w:right="0"/>
        <w:jc w:val="both"/>
        <w:rPr>
          <w:sz w:val="24"/>
          <w:szCs w:val="24"/>
        </w:rPr>
      </w:pPr>
      <w:r>
        <w:rPr>
          <w:rFonts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7.5. 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widowControl w:val="false"/>
        <w:tabs>
          <w:tab w:val="clear" w:pos="708"/>
          <w:tab w:val="left" w:pos="1134" w:leader="none"/>
        </w:tabs>
        <w:spacing w:before="0" w:after="0"/>
        <w:ind w:firstLine="709" w:left="0" w:right="0"/>
        <w:jc w:val="both"/>
        <w:rPr>
          <w:sz w:val="24"/>
          <w:szCs w:val="24"/>
        </w:rPr>
      </w:pPr>
      <w:r>
        <w:rPr>
          <w:rFonts w:cs="Times New Roman"/>
          <w:sz w:val="24"/>
          <w:szCs w:val="24"/>
        </w:rPr>
        <w:t>7.7. 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№1042, в размере, составляющем:</w:t>
      </w:r>
    </w:p>
    <w:p>
      <w:pPr>
        <w:pStyle w:val="Normal"/>
        <w:spacing w:before="0" w:after="0"/>
        <w:ind w:firstLine="709" w:left="0" w:right="0"/>
        <w:jc w:val="both"/>
        <w:rPr>
          <w:sz w:val="24"/>
          <w:szCs w:val="24"/>
        </w:rPr>
      </w:pPr>
      <w:r>
        <w:rPr>
          <w:rFonts w:cs="Times New Roman"/>
          <w:sz w:val="24"/>
          <w:szCs w:val="24"/>
          <w:lang w:eastAsia="ru-RU"/>
        </w:rPr>
        <w:t>а) 1000 рублей, если цена Контракта не превышает 3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б) 5000 рублей, если цена Контракта составляет от 3 млн. рублей до 50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в) 10000 рублей, если цена Контракта составляет от 50 млн. рублей до 100 млн. рублей (включительно);</w:t>
      </w:r>
    </w:p>
    <w:p>
      <w:pPr>
        <w:pStyle w:val="Normal"/>
        <w:spacing w:before="0" w:after="0"/>
        <w:ind w:firstLine="709" w:left="0" w:right="0"/>
        <w:jc w:val="both"/>
        <w:rPr>
          <w:sz w:val="24"/>
          <w:szCs w:val="24"/>
        </w:rPr>
      </w:pPr>
      <w:r>
        <w:rPr>
          <w:rFonts w:cs="Times New Roman"/>
          <w:sz w:val="24"/>
          <w:szCs w:val="24"/>
          <w:lang w:eastAsia="ru-RU"/>
        </w:rPr>
        <w:t>г) 100000 рублей, если цена Контракта превышает 100 млн. рублей.</w:t>
      </w:r>
    </w:p>
    <w:p>
      <w:pPr>
        <w:pStyle w:val="Normal"/>
        <w:widowControl w:val="false"/>
        <w:spacing w:before="0" w:after="0"/>
        <w:ind w:firstLine="709" w:left="0" w:right="0"/>
        <w:jc w:val="both"/>
        <w:rPr>
          <w:sz w:val="24"/>
          <w:szCs w:val="24"/>
        </w:rPr>
      </w:pPr>
      <w:r>
        <w:rPr>
          <w:rFonts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Normal"/>
        <w:widowControl w:val="false"/>
        <w:spacing w:before="0" w:after="0"/>
        <w:ind w:firstLine="709" w:left="0" w:right="0"/>
        <w:jc w:val="both"/>
        <w:rPr>
          <w:sz w:val="24"/>
          <w:szCs w:val="24"/>
        </w:rPr>
      </w:pPr>
      <w:r>
        <w:rPr>
          <w:rFonts w:cs="Times New Roman"/>
          <w:sz w:val="24"/>
          <w:szCs w:val="24"/>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before="0" w:after="0"/>
        <w:ind w:firstLine="709" w:left="0" w:right="0"/>
        <w:jc w:val="both"/>
        <w:rPr>
          <w:sz w:val="24"/>
          <w:szCs w:val="24"/>
        </w:rPr>
      </w:pPr>
      <w:r>
        <w:rPr>
          <w:rFonts w:cs="Times New Roman"/>
          <w:sz w:val="24"/>
          <w:szCs w:val="24"/>
        </w:rPr>
        <w:t>7.9. Исполнитель обязан возместить убытки, причиненные Заказчику в ходе исполнения Контракта, в порядке, предусмотренном действующим законодательством.</w:t>
      </w:r>
    </w:p>
    <w:p>
      <w:pPr>
        <w:pStyle w:val="Normal"/>
        <w:widowControl w:val="false"/>
        <w:spacing w:before="0" w:after="0"/>
        <w:ind w:firstLine="709" w:left="0" w:right="0"/>
        <w:jc w:val="both"/>
        <w:rPr>
          <w:sz w:val="24"/>
          <w:szCs w:val="24"/>
        </w:rPr>
      </w:pPr>
      <w:r>
        <w:rPr>
          <w:rFonts w:cs="Times New Roman"/>
          <w:sz w:val="24"/>
          <w:szCs w:val="24"/>
        </w:rPr>
        <w:t>7.10. Уплата неустоек (штрафов, пеней) не освобождает виновную Сторону от выполнения принятых на себя обязательств по Контракту.</w:t>
      </w:r>
    </w:p>
    <w:p>
      <w:pPr>
        <w:pStyle w:val="Normal"/>
        <w:tabs>
          <w:tab w:val="clear" w:pos="708"/>
          <w:tab w:val="left" w:pos="1276" w:leader="none"/>
        </w:tabs>
        <w:spacing w:before="0" w:after="0"/>
        <w:ind w:firstLine="709" w:left="0" w:right="0"/>
        <w:jc w:val="both"/>
        <w:rPr>
          <w:sz w:val="24"/>
          <w:szCs w:val="24"/>
        </w:rPr>
      </w:pPr>
      <w:r>
        <w:rPr>
          <w:rFonts w:cs="Times New Roman"/>
          <w:color w:val="000000"/>
          <w:spacing w:val="-9"/>
          <w:sz w:val="24"/>
          <w:szCs w:val="24"/>
          <w:shd w:fill="FFFFFF" w:val="clear"/>
          <w:lang w:eastAsia="ru-RU"/>
        </w:rPr>
        <w:t>7.11. 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suppressLineNumbers w:val="0"/>
        <w:spacing w:lineRule="auto" w:line="240" w:before="0" w:after="0"/>
        <w:ind w:firstLine="283" w:left="0" w:right="0"/>
        <w:jc w:val="center"/>
        <w:rPr>
          <w:b/>
          <w:bCs/>
          <w:sz w:val="24"/>
          <w:szCs w:val="24"/>
        </w:rPr>
      </w:pPr>
      <w:r>
        <w:rPr>
          <w:b/>
          <w:bCs/>
          <w:sz w:val="24"/>
          <w:szCs w:val="24"/>
        </w:rPr>
      </w:r>
    </w:p>
    <w:p>
      <w:pPr>
        <w:pStyle w:val="Normal"/>
        <w:suppressLineNumbers w:val="0"/>
        <w:spacing w:lineRule="auto" w:line="240" w:before="0" w:after="0"/>
        <w:ind w:hanging="0" w:left="0" w:right="0"/>
        <w:jc w:val="center"/>
        <w:rPr>
          <w:sz w:val="24"/>
          <w:szCs w:val="24"/>
        </w:rPr>
      </w:pPr>
      <w:r>
        <w:rPr>
          <w:b/>
          <w:sz w:val="24"/>
          <w:szCs w:val="24"/>
        </w:rPr>
        <w:t>8. Срок действия и порядок изменения и расторжения Контракта.</w:t>
      </w:r>
    </w:p>
    <w:p>
      <w:pPr>
        <w:pStyle w:val="Normal"/>
        <w:suppressLineNumbers w:val="0"/>
        <w:spacing w:lineRule="auto" w:line="240" w:before="0" w:after="0"/>
        <w:ind w:firstLine="709" w:left="0" w:right="0"/>
        <w:jc w:val="both"/>
        <w:rPr>
          <w:sz w:val="24"/>
          <w:szCs w:val="24"/>
        </w:rPr>
      </w:pPr>
      <w:r>
        <w:rPr>
          <w:sz w:val="24"/>
          <w:szCs w:val="24"/>
        </w:rPr>
        <w:t xml:space="preserve">8.1. Настоящий Контракт вступает в силу с момента его подписания и действует до </w:t>
      </w:r>
      <w:r>
        <w:rPr>
          <w:sz w:val="24"/>
          <w:szCs w:val="24"/>
        </w:rPr>
        <w:t>20.11</w:t>
      </w:r>
      <w:r>
        <w:rPr>
          <w:sz w:val="24"/>
          <w:szCs w:val="24"/>
        </w:rPr>
        <w:t xml:space="preserve">.2026 г., а в части оплаты - до полного выполнения Сторонами своих обязательств. </w:t>
      </w:r>
    </w:p>
    <w:p>
      <w:pPr>
        <w:pStyle w:val="Normal"/>
        <w:suppressLineNumbers w:val="0"/>
        <w:spacing w:before="0" w:after="0"/>
        <w:ind w:firstLine="709" w:left="0" w:right="0"/>
        <w:jc w:val="both"/>
        <w:rPr>
          <w:sz w:val="24"/>
          <w:szCs w:val="24"/>
        </w:rPr>
      </w:pPr>
      <w:r>
        <w:rPr>
          <w:sz w:val="24"/>
          <w:szCs w:val="24"/>
        </w:rPr>
        <w:t>Срок действия (исполнения) Контракта представляет собой срок, включающий в том числе срок оказания услуг, приемку оказанных услуг, а также оплату Заказчиком Исполнителю за оказанные услуги.</w:t>
      </w:r>
    </w:p>
    <w:p>
      <w:pPr>
        <w:pStyle w:val="Normal"/>
        <w:suppressLineNumbers w:val="0"/>
        <w:spacing w:lineRule="auto" w:line="240" w:before="0" w:after="0"/>
        <w:ind w:firstLine="709" w:left="0" w:right="0"/>
        <w:jc w:val="both"/>
        <w:rPr>
          <w:sz w:val="24"/>
          <w:szCs w:val="24"/>
        </w:rPr>
      </w:pPr>
      <w:r>
        <w:rPr>
          <w:sz w:val="24"/>
          <w:szCs w:val="24"/>
        </w:rPr>
        <w:t>8.2. Настоящий Контракт может быть расторгнут:</w:t>
      </w:r>
    </w:p>
    <w:p>
      <w:pPr>
        <w:pStyle w:val="Normal"/>
        <w:suppressLineNumbers w:val="0"/>
        <w:spacing w:lineRule="auto" w:line="240" w:before="0" w:after="0"/>
        <w:ind w:firstLine="709" w:left="0" w:right="0"/>
        <w:jc w:val="both"/>
        <w:rPr>
          <w:sz w:val="24"/>
          <w:szCs w:val="24"/>
        </w:rPr>
      </w:pPr>
      <w:r>
        <w:rPr>
          <w:sz w:val="24"/>
          <w:szCs w:val="24"/>
        </w:rPr>
        <w:t>8.2.1. по соглашению Сторон;</w:t>
      </w:r>
    </w:p>
    <w:p>
      <w:pPr>
        <w:pStyle w:val="Normal"/>
        <w:suppressLineNumbers w:val="0"/>
        <w:spacing w:lineRule="auto" w:line="240" w:before="0" w:after="0"/>
        <w:ind w:firstLine="709" w:left="0" w:right="0"/>
        <w:jc w:val="both"/>
        <w:rPr>
          <w:sz w:val="24"/>
          <w:szCs w:val="24"/>
        </w:rPr>
      </w:pPr>
      <w:r>
        <w:rPr>
          <w:sz w:val="24"/>
          <w:szCs w:val="24"/>
        </w:rPr>
        <w:t>8.2.2. в одностороннем порядке в соответствии с законодательством Российской Федерации;</w:t>
      </w:r>
    </w:p>
    <w:p>
      <w:pPr>
        <w:pStyle w:val="Normal"/>
        <w:suppressLineNumbers w:val="0"/>
        <w:spacing w:lineRule="auto" w:line="240" w:before="0" w:after="0"/>
        <w:ind w:firstLine="709" w:left="0" w:right="0"/>
        <w:jc w:val="both"/>
        <w:rPr>
          <w:sz w:val="24"/>
          <w:szCs w:val="24"/>
        </w:rPr>
      </w:pPr>
      <w:r>
        <w:rPr>
          <w:sz w:val="24"/>
          <w:szCs w:val="24"/>
        </w:rPr>
        <w:t>8.2.3. по решению суда в соответствии с законодательством Российской Федерации.</w:t>
      </w:r>
    </w:p>
    <w:p>
      <w:pPr>
        <w:pStyle w:val="Normal"/>
        <w:suppressLineNumbers w:val="0"/>
        <w:spacing w:lineRule="auto" w:line="240" w:before="0" w:after="0"/>
        <w:ind w:firstLine="709" w:left="0" w:right="0"/>
        <w:jc w:val="both"/>
        <w:rPr>
          <w:sz w:val="24"/>
          <w:szCs w:val="24"/>
        </w:rPr>
      </w:pPr>
      <w:r>
        <w:rPr>
          <w:sz w:val="24"/>
          <w:szCs w:val="24"/>
        </w:rPr>
        <w:t>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Российской Федерации о контрактной системе в сфере закупок:</w:t>
      </w:r>
    </w:p>
    <w:p>
      <w:pPr>
        <w:pStyle w:val="Normal"/>
        <w:suppressLineNumbers w:val="0"/>
        <w:spacing w:lineRule="auto" w:line="240" w:before="0" w:after="0"/>
        <w:ind w:firstLine="709" w:left="0" w:right="0"/>
        <w:jc w:val="both"/>
        <w:rPr>
          <w:sz w:val="24"/>
          <w:szCs w:val="24"/>
        </w:rPr>
      </w:pPr>
      <w:r>
        <w:rPr>
          <w:i/>
          <w:sz w:val="24"/>
          <w:szCs w:val="24"/>
        </w:rPr>
        <w:t>-</w:t>
      </w:r>
      <w:r>
        <w:rPr>
          <w:sz w:val="24"/>
          <w:szCs w:val="24"/>
        </w:rPr>
        <w:t xml:space="preserve"> при снижении цены Контракт без изменения предусмотренного Контракт объема услуг, качества оказываемых услуг и иных условий Контракт;</w:t>
      </w:r>
    </w:p>
    <w:p>
      <w:pPr>
        <w:pStyle w:val="Normal"/>
        <w:suppressLineNumbers w:val="0"/>
        <w:spacing w:lineRule="auto" w:line="240" w:before="0" w:after="0"/>
        <w:ind w:firstLine="709" w:left="0" w:right="0"/>
        <w:jc w:val="both"/>
        <w:rPr>
          <w:sz w:val="24"/>
          <w:szCs w:val="24"/>
        </w:rPr>
      </w:pPr>
      <w:r>
        <w:rPr>
          <w:sz w:val="24"/>
          <w:szCs w:val="24"/>
        </w:rPr>
        <w:t>-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 объема услуг стороны Контракт обязаны уменьшить цену Контракта исходя из цены единицы услуги.</w:t>
      </w:r>
    </w:p>
    <w:p>
      <w:pPr>
        <w:pStyle w:val="Normal"/>
        <w:jc w:val="center"/>
        <w:rPr>
          <w:b/>
          <w:bCs/>
          <w:sz w:val="24"/>
          <w:szCs w:val="24"/>
        </w:rPr>
      </w:pPr>
      <w:r>
        <w:rPr>
          <w:b/>
          <w:bCs/>
          <w:sz w:val="24"/>
          <w:szCs w:val="24"/>
        </w:rPr>
      </w:r>
    </w:p>
    <w:p>
      <w:pPr>
        <w:pStyle w:val="BodyText"/>
        <w:suppressLineNumbers w:val="0"/>
        <w:spacing w:lineRule="auto" w:line="276" w:before="0" w:after="0"/>
        <w:ind w:hanging="0" w:left="0" w:right="0"/>
        <w:jc w:val="center"/>
        <w:rPr>
          <w:sz w:val="24"/>
          <w:szCs w:val="24"/>
        </w:rPr>
      </w:pPr>
      <w:r>
        <w:rPr>
          <w:rFonts w:cs="Times New Roman" w:ascii="Times New Roman" w:hAnsi="Times New Roman"/>
          <w:b/>
          <w:bCs/>
          <w:sz w:val="24"/>
          <w:szCs w:val="24"/>
        </w:rPr>
        <w:t>9. Разрешение споров и разногласий.</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9.1.</w:t>
        <w:tab/>
        <w:t>В случае возникновения споров и разногласий между сторонами по вопросам, предусмотренным настоящим Контрактом или в связи с ним, они примут все меры к разрешению их путем переговоров на основе действующего законодательства и обычаев делового оборота.</w:t>
      </w:r>
    </w:p>
    <w:p>
      <w:pPr>
        <w:pStyle w:val="Normal"/>
        <w:suppressLineNumbers w:val="0"/>
        <w:tabs>
          <w:tab w:val="clear" w:pos="708"/>
          <w:tab w:val="left" w:pos="540" w:leader="none"/>
        </w:tabs>
        <w:spacing w:lineRule="auto" w:line="240" w:before="0" w:after="0"/>
        <w:ind w:firstLine="709" w:left="0" w:right="0"/>
        <w:jc w:val="both"/>
        <w:rPr>
          <w:sz w:val="24"/>
          <w:szCs w:val="24"/>
        </w:rPr>
      </w:pPr>
      <w:r>
        <w:rPr>
          <w:rFonts w:cs="Times New Roman"/>
          <w:sz w:val="24"/>
          <w:szCs w:val="24"/>
        </w:rPr>
        <w:t>9.2. Вручение или направление потерпевшей Стороной письменной претензии заинтересованной Стороне почтой (факсом, электронной почтой и т.д.) с подтверждением получения. Срок ответа на претензию, не может превышать 5 (пяти ) дней с даты ее получения.</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9.3.</w:t>
        <w:tab/>
        <w:t>В случае невозможности разрешения споров и разногласий между Сторонами путем переговоров, упомянутые споры и разногласия подлежат разрешению в Арбитражном суде Красноярского края    в установленном законодательством порядке.</w:t>
      </w:r>
    </w:p>
    <w:p>
      <w:pPr>
        <w:pStyle w:val="BodyText"/>
        <w:suppressLineNumbers w:val="0"/>
        <w:spacing w:lineRule="auto" w:line="240" w:before="0" w:after="0"/>
        <w:ind w:hanging="0" w:left="0" w:right="0"/>
        <w:jc w:val="center"/>
        <w:rPr>
          <w:rFonts w:ascii="Times New Roman" w:hAnsi="Times New Roman" w:cs="Times New Roman"/>
          <w:b/>
          <w:bCs/>
          <w:sz w:val="24"/>
          <w:szCs w:val="24"/>
          <w:highlight w:val="none"/>
        </w:rPr>
      </w:pPr>
      <w:r>
        <w:rPr>
          <w:rFonts w:cs="Times New Roman" w:ascii="Times New Roman" w:hAnsi="Times New Roman"/>
          <w:b/>
          <w:bCs/>
          <w:sz w:val="24"/>
          <w:szCs w:val="24"/>
        </w:rPr>
      </w:r>
    </w:p>
    <w:p>
      <w:pPr>
        <w:pStyle w:val="BodyText"/>
        <w:suppressLineNumbers w:val="0"/>
        <w:spacing w:lineRule="auto" w:line="240" w:before="0" w:after="0"/>
        <w:ind w:hanging="0" w:left="0" w:right="0"/>
        <w:jc w:val="center"/>
        <w:rPr>
          <w:sz w:val="24"/>
          <w:szCs w:val="24"/>
        </w:rPr>
      </w:pPr>
      <w:r>
        <w:rPr>
          <w:rFonts w:cs="Times New Roman" w:ascii="Times New Roman" w:hAnsi="Times New Roman"/>
          <w:b/>
          <w:bCs/>
          <w:sz w:val="24"/>
          <w:szCs w:val="24"/>
        </w:rPr>
        <w:t>10. Обстоятельства действия непреодолимой силы.</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действия обстоятельств непреодолимой силы, которые Стороны не могли предвидеть или предотвратить. Обстоятельствами непреодолимой силы являются такие как пожар, наводнение, землетрясение, военные действия, забастовки с перекрытием транспортных путей. В этом случае срок выполнения договорных обязательств будет продлен на время действия указанных обстоятельств.</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10.2. Сторона, которая не в состоянии выполнить свои договорные обязательства, незамедлительно информирует другую сторону о начале и прекращении действия указанных обстоятельств, но в любом случае    не позднее 10-ти дней после их начала.</w:t>
      </w:r>
    </w:p>
    <w:p>
      <w:pPr>
        <w:pStyle w:val="BodyText"/>
        <w:suppressLineNumbers w:val="0"/>
        <w:spacing w:lineRule="auto" w:line="240" w:before="0" w:after="0"/>
        <w:ind w:firstLine="709" w:left="0" w:right="0"/>
        <w:jc w:val="both"/>
        <w:rPr>
          <w:sz w:val="24"/>
          <w:szCs w:val="24"/>
        </w:rPr>
      </w:pPr>
      <w:r>
        <w:rPr>
          <w:rFonts w:cs="Times New Roman" w:ascii="Times New Roman" w:hAnsi="Times New Roman"/>
          <w:sz w:val="24"/>
          <w:szCs w:val="24"/>
        </w:rPr>
        <w:t>10.3. Если указанные обстоятельства продолжаются более шести месяцев, каждая сторона имеет право на аннулирование всего Контракта или его части. В этом случае ни одна из сторон не вправе требовать возмещения своих убытков или упущенной выгоды.</w:t>
      </w:r>
    </w:p>
    <w:p>
      <w:pPr>
        <w:pStyle w:val="Normal"/>
        <w:jc w:val="both"/>
        <w:rPr>
          <w:sz w:val="24"/>
          <w:szCs w:val="24"/>
        </w:rPr>
      </w:pPr>
      <w:r>
        <w:rPr>
          <w:sz w:val="24"/>
          <w:szCs w:val="24"/>
        </w:rPr>
      </w:r>
    </w:p>
    <w:p>
      <w:pPr>
        <w:pStyle w:val="Normal"/>
        <w:suppressLineNumbers w:val="0"/>
        <w:spacing w:lineRule="auto" w:line="240" w:before="0" w:after="0"/>
        <w:jc w:val="center"/>
        <w:rPr>
          <w:b/>
          <w:bCs/>
          <w:sz w:val="24"/>
          <w:szCs w:val="24"/>
        </w:rPr>
      </w:pPr>
      <w:r>
        <w:rPr>
          <w:b/>
          <w:bCs/>
          <w:sz w:val="24"/>
          <w:szCs w:val="24"/>
        </w:rPr>
      </w:r>
    </w:p>
    <w:p>
      <w:pPr>
        <w:pStyle w:val="Normal"/>
        <w:suppressLineNumbers w:val="0"/>
        <w:spacing w:lineRule="auto" w:line="240" w:before="0" w:after="0"/>
        <w:jc w:val="center"/>
        <w:rPr>
          <w:b/>
          <w:bCs/>
          <w:sz w:val="24"/>
          <w:szCs w:val="24"/>
          <w:highlight w:val="none"/>
        </w:rPr>
      </w:pPr>
      <w:r>
        <w:rPr>
          <w:b/>
          <w:bCs/>
          <w:sz w:val="24"/>
          <w:szCs w:val="24"/>
        </w:rPr>
      </w:r>
    </w:p>
    <w:p>
      <w:pPr>
        <w:pStyle w:val="Normal"/>
        <w:suppressLineNumbers w:val="0"/>
        <w:spacing w:lineRule="auto" w:line="240" w:before="0" w:after="0"/>
        <w:jc w:val="center"/>
        <w:rPr>
          <w:sz w:val="24"/>
          <w:szCs w:val="24"/>
        </w:rPr>
      </w:pPr>
      <w:r>
        <w:rPr>
          <w:b/>
          <w:sz w:val="24"/>
          <w:szCs w:val="24"/>
        </w:rPr>
        <w:t>11. Прочие условия</w:t>
      </w:r>
    </w:p>
    <w:p>
      <w:pPr>
        <w:pStyle w:val="Normal"/>
        <w:suppressLineNumbers w:val="0"/>
        <w:spacing w:lineRule="auto" w:line="240" w:before="0" w:after="0"/>
        <w:ind w:firstLine="709" w:left="0" w:right="0"/>
        <w:jc w:val="both"/>
        <w:rPr>
          <w:sz w:val="24"/>
          <w:szCs w:val="24"/>
        </w:rPr>
      </w:pPr>
      <w:r>
        <w:rPr>
          <w:sz w:val="24"/>
          <w:szCs w:val="24"/>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pPr>
        <w:pStyle w:val="Normal"/>
        <w:suppressLineNumbers w:val="0"/>
        <w:spacing w:lineRule="auto" w:line="240" w:before="0" w:after="0"/>
        <w:ind w:firstLine="709" w:left="0" w:right="0"/>
        <w:jc w:val="both"/>
        <w:rPr>
          <w:sz w:val="24"/>
          <w:szCs w:val="24"/>
        </w:rPr>
      </w:pPr>
      <w:r>
        <w:rPr>
          <w:sz w:val="24"/>
          <w:szCs w:val="24"/>
        </w:rPr>
        <w:t xml:space="preserve">Исполнитель вправе представить документы, связанные с исполнением настоящего Контракта в Управление Федеральной службы государственной регистрации, кадастра и картографии по Красноярскому краю по адресу: </w:t>
      </w:r>
      <w:r>
        <w:rPr>
          <w:bCs/>
          <w:sz w:val="24"/>
          <w:szCs w:val="24"/>
        </w:rPr>
        <w:t xml:space="preserve">Россия, </w:t>
      </w:r>
      <w:r>
        <w:rPr>
          <w:sz w:val="24"/>
          <w:szCs w:val="24"/>
        </w:rPr>
        <w:t>Красноярский край, 660021, г.Красноярск, ул.Дубровинского, д.114</w:t>
      </w:r>
      <w:r>
        <w:rPr>
          <w:bCs/>
          <w:sz w:val="24"/>
          <w:szCs w:val="24"/>
        </w:rPr>
        <w:t>.</w:t>
      </w:r>
      <w:r>
        <w:rPr>
          <w:sz w:val="24"/>
          <w:szCs w:val="24"/>
        </w:rPr>
        <w:t xml:space="preserve"> пом.2. </w:t>
      </w:r>
    </w:p>
    <w:p>
      <w:pPr>
        <w:pStyle w:val="Normal"/>
        <w:suppressLineNumbers w:val="0"/>
        <w:tabs>
          <w:tab w:val="clear" w:pos="708"/>
          <w:tab w:val="left" w:pos="709" w:leader="none"/>
        </w:tabs>
        <w:spacing w:lineRule="auto" w:line="240" w:before="0" w:after="0"/>
        <w:ind w:firstLine="709" w:left="0" w:right="0"/>
        <w:jc w:val="both"/>
        <w:rPr>
          <w:sz w:val="24"/>
          <w:szCs w:val="24"/>
        </w:rPr>
      </w:pPr>
      <w:r>
        <w:rPr>
          <w:sz w:val="24"/>
          <w:szCs w:val="24"/>
        </w:rPr>
        <w:t>11.3. В случае перемены Заказчика по настоящему Контракту права и обязанности Заказчика по настоящему Контракту переходят к новому Заказчику в том же объеме и на тех же условиях.</w:t>
      </w:r>
    </w:p>
    <w:p>
      <w:pPr>
        <w:pStyle w:val="Normal"/>
        <w:suppressLineNumbers w:val="0"/>
        <w:spacing w:lineRule="auto" w:line="240" w:before="0" w:after="0"/>
        <w:ind w:firstLine="709" w:left="0" w:right="0"/>
        <w:jc w:val="both"/>
        <w:rPr>
          <w:sz w:val="24"/>
          <w:szCs w:val="24"/>
        </w:rPr>
      </w:pPr>
      <w:r>
        <w:rPr>
          <w:sz w:val="24"/>
          <w:szCs w:val="24"/>
        </w:rPr>
        <w:t>11.4.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pPr>
        <w:pStyle w:val="Normal"/>
        <w:suppressLineNumbers w:val="0"/>
        <w:spacing w:lineRule="auto" w:line="240" w:before="0" w:after="0"/>
        <w:ind w:firstLine="709" w:left="0" w:right="0"/>
        <w:jc w:val="both"/>
        <w:rPr>
          <w:sz w:val="24"/>
          <w:szCs w:val="24"/>
        </w:rPr>
      </w:pPr>
      <w:r>
        <w:rPr>
          <w:sz w:val="24"/>
          <w:szCs w:val="24"/>
        </w:rPr>
        <w:t>11.5. Во всем, что не предусмотрено Контрактом, Стороны руководствуются законодательством Российской Федерации.</w:t>
      </w:r>
    </w:p>
    <w:p>
      <w:pPr>
        <w:pStyle w:val="Normal"/>
        <w:tabs>
          <w:tab w:val="clear" w:pos="708"/>
          <w:tab w:val="left" w:pos="709" w:leader="none"/>
        </w:tabs>
        <w:jc w:val="center"/>
        <w:rPr>
          <w:b/>
          <w:bCs/>
          <w:sz w:val="24"/>
          <w:szCs w:val="24"/>
        </w:rPr>
      </w:pPr>
      <w:r>
        <w:rPr>
          <w:b/>
          <w:bCs/>
          <w:sz w:val="24"/>
          <w:szCs w:val="24"/>
        </w:rPr>
      </w:r>
    </w:p>
    <w:p>
      <w:pPr>
        <w:pStyle w:val="Normal"/>
        <w:suppressLineNumbers w:val="0"/>
        <w:tabs>
          <w:tab w:val="clear" w:pos="708"/>
          <w:tab w:val="left" w:pos="709" w:leader="none"/>
        </w:tabs>
        <w:spacing w:lineRule="auto" w:line="240" w:before="0" w:after="0"/>
        <w:jc w:val="center"/>
        <w:rPr>
          <w:sz w:val="24"/>
          <w:szCs w:val="24"/>
        </w:rPr>
      </w:pPr>
      <w:r>
        <w:rPr>
          <w:b/>
          <w:sz w:val="24"/>
          <w:szCs w:val="24"/>
        </w:rPr>
        <w:t>12. Приложения</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12.1. Неотъемлемыми частями настоящего Контракта являются следующие приложения к Контракту:</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 приложение № 1 «Техническое задание</w:t>
      </w:r>
      <w:bookmarkStart w:id="0" w:name="undefined"/>
      <w:bookmarkEnd w:id="0"/>
      <w:r>
        <w:rPr>
          <w:sz w:val="24"/>
          <w:szCs w:val="24"/>
        </w:rPr>
        <w:t>»;</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 приложение № 3 «Спецификация»;</w:t>
      </w:r>
    </w:p>
    <w:p>
      <w:pPr>
        <w:pStyle w:val="Normal"/>
        <w:suppressLineNumbers w:val="0"/>
        <w:tabs>
          <w:tab w:val="clear" w:pos="708"/>
          <w:tab w:val="left" w:pos="709" w:leader="none"/>
        </w:tabs>
        <w:spacing w:lineRule="auto" w:line="240" w:before="0" w:after="0"/>
        <w:ind w:firstLine="709" w:left="0" w:right="0"/>
        <w:jc w:val="left"/>
        <w:rPr>
          <w:sz w:val="24"/>
          <w:szCs w:val="24"/>
        </w:rPr>
      </w:pPr>
      <w:r>
        <w:rPr>
          <w:sz w:val="24"/>
          <w:szCs w:val="24"/>
        </w:rPr>
        <w:t>- приложение № 2 «Акт приемки оказанных услуг».</w:t>
      </w:r>
    </w:p>
    <w:p>
      <w:pPr>
        <w:pStyle w:val="Normal"/>
        <w:spacing w:before="0" w:after="0"/>
        <w:rPr>
          <w:sz w:val="24"/>
          <w:szCs w:val="24"/>
          <w:highlight w:val="none"/>
        </w:rPr>
      </w:pPr>
      <w:r>
        <w:rPr>
          <w:sz w:val="24"/>
          <w:szCs w:val="24"/>
        </w:rPr>
      </w:r>
    </w:p>
    <w:p>
      <w:pPr>
        <w:pStyle w:val="Normal"/>
        <w:spacing w:before="0" w:after="0"/>
        <w:jc w:val="center"/>
        <w:rPr>
          <w:sz w:val="24"/>
          <w:szCs w:val="24"/>
        </w:rPr>
      </w:pPr>
      <w:r>
        <w:rPr>
          <w:b/>
          <w:sz w:val="24"/>
          <w:szCs w:val="24"/>
        </w:rPr>
        <w:t>13. Юридические адреса и реквизиты Сторон:</w:t>
      </w:r>
    </w:p>
    <w:p>
      <w:pPr>
        <w:pStyle w:val="Normal"/>
        <w:spacing w:before="0" w:after="0"/>
        <w:jc w:val="center"/>
        <w:rPr>
          <w:b/>
          <w:sz w:val="24"/>
          <w:szCs w:val="24"/>
        </w:rPr>
      </w:pPr>
      <w:r>
        <w:rPr>
          <w:b/>
          <w:sz w:val="24"/>
          <w:szCs w:val="24"/>
        </w:rPr>
      </w:r>
    </w:p>
    <w:p>
      <w:pPr>
        <w:pStyle w:val="Normal"/>
        <w:suppressLineNumbers w:val="0"/>
        <w:spacing w:lineRule="auto" w:line="240" w:before="0" w:after="0"/>
        <w:ind w:hanging="0" w:left="0" w:right="0"/>
        <w:jc w:val="both"/>
        <w:rPr>
          <w:sz w:val="24"/>
          <w:szCs w:val="24"/>
        </w:rPr>
      </w:pPr>
      <w:r>
        <w:rPr>
          <w:b/>
          <w:sz w:val="24"/>
          <w:szCs w:val="24"/>
        </w:rPr>
        <w:t xml:space="preserve">13.1. Заказчик: </w:t>
      </w:r>
    </w:p>
    <w:p>
      <w:pPr>
        <w:pStyle w:val="Normal"/>
        <w:suppressLineNumbers w:val="0"/>
        <w:spacing w:lineRule="auto" w:line="240" w:before="0" w:after="0"/>
        <w:ind w:hanging="0" w:left="0" w:right="0"/>
        <w:jc w:val="both"/>
        <w:rPr>
          <w:sz w:val="24"/>
          <w:szCs w:val="24"/>
        </w:rPr>
      </w:pPr>
      <w:r>
        <w:rPr>
          <w:b/>
          <w:sz w:val="24"/>
          <w:szCs w:val="24"/>
        </w:rPr>
        <w:t>Управление Федеральной службы государственной регистрации, кадастра и картографии по Красноярскому краю</w:t>
      </w:r>
    </w:p>
    <w:p>
      <w:pPr>
        <w:pStyle w:val="Normal"/>
        <w:suppressLineNumbers w:val="0"/>
        <w:spacing w:lineRule="auto" w:line="240" w:before="0" w:after="0"/>
        <w:ind w:hanging="0" w:left="0" w:right="0"/>
        <w:jc w:val="both"/>
        <w:rPr>
          <w:sz w:val="24"/>
          <w:szCs w:val="24"/>
        </w:rPr>
      </w:pPr>
      <w:r>
        <w:rPr>
          <w:bCs/>
          <w:sz w:val="24"/>
          <w:szCs w:val="24"/>
        </w:rPr>
        <w:t xml:space="preserve">Юрид./почт.адрес: </w:t>
      </w:r>
      <w:r>
        <w:rPr>
          <w:sz w:val="24"/>
          <w:szCs w:val="24"/>
        </w:rPr>
        <w:t>Российская Федерация, 660021, г. Красноярск  ул. Дубровинского, д. 114, пом.2</w:t>
      </w:r>
    </w:p>
    <w:p>
      <w:pPr>
        <w:pStyle w:val="Normal"/>
        <w:suppressLineNumbers w:val="0"/>
        <w:spacing w:lineRule="auto" w:line="240" w:before="0" w:after="0"/>
        <w:ind w:hanging="0" w:left="0" w:right="0"/>
        <w:jc w:val="both"/>
        <w:rPr>
          <w:sz w:val="24"/>
          <w:szCs w:val="24"/>
        </w:rPr>
      </w:pPr>
      <w:r>
        <w:rPr>
          <w:sz w:val="24"/>
          <w:szCs w:val="24"/>
        </w:rPr>
        <w:t>ИНН  2466124510  КПП  246001001</w:t>
      </w:r>
    </w:p>
    <w:p>
      <w:pPr>
        <w:pStyle w:val="Normal"/>
        <w:suppressLineNumbers w:val="0"/>
        <w:spacing w:lineRule="auto" w:line="240" w:before="0" w:after="0"/>
        <w:ind w:hanging="0" w:left="0" w:right="0"/>
        <w:jc w:val="both"/>
        <w:rPr>
          <w:sz w:val="24"/>
          <w:szCs w:val="24"/>
        </w:rPr>
      </w:pPr>
      <w:r>
        <w:rPr>
          <w:rFonts w:eastAsia="Times New Roman" w:cs="Times New Roman"/>
          <w:b w:val="false"/>
          <w:bCs w:val="false"/>
          <w:color w:val="000000"/>
          <w:sz w:val="24"/>
          <w:szCs w:val="24"/>
        </w:rPr>
        <w:t>л/с 03191А39400</w:t>
      </w:r>
      <w:r>
        <w:rPr>
          <w:b w:val="false"/>
          <w:bCs w:val="false"/>
          <w:sz w:val="24"/>
          <w:szCs w:val="24"/>
        </w:rPr>
        <w:t xml:space="preserve"> </w:t>
      </w:r>
      <w:r>
        <w:rPr>
          <w:rFonts w:eastAsia="Times New Roman" w:cs="Times New Roman"/>
          <w:b w:val="false"/>
          <w:bCs w:val="false"/>
          <w:color w:val="000000"/>
          <w:sz w:val="24"/>
          <w:szCs w:val="24"/>
        </w:rPr>
        <w:t xml:space="preserve">в </w:t>
      </w:r>
      <w:r>
        <w:rPr>
          <w:rFonts w:eastAsia="Times New Roman" w:cs="Times New Roman"/>
          <w:b w:val="false"/>
          <w:bCs w:val="false"/>
          <w:sz w:val="24"/>
          <w:szCs w:val="24"/>
        </w:rPr>
        <w:t xml:space="preserve">ОКЦ № 1 СибГУ Банка России </w:t>
      </w:r>
      <w:r>
        <w:rPr>
          <w:rFonts w:eastAsia="Times New Roman" w:cs="Times New Roman"/>
          <w:b w:val="false"/>
          <w:bCs w:val="false"/>
          <w:color w:val="000000"/>
          <w:sz w:val="24"/>
          <w:szCs w:val="24"/>
        </w:rPr>
        <w:t xml:space="preserve">// УФК по Новосибирской области,  г.Новосибирск </w:t>
      </w:r>
    </w:p>
    <w:p>
      <w:pPr>
        <w:pStyle w:val="NormalWeb"/>
        <w:spacing w:beforeAutospacing="0" w:before="0" w:afterAutospacing="0" w:after="0"/>
        <w:ind w:hanging="0" w:left="0" w:right="0"/>
        <w:rPr>
          <w:sz w:val="24"/>
          <w:szCs w:val="24"/>
        </w:rPr>
      </w:pPr>
      <w:r>
        <w:rPr>
          <w:color w:val="auto"/>
          <w:spacing w:val="-9"/>
          <w:sz w:val="24"/>
          <w:szCs w:val="24"/>
        </w:rPr>
        <w:t xml:space="preserve">Номер казначейского счета ТОФК  </w:t>
      </w:r>
      <w:r>
        <w:rPr>
          <w:rFonts w:eastAsia="Times New Roman" w:cs="Times New Roman"/>
          <w:b w:val="false"/>
          <w:bCs w:val="false"/>
          <w:color w:val="000000"/>
          <w:sz w:val="24"/>
          <w:szCs w:val="24"/>
          <w:highlight w:val="white"/>
        </w:rPr>
        <w:t>03211643000000015107</w:t>
      </w:r>
    </w:p>
    <w:p>
      <w:pPr>
        <w:pStyle w:val="Normal"/>
        <w:suppressLineNumbers w:val="0"/>
        <w:spacing w:lineRule="auto" w:line="240" w:before="0" w:after="0"/>
        <w:ind w:hanging="0" w:left="0" w:right="0"/>
        <w:jc w:val="both"/>
        <w:rPr>
          <w:sz w:val="24"/>
          <w:szCs w:val="24"/>
        </w:rPr>
      </w:pPr>
      <w:r>
        <w:rPr>
          <w:spacing w:val="-9"/>
          <w:sz w:val="24"/>
          <w:szCs w:val="24"/>
        </w:rPr>
        <w:t xml:space="preserve">Номер единого казначейского счета   </w:t>
      </w:r>
      <w:r>
        <w:rPr>
          <w:rFonts w:eastAsia="Times New Roman" w:cs="Times New Roman"/>
          <w:b w:val="false"/>
          <w:bCs w:val="false"/>
          <w:color w:val="000000"/>
          <w:sz w:val="24"/>
          <w:szCs w:val="24"/>
          <w:highlight w:val="white"/>
        </w:rPr>
        <w:t>40102810445370000043</w:t>
      </w:r>
    </w:p>
    <w:p>
      <w:pPr>
        <w:pStyle w:val="Normal"/>
        <w:suppressLineNumbers w:val="0"/>
        <w:spacing w:lineRule="auto" w:line="240" w:before="0" w:after="0"/>
        <w:ind w:hanging="0" w:left="0" w:right="0"/>
        <w:jc w:val="both"/>
        <w:rPr>
          <w:sz w:val="24"/>
          <w:szCs w:val="24"/>
        </w:rPr>
      </w:pPr>
      <w:r>
        <w:rPr>
          <w:sz w:val="24"/>
          <w:szCs w:val="24"/>
        </w:rPr>
        <w:t>БИК 015004950</w:t>
      </w:r>
    </w:p>
    <w:p>
      <w:pPr>
        <w:pStyle w:val="Normal"/>
        <w:suppressLineNumbers w:val="0"/>
        <w:spacing w:lineRule="auto" w:line="240" w:before="0" w:after="0"/>
        <w:ind w:hanging="0" w:left="0" w:right="0"/>
        <w:jc w:val="both"/>
        <w:rPr>
          <w:sz w:val="24"/>
          <w:szCs w:val="24"/>
        </w:rPr>
      </w:pPr>
      <w:r>
        <w:rPr>
          <w:sz w:val="24"/>
          <w:szCs w:val="24"/>
        </w:rPr>
        <w:t>Тел. (391) 226-56-24 отдел материально технического обеспечения</w:t>
      </w:r>
    </w:p>
    <w:p>
      <w:pPr>
        <w:pStyle w:val="Normal"/>
        <w:suppressLineNumbers w:val="0"/>
        <w:spacing w:lineRule="auto" w:line="240" w:before="0" w:after="0"/>
        <w:ind w:hanging="0" w:left="0" w:right="0"/>
        <w:jc w:val="both"/>
        <w:rPr/>
      </w:pPr>
      <w:r>
        <w:rPr>
          <w:sz w:val="24"/>
          <w:szCs w:val="24"/>
        </w:rPr>
        <w:t xml:space="preserve">Электронный адрес: </w:t>
      </w:r>
      <w:hyperlink r:id="rId9" w:tooltip="mailto:оmto17@r24.rosreestr.ru">
        <w:r>
          <w:rPr>
            <w:rStyle w:val="Hyperlink"/>
            <w:sz w:val="24"/>
            <w:szCs w:val="24"/>
          </w:rPr>
          <w:t>о</w:t>
        </w:r>
        <w:r>
          <w:rPr>
            <w:rStyle w:val="Hyperlink"/>
            <w:sz w:val="24"/>
            <w:szCs w:val="24"/>
            <w:lang w:val="en-US"/>
          </w:rPr>
          <w:t>mto</w:t>
        </w:r>
        <w:r>
          <w:rPr>
            <w:rStyle w:val="Hyperlink"/>
            <w:sz w:val="24"/>
            <w:szCs w:val="24"/>
          </w:rPr>
          <w:t>04@</w:t>
        </w:r>
        <w:r>
          <w:rPr>
            <w:rStyle w:val="Hyperlink"/>
            <w:sz w:val="24"/>
            <w:szCs w:val="24"/>
            <w:lang w:val="en-US"/>
          </w:rPr>
          <w:t>r</w:t>
        </w:r>
        <w:r>
          <w:rPr>
            <w:rStyle w:val="Hyperlink"/>
            <w:sz w:val="24"/>
            <w:szCs w:val="24"/>
          </w:rPr>
          <w:t>24.</w:t>
        </w:r>
        <w:r>
          <w:rPr>
            <w:rStyle w:val="Hyperlink"/>
            <w:sz w:val="24"/>
            <w:szCs w:val="24"/>
            <w:lang w:val="en-US"/>
          </w:rPr>
          <w:t>rosreestr</w:t>
        </w:r>
        <w:r>
          <w:rPr>
            <w:rStyle w:val="Hyperlink"/>
            <w:sz w:val="24"/>
            <w:szCs w:val="24"/>
          </w:rPr>
          <w:t>.</w:t>
        </w:r>
        <w:r>
          <w:rPr>
            <w:rStyle w:val="Hyperlink"/>
            <w:sz w:val="24"/>
            <w:szCs w:val="24"/>
            <w:lang w:val="en-US"/>
          </w:rPr>
          <w:t>ru</w:t>
        </w:r>
      </w:hyperlink>
    </w:p>
    <w:p>
      <w:pPr>
        <w:pStyle w:val="Normal"/>
        <w:suppressLineNumbers w:val="0"/>
        <w:spacing w:lineRule="auto" w:line="240" w:before="0" w:after="0"/>
        <w:ind w:hanging="0" w:left="0" w:right="0"/>
        <w:jc w:val="both"/>
        <w:rPr>
          <w:sz w:val="24"/>
          <w:szCs w:val="24"/>
        </w:rPr>
      </w:pPr>
      <w:r>
        <w:rPr>
          <w:sz w:val="24"/>
          <w:szCs w:val="24"/>
        </w:rPr>
        <w:t>Тел. (391) 222-67-87 бухгалтерия</w:t>
      </w:r>
    </w:p>
    <w:p>
      <w:pPr>
        <w:pStyle w:val="Normal"/>
        <w:suppressLineNumbers w:val="0"/>
        <w:spacing w:lineRule="auto" w:line="240" w:before="0" w:after="0"/>
        <w:ind w:hanging="0" w:left="0" w:right="0"/>
        <w:jc w:val="both"/>
        <w:rPr>
          <w:sz w:val="24"/>
          <w:szCs w:val="24"/>
        </w:rPr>
      </w:pPr>
      <w:r>
        <w:rPr>
          <w:b/>
          <w:bCs/>
          <w:sz w:val="24"/>
          <w:szCs w:val="24"/>
        </w:rPr>
        <w:t xml:space="preserve">13.2. Исполнитель: </w:t>
      </w:r>
    </w:p>
    <w:p>
      <w:pPr>
        <w:pStyle w:val="Normal"/>
        <w:spacing w:before="0" w:after="0"/>
        <w:jc w:val="center"/>
        <w:rPr>
          <w:b/>
          <w:bCs/>
          <w:sz w:val="24"/>
          <w:szCs w:val="24"/>
        </w:rPr>
      </w:pPr>
      <w:r>
        <w:rPr>
          <w:b/>
          <w:bCs/>
          <w:sz w:val="24"/>
          <w:szCs w:val="24"/>
        </w:rPr>
      </w:r>
    </w:p>
    <w:tbl>
      <w:tblPr>
        <w:tblW w:w="10412" w:type="dxa"/>
        <w:jc w:val="left"/>
        <w:tblInd w:w="10" w:type="dxa"/>
        <w:tblLayout w:type="fixed"/>
        <w:tblCellMar>
          <w:top w:w="0" w:type="dxa"/>
          <w:left w:w="108" w:type="dxa"/>
          <w:bottom w:w="0" w:type="dxa"/>
          <w:right w:w="108" w:type="dxa"/>
        </w:tblCellMar>
        <w:tblLook w:val="04a0" w:noHBand="0" w:noVBand="1" w:firstColumn="1" w:lastRow="0" w:lastColumn="0" w:firstRow="1"/>
      </w:tblPr>
      <w:tblGrid>
        <w:gridCol w:w="5206"/>
        <w:gridCol w:w="5205"/>
      </w:tblGrid>
      <w:tr>
        <w:trPr/>
        <w:tc>
          <w:tcPr>
            <w:tcW w:w="5206" w:type="dxa"/>
            <w:tcBorders/>
          </w:tcPr>
          <w:p>
            <w:pPr>
              <w:pStyle w:val="Normal"/>
              <w:numPr>
                <w:ilvl w:val="0"/>
                <w:numId w:val="0"/>
              </w:numPr>
              <w:ind w:hanging="0" w:left="0" w:right="-1"/>
              <w:jc w:val="both"/>
              <w:outlineLvl w:val="0"/>
              <w:rPr>
                <w:sz w:val="24"/>
                <w:szCs w:val="24"/>
              </w:rPr>
            </w:pPr>
            <w:r>
              <w:rPr>
                <w:b/>
                <w:bCs/>
                <w:sz w:val="24"/>
                <w:szCs w:val="24"/>
              </w:rPr>
              <w:t>Исполнитель:</w:t>
            </w:r>
          </w:p>
          <w:p>
            <w:pPr>
              <w:pStyle w:val="Normal"/>
              <w:numPr>
                <w:ilvl w:val="0"/>
                <w:numId w:val="0"/>
              </w:numPr>
              <w:spacing w:before="0" w:after="60"/>
              <w:ind w:hanging="0" w:left="0" w:right="-1"/>
              <w:jc w:val="both"/>
              <w:outlineLvl w:val="0"/>
              <w:rPr>
                <w:b/>
                <w:bCs/>
                <w:sz w:val="24"/>
                <w:szCs w:val="24"/>
              </w:rPr>
            </w:pPr>
            <w:r>
              <w:rPr>
                <w:b/>
                <w:bCs/>
                <w:sz w:val="24"/>
                <w:szCs w:val="24"/>
              </w:rPr>
            </w:r>
          </w:p>
        </w:tc>
        <w:tc>
          <w:tcPr>
            <w:tcW w:w="5205" w:type="dxa"/>
            <w:tcBorders/>
          </w:tcPr>
          <w:p>
            <w:pPr>
              <w:pStyle w:val="Normal"/>
              <w:numPr>
                <w:ilvl w:val="0"/>
                <w:numId w:val="0"/>
              </w:numPr>
              <w:ind w:hanging="0" w:left="0" w:right="-1"/>
              <w:jc w:val="both"/>
              <w:outlineLvl w:val="0"/>
              <w:rPr>
                <w:sz w:val="24"/>
                <w:szCs w:val="24"/>
              </w:rPr>
            </w:pPr>
            <w:r>
              <w:rPr>
                <w:b/>
                <w:bCs/>
                <w:sz w:val="24"/>
                <w:szCs w:val="24"/>
              </w:rPr>
              <w:t>Заказчик:</w:t>
            </w:r>
          </w:p>
          <w:p>
            <w:pPr>
              <w:pStyle w:val="Normal"/>
              <w:numPr>
                <w:ilvl w:val="0"/>
                <w:numId w:val="0"/>
              </w:numPr>
              <w:spacing w:before="0" w:after="60"/>
              <w:ind w:hanging="0" w:left="0" w:right="-1"/>
              <w:jc w:val="both"/>
              <w:outlineLvl w:val="0"/>
              <w:rPr>
                <w:sz w:val="24"/>
                <w:szCs w:val="24"/>
              </w:rPr>
            </w:pPr>
            <w:r>
              <w:rPr>
                <w:b/>
                <w:bCs/>
                <w:sz w:val="24"/>
                <w:szCs w:val="24"/>
              </w:rPr>
              <w:t>Управление Росреестра по Красноярскому краю</w:t>
            </w:r>
          </w:p>
        </w:tc>
      </w:tr>
      <w:tr>
        <w:trPr>
          <w:trHeight w:val="1326" w:hRule="atLeast"/>
        </w:trPr>
        <w:tc>
          <w:tcPr>
            <w:tcW w:w="5206" w:type="dxa"/>
            <w:tcBorders/>
          </w:tcPr>
          <w:p>
            <w:pPr>
              <w:pStyle w:val="Normal"/>
              <w:numPr>
                <w:ilvl w:val="0"/>
                <w:numId w:val="0"/>
              </w:numPr>
              <w:ind w:hanging="0" w:left="0" w:right="-1"/>
              <w:jc w:val="both"/>
              <w:outlineLvl w:val="0"/>
              <w:rPr>
                <w:b/>
                <w:bCs/>
                <w:sz w:val="24"/>
                <w:szCs w:val="24"/>
              </w:rPr>
            </w:pPr>
            <w:r>
              <w:rPr>
                <w:b/>
                <w:bCs/>
                <w:sz w:val="24"/>
                <w:szCs w:val="24"/>
              </w:rPr>
            </w:r>
          </w:p>
          <w:p>
            <w:pPr>
              <w:pStyle w:val="Normal"/>
              <w:numPr>
                <w:ilvl w:val="0"/>
                <w:numId w:val="0"/>
              </w:numPr>
              <w:ind w:hanging="0" w:left="0" w:right="-1"/>
              <w:jc w:val="both"/>
              <w:outlineLvl w:val="0"/>
              <w:rPr>
                <w:b/>
                <w:bCs/>
                <w:sz w:val="24"/>
                <w:szCs w:val="24"/>
              </w:rPr>
            </w:pPr>
            <w:r>
              <w:rPr>
                <w:b/>
                <w:bCs/>
                <w:sz w:val="24"/>
                <w:szCs w:val="24"/>
              </w:rPr>
            </w:r>
          </w:p>
          <w:p>
            <w:pPr>
              <w:pStyle w:val="Normal"/>
              <w:numPr>
                <w:ilvl w:val="0"/>
                <w:numId w:val="0"/>
              </w:numPr>
              <w:ind w:hanging="0" w:left="0" w:right="-1"/>
              <w:jc w:val="both"/>
              <w:outlineLvl w:val="0"/>
              <w:rPr>
                <w:b/>
                <w:bCs/>
                <w:sz w:val="24"/>
                <w:szCs w:val="24"/>
              </w:rPr>
            </w:pPr>
            <w:r>
              <w:rPr>
                <w:b/>
                <w:bCs/>
                <w:sz w:val="24"/>
                <w:szCs w:val="24"/>
              </w:rPr>
            </w:r>
          </w:p>
          <w:p>
            <w:pPr>
              <w:pStyle w:val="Normal"/>
              <w:numPr>
                <w:ilvl w:val="0"/>
                <w:numId w:val="0"/>
              </w:numPr>
              <w:spacing w:before="0" w:after="60"/>
              <w:ind w:hanging="0" w:left="0" w:right="-1"/>
              <w:jc w:val="both"/>
              <w:outlineLvl w:val="0"/>
              <w:rPr>
                <w:sz w:val="24"/>
                <w:szCs w:val="24"/>
              </w:rPr>
            </w:pPr>
            <w:r>
              <w:rPr>
                <w:b/>
                <w:bCs/>
                <w:sz w:val="24"/>
                <w:szCs w:val="24"/>
              </w:rPr>
              <w:t>___________________________  / ______________ /</w:t>
            </w:r>
          </w:p>
        </w:tc>
        <w:tc>
          <w:tcPr>
            <w:tcW w:w="5205" w:type="dxa"/>
            <w:tcBorders/>
          </w:tcPr>
          <w:p>
            <w:pPr>
              <w:pStyle w:val="Normal"/>
              <w:numPr>
                <w:ilvl w:val="0"/>
                <w:numId w:val="0"/>
              </w:numPr>
              <w:ind w:hanging="0" w:left="0" w:right="-1"/>
              <w:jc w:val="both"/>
              <w:outlineLvl w:val="0"/>
              <w:rPr>
                <w:b/>
                <w:bCs/>
                <w:sz w:val="24"/>
                <w:szCs w:val="24"/>
              </w:rPr>
            </w:pPr>
            <w:r>
              <w:rPr>
                <w:b/>
                <w:bCs/>
                <w:sz w:val="24"/>
                <w:szCs w:val="24"/>
              </w:rPr>
            </w:r>
          </w:p>
          <w:p>
            <w:pPr>
              <w:pStyle w:val="Normal"/>
              <w:numPr>
                <w:ilvl w:val="0"/>
                <w:numId w:val="0"/>
              </w:numPr>
              <w:ind w:hanging="0" w:left="0" w:right="-1"/>
              <w:jc w:val="both"/>
              <w:outlineLvl w:val="0"/>
              <w:rPr>
                <w:b/>
                <w:bCs/>
                <w:sz w:val="24"/>
                <w:szCs w:val="24"/>
              </w:rPr>
            </w:pPr>
            <w:r>
              <w:rPr>
                <w:b/>
                <w:bCs/>
                <w:sz w:val="24"/>
                <w:szCs w:val="24"/>
              </w:rPr>
            </w:r>
          </w:p>
          <w:p>
            <w:pPr>
              <w:pStyle w:val="Normal"/>
              <w:numPr>
                <w:ilvl w:val="0"/>
                <w:numId w:val="0"/>
              </w:numPr>
              <w:ind w:hanging="0" w:left="0" w:right="-1"/>
              <w:jc w:val="both"/>
              <w:outlineLvl w:val="0"/>
              <w:rPr>
                <w:b/>
                <w:bCs/>
                <w:sz w:val="24"/>
                <w:szCs w:val="24"/>
              </w:rPr>
            </w:pPr>
            <w:r>
              <w:rPr>
                <w:b/>
                <w:bCs/>
                <w:sz w:val="24"/>
                <w:szCs w:val="24"/>
              </w:rPr>
            </w:r>
          </w:p>
          <w:p>
            <w:pPr>
              <w:pStyle w:val="Normal"/>
              <w:numPr>
                <w:ilvl w:val="0"/>
                <w:numId w:val="0"/>
              </w:numPr>
              <w:spacing w:before="0" w:after="60"/>
              <w:ind w:hanging="0" w:left="0" w:right="-1"/>
              <w:jc w:val="both"/>
              <w:outlineLvl w:val="0"/>
              <w:rPr>
                <w:sz w:val="24"/>
                <w:szCs w:val="24"/>
              </w:rPr>
            </w:pPr>
            <w:r>
              <w:rPr>
                <w:b/>
                <w:bCs/>
                <w:sz w:val="24"/>
                <w:szCs w:val="24"/>
              </w:rPr>
              <w:t>___________________________  / ______________ /</w:t>
            </w:r>
          </w:p>
        </w:tc>
      </w:tr>
    </w:tbl>
    <w:p>
      <w:pPr>
        <w:pStyle w:val="Normal"/>
        <w:spacing w:before="0" w:after="0"/>
        <w:jc w:val="center"/>
        <w:rPr>
          <w:b/>
          <w:bCs/>
          <w:sz w:val="24"/>
          <w:szCs w:val="24"/>
        </w:rPr>
      </w:pPr>
      <w:r>
        <w:rPr>
          <w:b/>
          <w:bCs/>
          <w:sz w:val="24"/>
          <w:szCs w:val="24"/>
        </w:rPr>
      </w:r>
    </w:p>
    <w:p>
      <w:pPr>
        <w:pStyle w:val="Normal"/>
        <w:spacing w:before="0" w:after="0"/>
        <w:jc w:val="center"/>
        <w:rPr>
          <w:b/>
          <w:bCs/>
          <w:sz w:val="24"/>
          <w:szCs w:val="24"/>
        </w:rPr>
      </w:pPr>
      <w:r>
        <w:rPr>
          <w:b/>
          <w:bCs/>
          <w:sz w:val="24"/>
          <w:szCs w:val="24"/>
        </w:rPr>
      </w:r>
    </w:p>
    <w:tbl>
      <w:tblPr>
        <w:tblW w:w="10422"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1"/>
        <w:gridCol w:w="5210"/>
      </w:tblGrid>
      <w:tr>
        <w:trPr/>
        <w:tc>
          <w:tcPr>
            <w:tcW w:w="5211" w:type="dxa"/>
            <w:tcBorders/>
          </w:tcPr>
          <w:p>
            <w:pPr>
              <w:pStyle w:val="Normal"/>
              <w:spacing w:before="0" w:after="60"/>
              <w:rPr>
                <w:sz w:val="24"/>
                <w:szCs w:val="24"/>
              </w:rPr>
            </w:pPr>
            <w:r>
              <w:rPr>
                <w:sz w:val="24"/>
                <w:szCs w:val="24"/>
              </w:rPr>
            </w:r>
          </w:p>
        </w:tc>
        <w:tc>
          <w:tcPr>
            <w:tcW w:w="5210" w:type="dxa"/>
            <w:tcBorders/>
          </w:tcPr>
          <w:p>
            <w:pPr>
              <w:pStyle w:val="ConsPlusNonformat"/>
              <w:widowControl/>
              <w:numPr>
                <w:ilvl w:val="0"/>
                <w:numId w:val="0"/>
              </w:numPr>
              <w:tabs>
                <w:tab w:val="clear" w:pos="708"/>
                <w:tab w:val="left" w:pos="9072" w:leader="none"/>
              </w:tabs>
              <w:ind w:hanging="0" w:left="0" w:right="0"/>
              <w:outlineLvl w:val="0"/>
              <w:rPr>
                <w:sz w:val="24"/>
                <w:szCs w:val="24"/>
              </w:rPr>
            </w:pPr>
            <w:r>
              <w:rPr>
                <w:sz w:val="24"/>
                <w:szCs w:val="24"/>
              </w:rPr>
            </w:r>
          </w:p>
          <w:p>
            <w:pPr>
              <w:pStyle w:val="ConsPlusNonformat"/>
              <w:widowControl/>
              <w:numPr>
                <w:ilvl w:val="0"/>
                <w:numId w:val="0"/>
              </w:numPr>
              <w:tabs>
                <w:tab w:val="clear" w:pos="708"/>
                <w:tab w:val="left" w:pos="9072" w:leader="none"/>
              </w:tabs>
              <w:ind w:hanging="0" w:left="0" w:right="0"/>
              <w:outlineLvl w:val="0"/>
              <w:rPr>
                <w:sz w:val="24"/>
                <w:szCs w:val="24"/>
              </w:rPr>
            </w:pPr>
            <w:r>
              <w:rPr>
                <w:rFonts w:ascii="Times New Roman" w:hAnsi="Times New Roman"/>
                <w:sz w:val="24"/>
                <w:szCs w:val="24"/>
              </w:rPr>
              <w:t xml:space="preserve">                                                              </w:t>
            </w:r>
            <w:r>
              <w:rPr>
                <w:rFonts w:ascii="Times New Roman" w:hAnsi="Times New Roman"/>
                <w:sz w:val="24"/>
                <w:szCs w:val="24"/>
              </w:rPr>
              <w:t>Приложение № 1</w:t>
            </w:r>
          </w:p>
          <w:p>
            <w:pPr>
              <w:pStyle w:val="Normal"/>
              <w:spacing w:before="0" w:after="60"/>
              <w:rPr>
                <w:sz w:val="24"/>
                <w:szCs w:val="24"/>
              </w:rPr>
            </w:pPr>
            <w:r>
              <w:rPr>
                <w:sz w:val="24"/>
                <w:szCs w:val="24"/>
              </w:rPr>
              <w:t xml:space="preserve">   </w:t>
            </w:r>
            <w:r>
              <w:rPr>
                <w:sz w:val="24"/>
                <w:szCs w:val="24"/>
              </w:rPr>
              <w:t>к Контракту № ____ от  «____» ___________ 2026 г.</w:t>
            </w:r>
          </w:p>
        </w:tc>
      </w:tr>
    </w:tbl>
    <w:p>
      <w:pPr>
        <w:pStyle w:val="Normal"/>
        <w:spacing w:lineRule="auto" w:line="240" w:before="0" w:after="0"/>
        <w:jc w:val="center"/>
        <w:rPr>
          <w:rFonts w:ascii="Times New Roman" w:hAnsi="Times New Roman" w:cs="Times New Roman"/>
          <w:sz w:val="24"/>
          <w:szCs w:val="24"/>
        </w:rPr>
      </w:pPr>
      <w:r>
        <w:rPr>
          <w:rFonts w:cs="Times New Roman"/>
          <w:sz w:val="24"/>
          <w:szCs w:val="24"/>
        </w:rPr>
      </w:r>
    </w:p>
    <w:p>
      <w:pPr>
        <w:pStyle w:val="Normal"/>
        <w:jc w:val="center"/>
        <w:rPr>
          <w:rFonts w:ascii="Times New Roman" w:hAnsi="Times New Roman"/>
          <w:sz w:val="24"/>
          <w:szCs w:val="24"/>
        </w:rPr>
      </w:pPr>
      <w:r>
        <w:rPr>
          <w:b/>
          <w:sz w:val="24"/>
          <w:szCs w:val="24"/>
        </w:rPr>
        <w:t>ТЕХНИЧЕСКОЕ ЗАДАНИЕ</w:t>
      </w:r>
    </w:p>
    <w:p>
      <w:pPr>
        <w:pStyle w:val="Normal"/>
        <w:widowControl w:val="false"/>
        <w:spacing w:lineRule="auto" w:line="240" w:before="0" w:after="0"/>
        <w:jc w:val="center"/>
        <w:rPr>
          <w:sz w:val="24"/>
          <w:szCs w:val="24"/>
        </w:rPr>
      </w:pPr>
      <w:r>
        <w:rPr>
          <w:b/>
          <w:sz w:val="24"/>
          <w:szCs w:val="24"/>
        </w:rPr>
        <w:t>Приобретение неисключительных прав (лицензий) на использование программного обеспечения и сервисов получения обновлений и технической поддержки ПО ViPNet Client 5 for Linux (Update Client 4 Lin), KC3, сеть 1274. Дистрибутив ПО ViPNet Client 5 for Linux (КС3) (рег. в РРПО: 4319)</w:t>
      </w:r>
    </w:p>
    <w:p>
      <w:pPr>
        <w:pStyle w:val="Normal"/>
        <w:tabs>
          <w:tab w:val="clear" w:pos="708"/>
          <w:tab w:val="left" w:pos="1080" w:leader="none"/>
        </w:tabs>
        <w:spacing w:lineRule="auto" w:line="240" w:before="0" w:after="0"/>
        <w:jc w:val="center"/>
        <w:rPr>
          <w:sz w:val="24"/>
          <w:szCs w:val="24"/>
        </w:rPr>
      </w:pPr>
      <w:r>
        <w:rPr>
          <w:b/>
          <w:sz w:val="24"/>
          <w:szCs w:val="24"/>
        </w:rPr>
        <w:t>1. Общие сведения</w:t>
      </w:r>
    </w:p>
    <w:p>
      <w:pPr>
        <w:pStyle w:val="Normal"/>
        <w:numPr>
          <w:ilvl w:val="1"/>
          <w:numId w:val="3"/>
        </w:numPr>
        <w:tabs>
          <w:tab w:val="clear" w:pos="708"/>
          <w:tab w:val="left" w:pos="993" w:leader="none"/>
        </w:tabs>
        <w:spacing w:lineRule="auto" w:line="240" w:before="0" w:after="0"/>
        <w:ind w:firstLine="851" w:left="0"/>
        <w:jc w:val="both"/>
        <w:rPr>
          <w:sz w:val="24"/>
          <w:szCs w:val="24"/>
        </w:rPr>
      </w:pPr>
      <w:r>
        <w:rPr>
          <w:sz w:val="24"/>
          <w:szCs w:val="24"/>
        </w:rPr>
        <w:t>Предмет контракта – поставка российского программного обеспечения "</w:t>
      </w:r>
      <w:r>
        <w:rPr>
          <w:rFonts w:eastAsia="Calibri" w:cs="Times New Roman"/>
          <w:sz w:val="24"/>
          <w:szCs w:val="24"/>
        </w:rPr>
        <w:t>ViPNet Client 5 for Linux</w:t>
      </w:r>
      <w:r>
        <w:rPr>
          <w:sz w:val="24"/>
          <w:szCs w:val="24"/>
        </w:rPr>
        <w:t>" (сеть 1274) с передачей неисключительных прав (лицензий) на его использование. Реестровая запись № 4319.</w:t>
      </w:r>
    </w:p>
    <w:p>
      <w:pPr>
        <w:pStyle w:val="Normal"/>
        <w:numPr>
          <w:ilvl w:val="1"/>
          <w:numId w:val="3"/>
        </w:numPr>
        <w:tabs>
          <w:tab w:val="clear" w:pos="708"/>
          <w:tab w:val="left" w:pos="-180" w:leader="none"/>
          <w:tab w:val="left" w:pos="993" w:leader="none"/>
        </w:tabs>
        <w:spacing w:lineRule="auto" w:line="240" w:before="0" w:after="0"/>
        <w:ind w:firstLine="851" w:left="0"/>
        <w:jc w:val="both"/>
        <w:rPr>
          <w:sz w:val="24"/>
          <w:szCs w:val="24"/>
        </w:rPr>
      </w:pPr>
      <w:r>
        <w:rPr>
          <w:sz w:val="24"/>
          <w:szCs w:val="24"/>
        </w:rPr>
        <w:t>Приобретаемое ПО должно быть полностью совместимо в использовании с «Единой информационной системой управления кадровым составом государственной гражданской службы РФ» (далее - ЕИСУ КС – сеть 1274).</w:t>
      </w:r>
    </w:p>
    <w:p>
      <w:pPr>
        <w:pStyle w:val="Normal"/>
        <w:numPr>
          <w:ilvl w:val="1"/>
          <w:numId w:val="3"/>
        </w:numPr>
        <w:tabs>
          <w:tab w:val="clear" w:pos="708"/>
          <w:tab w:val="left" w:pos="-180" w:leader="none"/>
          <w:tab w:val="left" w:pos="993" w:leader="none"/>
        </w:tabs>
        <w:spacing w:lineRule="auto" w:line="240" w:before="0" w:after="0"/>
        <w:ind w:firstLine="851" w:left="0"/>
        <w:jc w:val="both"/>
        <w:rPr>
          <w:sz w:val="24"/>
          <w:szCs w:val="24"/>
        </w:rPr>
      </w:pPr>
      <w:r>
        <w:rPr>
          <w:sz w:val="24"/>
          <w:szCs w:val="24"/>
        </w:rPr>
        <w:t>Заказчик – Управление Федеральной службы государственной регистрации, кадастра и картографии по Красноярскому краю.</w:t>
      </w:r>
    </w:p>
    <w:p>
      <w:pPr>
        <w:pStyle w:val="Normal"/>
        <w:numPr>
          <w:ilvl w:val="1"/>
          <w:numId w:val="3"/>
        </w:numPr>
        <w:tabs>
          <w:tab w:val="clear" w:pos="708"/>
          <w:tab w:val="left" w:pos="-180" w:leader="none"/>
          <w:tab w:val="left" w:pos="993" w:leader="none"/>
        </w:tabs>
        <w:spacing w:lineRule="auto" w:line="240" w:before="0" w:after="0"/>
        <w:ind w:firstLine="851" w:left="0"/>
        <w:jc w:val="both"/>
        <w:rPr>
          <w:sz w:val="24"/>
          <w:szCs w:val="24"/>
        </w:rPr>
      </w:pPr>
      <w:r>
        <w:rPr>
          <w:sz w:val="24"/>
          <w:szCs w:val="24"/>
        </w:rPr>
        <w:t>Адрес местонахождения Заказчика: 660021, г. Красноярск, ул. Дубровинского, д.114</w:t>
      </w:r>
    </w:p>
    <w:p>
      <w:pPr>
        <w:pStyle w:val="Normal"/>
        <w:tabs>
          <w:tab w:val="clear" w:pos="708"/>
          <w:tab w:val="left" w:pos="993" w:leader="none"/>
        </w:tabs>
        <w:spacing w:lineRule="auto" w:line="240" w:before="0" w:after="0"/>
        <w:ind w:left="567"/>
        <w:rPr>
          <w:rFonts w:ascii="Times New Roman" w:hAnsi="Times New Roman"/>
          <w:sz w:val="24"/>
          <w:szCs w:val="24"/>
        </w:rPr>
      </w:pPr>
      <w:r>
        <w:rPr>
          <w:sz w:val="24"/>
          <w:szCs w:val="24"/>
        </w:rPr>
      </w:r>
    </w:p>
    <w:p>
      <w:pPr>
        <w:pStyle w:val="11"/>
        <w:tabs>
          <w:tab w:val="clear" w:pos="708"/>
          <w:tab w:val="left" w:pos="1134" w:leader="none"/>
        </w:tabs>
        <w:suppressAutoHyphens w:val="true"/>
        <w:spacing w:lineRule="auto" w:line="240" w:before="0" w:after="0"/>
        <w:ind w:left="0"/>
        <w:contextualSpacing/>
        <w:jc w:val="center"/>
        <w:rPr>
          <w:sz w:val="24"/>
          <w:szCs w:val="24"/>
        </w:rPr>
      </w:pPr>
      <w:r>
        <w:rPr>
          <w:b/>
          <w:sz w:val="24"/>
          <w:szCs w:val="24"/>
        </w:rPr>
        <w:t>2. Термины</w:t>
      </w:r>
    </w:p>
    <w:p>
      <w:pPr>
        <w:pStyle w:val="Normal"/>
        <w:tabs>
          <w:tab w:val="clear" w:pos="708"/>
          <w:tab w:val="left" w:pos="709" w:leader="none"/>
        </w:tabs>
        <w:spacing w:lineRule="auto" w:line="240" w:before="0" w:after="0"/>
        <w:jc w:val="both"/>
        <w:rPr>
          <w:sz w:val="24"/>
          <w:szCs w:val="24"/>
        </w:rPr>
      </w:pPr>
      <w:r>
        <w:rPr>
          <w:sz w:val="24"/>
          <w:szCs w:val="24"/>
        </w:rPr>
        <w:tab/>
        <w:t>Для целей осуществления настоящего технического задания ниже перечислены термины:</w:t>
      </w:r>
    </w:p>
    <w:p>
      <w:pPr>
        <w:pStyle w:val="Normal"/>
        <w:tabs>
          <w:tab w:val="clear" w:pos="708"/>
          <w:tab w:val="left" w:pos="709" w:leader="none"/>
        </w:tabs>
        <w:spacing w:lineRule="auto" w:line="240" w:before="0" w:after="0"/>
        <w:jc w:val="both"/>
        <w:rPr>
          <w:sz w:val="24"/>
          <w:szCs w:val="24"/>
        </w:rPr>
      </w:pPr>
      <w:r>
        <w:rPr>
          <w:b/>
          <w:sz w:val="24"/>
          <w:szCs w:val="24"/>
        </w:rPr>
        <w:tab/>
        <w:t>«Программное обеспечение»</w:t>
      </w:r>
      <w:r>
        <w:rPr>
          <w:sz w:val="24"/>
          <w:szCs w:val="24"/>
        </w:rPr>
        <w:t xml:space="preserve"> или </w:t>
      </w:r>
      <w:r>
        <w:rPr>
          <w:b/>
          <w:sz w:val="24"/>
          <w:szCs w:val="24"/>
        </w:rPr>
        <w:t>«ПО»</w:t>
      </w:r>
      <w:r>
        <w:rPr>
          <w:sz w:val="24"/>
          <w:szCs w:val="24"/>
        </w:rPr>
        <w:t xml:space="preserve"> – программы для ЭВМ, указанные в настоящем техническом задании;</w:t>
      </w:r>
    </w:p>
    <w:p>
      <w:pPr>
        <w:pStyle w:val="Normal"/>
        <w:tabs>
          <w:tab w:val="clear" w:pos="708"/>
          <w:tab w:val="left" w:pos="709" w:leader="none"/>
        </w:tabs>
        <w:spacing w:lineRule="auto" w:line="240" w:before="0" w:after="0"/>
        <w:jc w:val="both"/>
        <w:rPr>
          <w:sz w:val="24"/>
          <w:szCs w:val="24"/>
        </w:rPr>
      </w:pPr>
      <w:r>
        <w:rPr>
          <w:b/>
          <w:sz w:val="24"/>
          <w:szCs w:val="24"/>
        </w:rPr>
        <w:tab/>
        <w:t>«Программа»</w:t>
      </w:r>
      <w:r>
        <w:rPr>
          <w:sz w:val="24"/>
          <w:szCs w:val="24"/>
        </w:rPr>
        <w:t xml:space="preserve"> - программа для ЭВМ, производимая АО «ИнфоТеКС» под торговым знаком </w:t>
      </w:r>
      <w:r>
        <w:rPr>
          <w:sz w:val="24"/>
          <w:szCs w:val="24"/>
          <w:lang w:val="en-US"/>
        </w:rPr>
        <w:t>ViPNet</w:t>
      </w:r>
      <w:r>
        <w:rPr>
          <w:sz w:val="24"/>
          <w:szCs w:val="24"/>
        </w:rPr>
        <w:t>, содержащаяся на оптическом носителе, или загружаемая Заказчиком с официального сайта АО «ИнфоТеКС», а также документация (включая руководство пользователя и описание программного продукта).</w:t>
      </w:r>
    </w:p>
    <w:p>
      <w:pPr>
        <w:pStyle w:val="Normal"/>
        <w:tabs>
          <w:tab w:val="clear" w:pos="708"/>
          <w:tab w:val="left" w:pos="709" w:leader="none"/>
        </w:tabs>
        <w:spacing w:lineRule="auto" w:line="240" w:before="0" w:after="0"/>
        <w:jc w:val="both"/>
        <w:rPr>
          <w:sz w:val="24"/>
          <w:szCs w:val="24"/>
        </w:rPr>
      </w:pPr>
      <w:r>
        <w:rPr>
          <w:b/>
          <w:sz w:val="24"/>
          <w:szCs w:val="24"/>
        </w:rPr>
        <w:tab/>
        <w:t>«Система регистрации Программ»</w:t>
      </w:r>
      <w:r>
        <w:rPr>
          <w:sz w:val="24"/>
          <w:szCs w:val="24"/>
        </w:rPr>
        <w:t xml:space="preserve"> - управляемая АО «ИнфоТеКС» специальная система регистрации легальных пользователей Программ.</w:t>
      </w:r>
    </w:p>
    <w:p>
      <w:pPr>
        <w:pStyle w:val="Normal"/>
        <w:tabs>
          <w:tab w:val="clear" w:pos="708"/>
          <w:tab w:val="left" w:pos="709" w:leader="none"/>
        </w:tabs>
        <w:spacing w:lineRule="auto" w:line="240" w:before="0" w:after="0"/>
        <w:jc w:val="both"/>
        <w:rPr>
          <w:sz w:val="24"/>
          <w:szCs w:val="24"/>
        </w:rPr>
      </w:pPr>
      <w:r>
        <w:rPr>
          <w:b/>
          <w:sz w:val="24"/>
          <w:szCs w:val="24"/>
        </w:rPr>
        <w:tab/>
        <w:t>«Регистрационная информация»</w:t>
      </w:r>
      <w:r>
        <w:rPr>
          <w:sz w:val="24"/>
          <w:szCs w:val="24"/>
        </w:rPr>
        <w:t xml:space="preserve"> - файл с регистрационными данными, серийный номер, активационный код и другая информация, которая предоставляет конечному пользователю возможность использования Программы по назначению, и регистрируемая в системе регистрации Программ.</w:t>
      </w:r>
    </w:p>
    <w:p>
      <w:pPr>
        <w:pStyle w:val="Normal"/>
        <w:tabs>
          <w:tab w:val="clear" w:pos="708"/>
          <w:tab w:val="left" w:pos="709" w:leader="none"/>
        </w:tabs>
        <w:spacing w:lineRule="auto" w:line="240" w:before="0" w:after="0"/>
        <w:jc w:val="both"/>
        <w:rPr>
          <w:sz w:val="24"/>
          <w:szCs w:val="24"/>
        </w:rPr>
      </w:pPr>
      <w:r>
        <w:rPr>
          <w:b/>
          <w:sz w:val="24"/>
          <w:szCs w:val="24"/>
        </w:rPr>
        <w:tab/>
        <w:t>«Инсталляция»</w:t>
      </w:r>
      <w:r>
        <w:rPr>
          <w:sz w:val="24"/>
          <w:szCs w:val="24"/>
        </w:rPr>
        <w:t xml:space="preserve"> - воспроизведение Программы в память ЭВМ с целью ее установки и использования ее функционала по прямому назначению.</w:t>
      </w:r>
    </w:p>
    <w:p>
      <w:pPr>
        <w:pStyle w:val="0"/>
        <w:spacing w:before="0" w:after="0"/>
        <w:ind w:firstLine="708"/>
        <w:rPr>
          <w:sz w:val="24"/>
          <w:szCs w:val="24"/>
        </w:rPr>
      </w:pPr>
      <w:r>
        <w:rPr>
          <w:b/>
          <w:bCs w:val="false"/>
          <w:spacing w:val="0"/>
          <w:sz w:val="24"/>
          <w:szCs w:val="24"/>
        </w:rPr>
        <w:t>«Техническая поддержка»</w:t>
      </w:r>
      <w:r>
        <w:rPr>
          <w:bCs w:val="false"/>
          <w:spacing w:val="0"/>
          <w:sz w:val="24"/>
          <w:szCs w:val="24"/>
        </w:rPr>
        <w:t xml:space="preserve"> – оказание консультаций по работе программного обеспечения и оборудования, производимые АО «ИнфоТеКС» под товарным знаком ViPNet.</w:t>
      </w:r>
    </w:p>
    <w:p>
      <w:pPr>
        <w:pStyle w:val="0"/>
        <w:spacing w:before="0" w:after="0"/>
        <w:ind w:firstLine="708"/>
        <w:rPr>
          <w:sz w:val="24"/>
          <w:szCs w:val="24"/>
        </w:rPr>
      </w:pPr>
      <w:r>
        <w:rPr>
          <w:b/>
          <w:bCs w:val="false"/>
          <w:spacing w:val="0"/>
          <w:sz w:val="24"/>
          <w:szCs w:val="24"/>
        </w:rPr>
        <w:t>«Сертификат активации сервиса технической поддержки»</w:t>
      </w:r>
      <w:r>
        <w:rPr>
          <w:bCs w:val="false"/>
          <w:spacing w:val="0"/>
          <w:sz w:val="24"/>
          <w:szCs w:val="24"/>
        </w:rPr>
        <w:t xml:space="preserve"> (далее - Сертификат) подтверждает право на использование услуг технической поддержки. Объем и условия технической поддержки указаны в приложении к Сертификату активации сервиса технической поддержки. Перечень и количество Сертификатов указывается в Таблице № 1 п.2 к настоящему техническому заданию.</w:t>
      </w:r>
    </w:p>
    <w:p>
      <w:pPr>
        <w:pStyle w:val="Normal"/>
        <w:tabs>
          <w:tab w:val="clear" w:pos="708"/>
          <w:tab w:val="left" w:pos="709" w:leader="none"/>
        </w:tabs>
        <w:spacing w:lineRule="auto" w:line="240" w:before="0" w:after="0"/>
        <w:jc w:val="both"/>
        <w:rPr>
          <w:sz w:val="24"/>
          <w:szCs w:val="24"/>
        </w:rPr>
      </w:pPr>
      <w:r>
        <w:rPr>
          <w:b/>
          <w:sz w:val="24"/>
          <w:szCs w:val="24"/>
        </w:rPr>
        <w:tab/>
        <w:t>«Компакт-диск с дистрибутивом программного обеспечения»</w:t>
      </w:r>
      <w:r>
        <w:rPr>
          <w:sz w:val="24"/>
          <w:szCs w:val="24"/>
        </w:rPr>
        <w:t xml:space="preserve"> (далее - Компакт-диск) – набор файлов и компонент, скомплектованных согласно правилам Лицензиара (производителя дистрибутивов) и предназначенных для ЭВМ и других компьютерных устройств, необходимых Заказчику для начала использования соответствующего ПО.</w:t>
      </w:r>
    </w:p>
    <w:p>
      <w:pPr>
        <w:pStyle w:val="Normal"/>
        <w:tabs>
          <w:tab w:val="clear" w:pos="708"/>
          <w:tab w:val="left" w:pos="709" w:leader="none"/>
        </w:tabs>
        <w:spacing w:lineRule="auto" w:line="240" w:before="0" w:after="0"/>
        <w:jc w:val="both"/>
        <w:rPr>
          <w:sz w:val="24"/>
          <w:szCs w:val="24"/>
        </w:rPr>
      </w:pPr>
      <w:r>
        <w:rPr>
          <w:b/>
          <w:sz w:val="24"/>
          <w:szCs w:val="24"/>
        </w:rPr>
        <w:tab/>
        <w:t>АО «ИнфоТеКС</w:t>
      </w:r>
      <w:r>
        <w:rPr>
          <w:sz w:val="24"/>
          <w:szCs w:val="24"/>
        </w:rPr>
        <w:t>» - обладатель исключительных прав на Программу.</w:t>
      </w:r>
    </w:p>
    <w:p>
      <w:pPr>
        <w:pStyle w:val="Normal"/>
        <w:tabs>
          <w:tab w:val="clear" w:pos="708"/>
          <w:tab w:val="left" w:pos="1080" w:leader="none"/>
        </w:tabs>
        <w:spacing w:lineRule="auto" w:line="240" w:before="0" w:after="0"/>
        <w:rPr>
          <w:rFonts w:ascii="Times New Roman" w:hAnsi="Times New Roman"/>
          <w:b/>
          <w:sz w:val="24"/>
          <w:szCs w:val="24"/>
        </w:rPr>
      </w:pPr>
      <w:r>
        <w:rPr>
          <w:b/>
          <w:sz w:val="24"/>
          <w:szCs w:val="24"/>
        </w:rPr>
      </w:r>
    </w:p>
    <w:p>
      <w:pPr>
        <w:pStyle w:val="Normal"/>
        <w:tabs>
          <w:tab w:val="clear" w:pos="708"/>
          <w:tab w:val="left" w:pos="1080" w:leader="none"/>
        </w:tabs>
        <w:spacing w:lineRule="auto" w:line="240" w:before="0" w:after="0"/>
        <w:jc w:val="center"/>
        <w:rPr>
          <w:sz w:val="24"/>
          <w:szCs w:val="24"/>
        </w:rPr>
      </w:pPr>
      <w:r>
        <w:rPr>
          <w:b/>
          <w:sz w:val="24"/>
          <w:szCs w:val="24"/>
        </w:rPr>
        <w:t>3. Состав, количество и характеристики программного обеспечения</w:t>
      </w:r>
    </w:p>
    <w:p>
      <w:pPr>
        <w:pStyle w:val="Normal"/>
        <w:tabs>
          <w:tab w:val="clear" w:pos="708"/>
          <w:tab w:val="left" w:pos="0" w:leader="none"/>
          <w:tab w:val="left" w:pos="1260" w:leader="none"/>
        </w:tabs>
        <w:spacing w:lineRule="auto" w:line="240" w:before="0" w:after="0"/>
        <w:ind w:left="360"/>
        <w:rPr>
          <w:sz w:val="24"/>
          <w:szCs w:val="24"/>
        </w:rPr>
      </w:pPr>
      <w:r>
        <w:rPr>
          <w:sz w:val="24"/>
          <w:szCs w:val="24"/>
        </w:rPr>
        <w:t>3.1 Объем передаваемых прав представлен в Таблице № 1.</w:t>
      </w:r>
    </w:p>
    <w:p>
      <w:pPr>
        <w:pStyle w:val="Normal"/>
        <w:tabs>
          <w:tab w:val="clear" w:pos="708"/>
          <w:tab w:val="left" w:pos="0" w:leader="none"/>
          <w:tab w:val="left" w:pos="1260" w:leader="none"/>
        </w:tabs>
        <w:spacing w:lineRule="auto" w:line="240" w:before="0" w:after="0"/>
        <w:jc w:val="both"/>
        <w:rPr>
          <w:sz w:val="24"/>
          <w:szCs w:val="24"/>
        </w:rPr>
      </w:pPr>
      <w:r>
        <w:rPr>
          <w:sz w:val="24"/>
          <w:szCs w:val="24"/>
        </w:rPr>
        <w:t xml:space="preserve">      </w:t>
      </w:r>
      <w:r>
        <w:rPr>
          <w:sz w:val="24"/>
          <w:szCs w:val="24"/>
        </w:rPr>
        <w:t>3.2 Технические требования к ПО и его характеристики приведены в Таблице № 2.</w:t>
      </w:r>
    </w:p>
    <w:p>
      <w:pPr>
        <w:pStyle w:val="Normal"/>
        <w:tabs>
          <w:tab w:val="clear" w:pos="708"/>
          <w:tab w:val="left" w:pos="0" w:leader="none"/>
          <w:tab w:val="left" w:pos="1260" w:leader="none"/>
        </w:tabs>
        <w:spacing w:lineRule="auto" w:line="240" w:before="0" w:after="0"/>
        <w:jc w:val="both"/>
        <w:rPr>
          <w:rFonts w:ascii="Times New Roman" w:hAnsi="Times New Roman"/>
          <w:sz w:val="24"/>
          <w:szCs w:val="24"/>
        </w:rPr>
      </w:pPr>
      <w:r>
        <w:rPr>
          <w:sz w:val="24"/>
          <w:szCs w:val="24"/>
        </w:rPr>
      </w:r>
    </w:p>
    <w:p>
      <w:pPr>
        <w:pStyle w:val="Normal"/>
        <w:tabs>
          <w:tab w:val="clear" w:pos="708"/>
          <w:tab w:val="left" w:pos="0" w:leader="none"/>
          <w:tab w:val="left" w:pos="1260" w:leader="none"/>
        </w:tabs>
        <w:spacing w:lineRule="auto" w:line="240" w:before="0" w:after="0"/>
        <w:jc w:val="both"/>
        <w:rPr>
          <w:rFonts w:ascii="Times New Roman" w:hAnsi="Times New Roman"/>
          <w:sz w:val="24"/>
          <w:szCs w:val="24"/>
        </w:rPr>
      </w:pPr>
      <w:r>
        <w:rPr>
          <w:sz w:val="24"/>
          <w:szCs w:val="24"/>
        </w:rPr>
      </w:r>
    </w:p>
    <w:p>
      <w:pPr>
        <w:pStyle w:val="Normal"/>
        <w:tabs>
          <w:tab w:val="clear" w:pos="708"/>
          <w:tab w:val="left" w:pos="935" w:leader="none"/>
        </w:tabs>
        <w:spacing w:lineRule="auto" w:line="240" w:before="0" w:after="0"/>
        <w:jc w:val="right"/>
        <w:rPr>
          <w:rFonts w:ascii="Times New Roman" w:hAnsi="Times New Roman"/>
          <w:i/>
          <w:i/>
          <w:sz w:val="24"/>
          <w:szCs w:val="24"/>
        </w:rPr>
      </w:pPr>
      <w:r>
        <w:rPr>
          <w:i/>
          <w:sz w:val="24"/>
          <w:szCs w:val="24"/>
        </w:rPr>
      </w:r>
    </w:p>
    <w:p>
      <w:pPr>
        <w:pStyle w:val="Normal"/>
        <w:tabs>
          <w:tab w:val="clear" w:pos="708"/>
          <w:tab w:val="left" w:pos="935" w:leader="none"/>
        </w:tabs>
        <w:spacing w:lineRule="auto" w:line="240" w:before="0" w:after="0"/>
        <w:jc w:val="right"/>
        <w:rPr>
          <w:sz w:val="24"/>
          <w:szCs w:val="24"/>
        </w:rPr>
      </w:pPr>
      <w:r>
        <w:rPr>
          <w:i/>
          <w:sz w:val="24"/>
          <w:szCs w:val="24"/>
        </w:rPr>
        <w:t>Таблица № 1</w:t>
      </w:r>
    </w:p>
    <w:tbl>
      <w:tblPr>
        <w:tblW w:w="5000" w:type="pct"/>
        <w:jc w:val="left"/>
        <w:tblInd w:w="10" w:type="dxa"/>
        <w:tblLayout w:type="fixed"/>
        <w:tblCellMar>
          <w:top w:w="0" w:type="dxa"/>
          <w:left w:w="5" w:type="dxa"/>
          <w:bottom w:w="0" w:type="dxa"/>
          <w:right w:w="0" w:type="dxa"/>
        </w:tblCellMar>
        <w:tblLook w:val="00a0" w:noHBand="0" w:noVBand="0" w:firstColumn="1" w:lastRow="0" w:lastColumn="0" w:firstRow="1"/>
      </w:tblPr>
      <w:tblGrid>
        <w:gridCol w:w="611"/>
        <w:gridCol w:w="6960"/>
        <w:gridCol w:w="1655"/>
        <w:gridCol w:w="979"/>
      </w:tblGrid>
      <w:tr>
        <w:trPr/>
        <w:tc>
          <w:tcPr>
            <w:tcW w:w="611" w:type="dxa"/>
            <w:vMerge w:val="restart"/>
            <w:tcBorders>
              <w:top w:val="single" w:sz="4" w:space="0" w:color="000000"/>
              <w:left w:val="single" w:sz="4" w:space="0" w:color="000000"/>
              <w:bottom w:val="single" w:sz="4" w:space="0" w:color="000000"/>
            </w:tcBorders>
            <w:shd w:color="auto" w:fill="FFFFFF" w:val="cle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 xml:space="preserve">№ </w:t>
            </w:r>
            <w:r>
              <w:rPr>
                <w:b/>
                <w:sz w:val="24"/>
                <w:szCs w:val="24"/>
              </w:rPr>
              <w:t>п/п</w:t>
            </w:r>
          </w:p>
        </w:tc>
        <w:tc>
          <w:tcPr>
            <w:tcW w:w="6960" w:type="dxa"/>
            <w:vMerge w:val="restart"/>
            <w:tcBorders>
              <w:top w:val="single" w:sz="4" w:space="0" w:color="000000"/>
              <w:left w:val="single" w:sz="4" w:space="0" w:color="000000"/>
              <w:bottom w:val="single" w:sz="4" w:space="0" w:color="000000"/>
            </w:tcBorders>
            <w:shd w:color="auto" w:fill="FFFFFF" w:val="cle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Наименование</w:t>
            </w:r>
          </w:p>
        </w:tc>
        <w:tc>
          <w:tcPr>
            <w:tcW w:w="2634" w:type="dxa"/>
            <w:gridSpan w:val="2"/>
            <w:tcBorders>
              <w:top w:val="single" w:sz="4" w:space="0" w:color="000000"/>
              <w:left w:val="single" w:sz="4" w:space="0" w:color="000000"/>
              <w:right w:val="single" w:sz="4" w:space="0" w:color="000000"/>
            </w:tcBorders>
            <w:shd w:color="auto" w:fill="FFFFFF" w:val="cle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Объем поставки</w:t>
            </w:r>
          </w:p>
        </w:tc>
      </w:tr>
      <w:tr>
        <w:trPr/>
        <w:tc>
          <w:tcPr>
            <w:tcW w:w="611" w:type="dxa"/>
            <w:vMerge w:val="continue"/>
            <w:tcBorders>
              <w:top w:val="single" w:sz="4" w:space="0" w:color="000000"/>
              <w:left w:val="single" w:sz="4" w:space="0" w:color="000000"/>
              <w:bottom w:val="single" w:sz="4" w:space="0" w:color="000000"/>
            </w:tcBorders>
            <w:vAlign w:val="center"/>
          </w:tcPr>
          <w:p>
            <w:pPr>
              <w:pStyle w:val="Normal"/>
              <w:spacing w:lineRule="auto" w:line="240" w:before="0" w:after="0"/>
              <w:rPr>
                <w:rFonts w:ascii="Times New Roman" w:hAnsi="Times New Roman" w:eastAsia="Droid Sans Fallback"/>
                <w:b/>
                <w:kern w:val="2"/>
                <w:sz w:val="24"/>
                <w:szCs w:val="24"/>
                <w:lang w:eastAsia="zh-CN" w:bidi="hi-IN"/>
              </w:rPr>
            </w:pPr>
            <w:r>
              <w:rPr>
                <w:rFonts w:eastAsia="Droid Sans Fallback"/>
                <w:b/>
                <w:kern w:val="2"/>
                <w:sz w:val="24"/>
                <w:szCs w:val="24"/>
                <w:lang w:eastAsia="zh-CN" w:bidi="hi-IN"/>
              </w:rPr>
            </w:r>
          </w:p>
        </w:tc>
        <w:tc>
          <w:tcPr>
            <w:tcW w:w="6960" w:type="dxa"/>
            <w:vMerge w:val="continue"/>
            <w:tcBorders>
              <w:top w:val="single" w:sz="4" w:space="0" w:color="000000"/>
              <w:left w:val="single" w:sz="4" w:space="0" w:color="000000"/>
              <w:bottom w:val="single" w:sz="4" w:space="0" w:color="000000"/>
            </w:tcBorders>
            <w:vAlign w:val="center"/>
          </w:tcPr>
          <w:p>
            <w:pPr>
              <w:pStyle w:val="Normal"/>
              <w:spacing w:lineRule="auto" w:line="240" w:before="0" w:after="0"/>
              <w:rPr>
                <w:rFonts w:ascii="Times New Roman" w:hAnsi="Times New Roman" w:eastAsia="Droid Sans Fallback"/>
                <w:b/>
                <w:kern w:val="2"/>
                <w:sz w:val="24"/>
                <w:szCs w:val="24"/>
                <w:lang w:eastAsia="zh-CN" w:bidi="hi-IN"/>
              </w:rPr>
            </w:pPr>
            <w:r>
              <w:rPr>
                <w:rFonts w:eastAsia="Droid Sans Fallback"/>
                <w:b/>
                <w:kern w:val="2"/>
                <w:sz w:val="24"/>
                <w:szCs w:val="24"/>
                <w:lang w:eastAsia="zh-CN" w:bidi="hi-IN"/>
              </w:rPr>
            </w:r>
          </w:p>
        </w:tc>
        <w:tc>
          <w:tcPr>
            <w:tcW w:w="1655"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Единицы измерения</w:t>
            </w:r>
          </w:p>
        </w:tc>
        <w:tc>
          <w:tcPr>
            <w:tcW w:w="979"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b/>
                <w:sz w:val="24"/>
                <w:szCs w:val="24"/>
              </w:rPr>
              <w:t>Кол-во</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1</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60"/>
              <w:rPr>
                <w:sz w:val="24"/>
                <w:szCs w:val="24"/>
              </w:rPr>
            </w:pPr>
            <w:r>
              <w:rPr>
                <w:rFonts w:eastAsia="Calibri" w:cs="Times New Roman"/>
                <w:sz w:val="24"/>
                <w:szCs w:val="24"/>
              </w:rPr>
              <w:t xml:space="preserve">Передача права на использование ПО ViPNet Client 5 for Linux, </w:t>
            </w:r>
            <w:r>
              <w:rPr>
                <w:rFonts w:eastAsia="Calibri" w:cs="Times New Roman"/>
                <w:b/>
                <w:bCs/>
                <w:color w:val="FF0000"/>
                <w:sz w:val="24"/>
                <w:szCs w:val="24"/>
              </w:rPr>
              <w:t>Сеть 1274</w:t>
            </w:r>
          </w:p>
        </w:tc>
        <w:tc>
          <w:tcPr>
            <w:tcW w:w="1655"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Ед.(лицензия)</w:t>
            </w:r>
          </w:p>
        </w:tc>
        <w:tc>
          <w:tcPr>
            <w:tcW w:w="979"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lang w:val="en-US"/>
              </w:rPr>
              <w:t>4</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2</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spacing w:before="0" w:after="60"/>
              <w:rPr>
                <w:sz w:val="24"/>
                <w:szCs w:val="24"/>
              </w:rPr>
            </w:pPr>
            <w:r>
              <w:rPr>
                <w:rFonts w:eastAsia="Calibri" w:cs="Times New Roman"/>
                <w:sz w:val="24"/>
                <w:szCs w:val="24"/>
              </w:rPr>
              <w:t xml:space="preserve">Передача права на использование ПО ViPNet Client 5 for Linux (Update Client 4 Lin), </w:t>
            </w:r>
            <w:r>
              <w:rPr>
                <w:rFonts w:eastAsia="Calibri" w:cs="Times New Roman"/>
                <w:b/>
                <w:bCs/>
                <w:color w:val="FF0000"/>
                <w:sz w:val="24"/>
                <w:szCs w:val="24"/>
              </w:rPr>
              <w:t>Сеть 1274</w:t>
            </w:r>
          </w:p>
        </w:tc>
        <w:tc>
          <w:tcPr>
            <w:tcW w:w="1655"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Ед.(лицензия)</w:t>
            </w:r>
          </w:p>
        </w:tc>
        <w:tc>
          <w:tcPr>
            <w:tcW w:w="979"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lang w:val="en-US"/>
              </w:rPr>
              <w:t>6</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3</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tabs>
                <w:tab w:val="clear" w:pos="708"/>
                <w:tab w:val="left" w:pos="935" w:leader="none"/>
                <w:tab w:val="center" w:pos="3294" w:leader="none"/>
                <w:tab w:val="left" w:pos="3970" w:leader="none"/>
              </w:tabs>
              <w:snapToGrid w:val="false"/>
              <w:spacing w:lineRule="auto" w:line="240" w:before="0" w:after="0"/>
              <w:rPr>
                <w:sz w:val="24"/>
                <w:szCs w:val="24"/>
              </w:rPr>
            </w:pPr>
            <w:r>
              <w:rPr>
                <w:rFonts w:eastAsia="Calibri" w:cs="Times New Roman"/>
                <w:sz w:val="24"/>
                <w:szCs w:val="24"/>
              </w:rPr>
              <w:t xml:space="preserve">Сертификат активации сервиса </w:t>
            </w:r>
            <w:r>
              <w:rPr>
                <w:rFonts w:eastAsia="Calibri" w:cs="Times New Roman"/>
                <w:b/>
                <w:bCs/>
                <w:sz w:val="24"/>
                <w:szCs w:val="24"/>
              </w:rPr>
              <w:t>прямой</w:t>
            </w:r>
            <w:r>
              <w:rPr>
                <w:rFonts w:eastAsia="Calibri" w:cs="Times New Roman"/>
                <w:sz w:val="24"/>
                <w:szCs w:val="24"/>
              </w:rPr>
              <w:t xml:space="preserve"> технической поддержки ПО ViPNet Client 5 for Linux на срок 1 год, уровень – Расширенный. </w:t>
            </w:r>
            <w:r>
              <w:rPr>
                <w:rFonts w:eastAsia="Calibri" w:cs="Times New Roman"/>
                <w:b/>
                <w:bCs/>
                <w:color w:val="FF0000"/>
                <w:sz w:val="24"/>
                <w:szCs w:val="24"/>
              </w:rPr>
              <w:t>Сеть 1274.</w:t>
            </w:r>
          </w:p>
        </w:tc>
        <w:tc>
          <w:tcPr>
            <w:tcW w:w="1655"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Ед.(лицензия)</w:t>
            </w:r>
          </w:p>
        </w:tc>
        <w:tc>
          <w:tcPr>
            <w:tcW w:w="979"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lang w:val="en-US"/>
              </w:rPr>
              <w:t>10</w:t>
            </w:r>
          </w:p>
        </w:tc>
      </w:tr>
      <w:tr>
        <w:trPr/>
        <w:tc>
          <w:tcPr>
            <w:tcW w:w="611"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11"/>
              <w:tabs>
                <w:tab w:val="clear" w:pos="708"/>
                <w:tab w:val="left" w:pos="935" w:leader="none"/>
              </w:tabs>
              <w:snapToGrid w:val="false"/>
              <w:spacing w:lineRule="auto" w:line="240" w:before="0" w:after="0"/>
              <w:ind w:left="0"/>
              <w:contextualSpacing/>
              <w:jc w:val="center"/>
              <w:rPr>
                <w:sz w:val="24"/>
                <w:szCs w:val="24"/>
              </w:rPr>
            </w:pPr>
            <w:r>
              <w:rPr>
                <w:sz w:val="24"/>
                <w:szCs w:val="24"/>
              </w:rPr>
              <w:t>4</w:t>
            </w:r>
          </w:p>
        </w:tc>
        <w:tc>
          <w:tcPr>
            <w:tcW w:w="696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pPr>
              <w:pStyle w:val="Normal"/>
              <w:tabs>
                <w:tab w:val="clear" w:pos="708"/>
                <w:tab w:val="left" w:pos="709" w:leader="none"/>
              </w:tabs>
              <w:spacing w:lineRule="auto" w:line="240" w:before="0" w:after="0"/>
              <w:rPr>
                <w:sz w:val="24"/>
                <w:szCs w:val="24"/>
              </w:rPr>
            </w:pPr>
            <w:r>
              <w:rPr>
                <w:rFonts w:eastAsia="Calibri" w:cs="Times New Roman"/>
                <w:sz w:val="24"/>
                <w:szCs w:val="24"/>
              </w:rPr>
              <w:t xml:space="preserve">Компакт-диск с Дистрибутивом ПО </w:t>
            </w:r>
            <w:r>
              <w:rPr>
                <w:rFonts w:eastAsia="Calibri" w:cs="Times New Roman"/>
                <w:sz w:val="24"/>
                <w:szCs w:val="24"/>
                <w:lang w:val="en-US"/>
              </w:rPr>
              <w:t>ViPNet</w:t>
            </w:r>
            <w:r>
              <w:rPr>
                <w:rFonts w:eastAsia="Calibri" w:cs="Times New Roman"/>
                <w:sz w:val="24"/>
                <w:szCs w:val="24"/>
              </w:rPr>
              <w:t xml:space="preserve"> </w:t>
            </w:r>
            <w:r>
              <w:rPr>
                <w:rFonts w:eastAsia="Calibri" w:cs="Times New Roman"/>
                <w:sz w:val="24"/>
                <w:szCs w:val="24"/>
                <w:lang w:val="en-US"/>
              </w:rPr>
              <w:t>Client</w:t>
            </w:r>
            <w:r>
              <w:rPr>
                <w:rFonts w:eastAsia="Calibri" w:cs="Times New Roman"/>
                <w:sz w:val="24"/>
                <w:szCs w:val="24"/>
              </w:rPr>
              <w:t xml:space="preserve"> 5 </w:t>
            </w:r>
            <w:r>
              <w:rPr>
                <w:rFonts w:eastAsia="Calibri" w:cs="Times New Roman"/>
                <w:sz w:val="24"/>
                <w:szCs w:val="24"/>
                <w:lang w:val="en-US"/>
              </w:rPr>
              <w:t>for</w:t>
            </w:r>
            <w:r>
              <w:rPr>
                <w:rFonts w:eastAsia="Calibri" w:cs="Times New Roman"/>
                <w:sz w:val="24"/>
                <w:szCs w:val="24"/>
              </w:rPr>
              <w:t xml:space="preserve"> </w:t>
            </w:r>
            <w:r>
              <w:rPr>
                <w:rFonts w:eastAsia="Calibri" w:cs="Times New Roman"/>
                <w:sz w:val="24"/>
                <w:szCs w:val="24"/>
                <w:lang w:val="en-US"/>
              </w:rPr>
              <w:t>Linux</w:t>
            </w:r>
            <w:r>
              <w:rPr>
                <w:rFonts w:eastAsia="Calibri" w:cs="Times New Roman"/>
                <w:sz w:val="24"/>
                <w:szCs w:val="24"/>
              </w:rPr>
              <w:t xml:space="preserve"> (Исполнение.2) с учетом доставки</w:t>
            </w:r>
          </w:p>
        </w:tc>
        <w:tc>
          <w:tcPr>
            <w:tcW w:w="1655" w:type="dxa"/>
            <w:tcBorders>
              <w:top w:val="single" w:sz="4" w:space="0" w:color="000000"/>
              <w:left w:val="single" w:sz="4" w:space="0" w:color="000000"/>
              <w:bottom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шт.</w:t>
            </w:r>
          </w:p>
        </w:tc>
        <w:tc>
          <w:tcPr>
            <w:tcW w:w="979" w:type="dxa"/>
            <w:tcBorders>
              <w:top w:val="single" w:sz="4" w:space="0" w:color="000000"/>
              <w:left w:val="single" w:sz="4" w:space="0" w:color="000000"/>
              <w:bottom w:val="single" w:sz="4" w:space="0" w:color="000000"/>
              <w:right w:val="single" w:sz="4" w:space="0" w:color="000000"/>
            </w:tcBorders>
            <w:shd w:color="auto" w:fill="FFFFFF" w:val="clear"/>
            <w:tcMar>
              <w:left w:w="108" w:type="dxa"/>
              <w:right w:w="108" w:type="dxa"/>
            </w:tcMar>
            <w:vAlign w:val="center"/>
          </w:tcPr>
          <w:p>
            <w:pPr>
              <w:pStyle w:val="Normal"/>
              <w:tabs>
                <w:tab w:val="clear" w:pos="708"/>
                <w:tab w:val="left" w:pos="935" w:leader="none"/>
              </w:tabs>
              <w:snapToGrid w:val="false"/>
              <w:spacing w:lineRule="auto" w:line="240" w:before="0" w:after="0"/>
              <w:jc w:val="center"/>
              <w:rPr>
                <w:sz w:val="24"/>
                <w:szCs w:val="24"/>
              </w:rPr>
            </w:pPr>
            <w:r>
              <w:rPr>
                <w:sz w:val="24"/>
                <w:szCs w:val="24"/>
              </w:rPr>
              <w:t>1</w:t>
            </w:r>
          </w:p>
        </w:tc>
      </w:tr>
    </w:tbl>
    <w:p>
      <w:pPr>
        <w:pStyle w:val="Normal"/>
        <w:tabs>
          <w:tab w:val="clear" w:pos="708"/>
          <w:tab w:val="left" w:pos="1080" w:leader="none"/>
        </w:tabs>
        <w:spacing w:lineRule="auto" w:line="240" w:before="0" w:after="0"/>
        <w:rPr>
          <w:rFonts w:ascii="Times New Roman" w:hAnsi="Times New Roman" w:eastAsia="Droid Sans Fallback"/>
          <w:kern w:val="2"/>
          <w:sz w:val="24"/>
          <w:szCs w:val="24"/>
          <w:lang w:eastAsia="zh-CN" w:bidi="hi-IN"/>
        </w:rPr>
      </w:pPr>
      <w:r>
        <w:rPr>
          <w:rFonts w:eastAsia="Droid Sans Fallback"/>
          <w:kern w:val="2"/>
          <w:sz w:val="24"/>
          <w:szCs w:val="24"/>
          <w:lang w:eastAsia="zh-CN" w:bidi="hi-IN"/>
        </w:rPr>
      </w:r>
    </w:p>
    <w:p>
      <w:pPr>
        <w:pStyle w:val="Normal"/>
        <w:tabs>
          <w:tab w:val="clear" w:pos="708"/>
          <w:tab w:val="left" w:pos="1080" w:leader="none"/>
        </w:tabs>
        <w:spacing w:lineRule="auto" w:line="240" w:before="0" w:after="0"/>
        <w:ind w:firstLine="567"/>
        <w:jc w:val="both"/>
        <w:rPr>
          <w:sz w:val="24"/>
          <w:szCs w:val="24"/>
        </w:rPr>
      </w:pPr>
      <w:r>
        <w:rPr>
          <w:sz w:val="24"/>
          <w:szCs w:val="24"/>
        </w:rPr>
        <w:t>В целях необходимости обеспечения взаимодействия, приобретаемого ПО с уже используемым заказчиком (п. 1 ч.1 ст. 33 Федерального закона от 05.04.2013 № 44-ФЗ) ЕИСУ КС и сервисом единого реестра сертификатов соответствия и деклараций о соответствии, в настоящей документации указание на товарные знаки не сопровождается словами «или эквивалент».</w:t>
      </w:r>
    </w:p>
    <w:p>
      <w:pPr>
        <w:pStyle w:val="Normal"/>
        <w:tabs>
          <w:tab w:val="clear" w:pos="708"/>
          <w:tab w:val="left" w:pos="1080" w:leader="none"/>
        </w:tabs>
        <w:spacing w:lineRule="auto" w:line="240" w:before="0" w:after="0"/>
        <w:jc w:val="center"/>
        <w:rPr>
          <w:rFonts w:ascii="Times New Roman" w:hAnsi="Times New Roman"/>
          <w:b/>
          <w:sz w:val="24"/>
          <w:szCs w:val="24"/>
        </w:rPr>
      </w:pPr>
      <w:r>
        <w:rPr>
          <w:b/>
          <w:sz w:val="24"/>
          <w:szCs w:val="24"/>
        </w:rPr>
      </w:r>
    </w:p>
    <w:p>
      <w:pPr>
        <w:pStyle w:val="Normal"/>
        <w:tabs>
          <w:tab w:val="clear" w:pos="708"/>
          <w:tab w:val="left" w:pos="1080" w:leader="none"/>
        </w:tabs>
        <w:spacing w:lineRule="auto" w:line="240" w:before="0" w:after="0"/>
        <w:jc w:val="center"/>
        <w:rPr>
          <w:sz w:val="24"/>
          <w:szCs w:val="24"/>
        </w:rPr>
      </w:pPr>
      <w:r>
        <w:rPr>
          <w:b/>
          <w:sz w:val="24"/>
          <w:szCs w:val="24"/>
        </w:rPr>
        <w:t>Требования к ПО и его характеристики</w:t>
      </w:r>
    </w:p>
    <w:p>
      <w:pPr>
        <w:pStyle w:val="Normal"/>
        <w:tabs>
          <w:tab w:val="clear" w:pos="708"/>
          <w:tab w:val="left" w:pos="1080" w:leader="none"/>
        </w:tabs>
        <w:spacing w:lineRule="auto" w:line="240" w:before="0" w:after="0"/>
        <w:jc w:val="right"/>
        <w:rPr>
          <w:sz w:val="24"/>
          <w:szCs w:val="24"/>
        </w:rPr>
      </w:pPr>
      <w:r>
        <w:rPr>
          <w:i/>
          <w:sz w:val="24"/>
          <w:szCs w:val="24"/>
        </w:rPr>
        <w:t>Таблица № 2</w:t>
      </w:r>
    </w:p>
    <w:tbl>
      <w:tblPr>
        <w:tblW w:w="5000" w:type="pct"/>
        <w:jc w:val="left"/>
        <w:tblInd w:w="113" w:type="dxa"/>
        <w:tblLayout w:type="fixed"/>
        <w:tblCellMar>
          <w:top w:w="0" w:type="dxa"/>
          <w:left w:w="108" w:type="dxa"/>
          <w:bottom w:w="0" w:type="dxa"/>
          <w:right w:w="108" w:type="dxa"/>
        </w:tblCellMar>
        <w:tblLook w:val="00a0" w:noHBand="0" w:noVBand="0" w:firstColumn="1" w:lastRow="0" w:lastColumn="0" w:firstRow="1"/>
      </w:tblPr>
      <w:tblGrid>
        <w:gridCol w:w="560"/>
        <w:gridCol w:w="2883"/>
        <w:gridCol w:w="6763"/>
      </w:tblGrid>
      <w:tr>
        <w:trPr/>
        <w:tc>
          <w:tcPr>
            <w:tcW w:w="560" w:type="dxa"/>
            <w:tcBorders>
              <w:top w:val="single" w:sz="4" w:space="0" w:color="000000"/>
              <w:left w:val="single" w:sz="4" w:space="0" w:color="000000"/>
              <w:bottom w:val="single" w:sz="4" w:space="0" w:color="000000"/>
            </w:tcBorders>
            <w:vAlign w:val="center"/>
          </w:tcPr>
          <w:p>
            <w:pPr>
              <w:pStyle w:val="Normal"/>
              <w:snapToGrid w:val="false"/>
              <w:spacing w:lineRule="auto" w:line="240" w:before="0" w:after="0"/>
              <w:jc w:val="center"/>
              <w:rPr>
                <w:sz w:val="24"/>
                <w:szCs w:val="24"/>
              </w:rPr>
            </w:pPr>
            <w:r>
              <w:rPr>
                <w:b/>
                <w:sz w:val="24"/>
                <w:szCs w:val="24"/>
              </w:rPr>
              <w:t xml:space="preserve">№ </w:t>
            </w:r>
            <w:r>
              <w:rPr>
                <w:b/>
                <w:sz w:val="24"/>
                <w:szCs w:val="24"/>
              </w:rPr>
              <w:t>п/п</w:t>
            </w:r>
          </w:p>
        </w:tc>
        <w:tc>
          <w:tcPr>
            <w:tcW w:w="288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sz w:val="24"/>
                <w:szCs w:val="24"/>
              </w:rPr>
            </w:pPr>
            <w:r>
              <w:rPr>
                <w:b/>
                <w:sz w:val="24"/>
                <w:szCs w:val="24"/>
              </w:rPr>
              <w:t>Наименование</w:t>
            </w:r>
          </w:p>
        </w:tc>
        <w:tc>
          <w:tcPr>
            <w:tcW w:w="676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lineRule="auto" w:line="240" w:before="0" w:after="0"/>
              <w:jc w:val="center"/>
              <w:rPr>
                <w:sz w:val="24"/>
                <w:szCs w:val="24"/>
              </w:rPr>
            </w:pPr>
            <w:r>
              <w:rPr>
                <w:b/>
                <w:sz w:val="24"/>
                <w:szCs w:val="24"/>
              </w:rPr>
              <w:t>Технические характеристики</w:t>
            </w:r>
          </w:p>
        </w:tc>
      </w:tr>
      <w:tr>
        <w:trPr/>
        <w:tc>
          <w:tcPr>
            <w:tcW w:w="560" w:type="dxa"/>
            <w:tcBorders>
              <w:top w:val="single" w:sz="4" w:space="0" w:color="000000"/>
              <w:left w:val="single" w:sz="4" w:space="0" w:color="000000"/>
              <w:bottom w:val="single" w:sz="4" w:space="0" w:color="000000"/>
            </w:tcBorders>
          </w:tcPr>
          <w:p>
            <w:pPr>
              <w:pStyle w:val="Normal"/>
              <w:snapToGrid w:val="false"/>
              <w:spacing w:lineRule="auto" w:line="240" w:before="0" w:after="0"/>
              <w:rPr>
                <w:sz w:val="24"/>
                <w:szCs w:val="24"/>
              </w:rPr>
            </w:pPr>
            <w:r>
              <w:rPr>
                <w:sz w:val="24"/>
                <w:szCs w:val="24"/>
              </w:rPr>
              <w:t>1</w:t>
            </w:r>
          </w:p>
        </w:tc>
        <w:tc>
          <w:tcPr>
            <w:tcW w:w="288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sz w:val="24"/>
                <w:szCs w:val="24"/>
              </w:rPr>
            </w:pPr>
            <w:r>
              <w:rPr>
                <w:rFonts w:eastAsia="Calibri" w:cs="Times New Roman"/>
                <w:sz w:val="24"/>
                <w:szCs w:val="24"/>
              </w:rPr>
              <w:t xml:space="preserve">Передача права на использование ПО ViPNet Client 5 for Linux, </w:t>
            </w:r>
            <w:r>
              <w:rPr>
                <w:rFonts w:eastAsia="Calibri" w:cs="Times New Roman"/>
                <w:b/>
                <w:bCs/>
                <w:color w:val="FF0000"/>
                <w:sz w:val="24"/>
                <w:szCs w:val="24"/>
              </w:rPr>
              <w:t>Сеть 1274</w:t>
            </w:r>
          </w:p>
        </w:tc>
        <w:tc>
          <w:tcPr>
            <w:tcW w:w="6763" w:type="dxa"/>
            <w:tcBorders>
              <w:top w:val="single" w:sz="4" w:space="0" w:color="000000"/>
              <w:left w:val="single" w:sz="4" w:space="0" w:color="000000"/>
              <w:bottom w:val="single" w:sz="4" w:space="0" w:color="000000"/>
              <w:right w:val="single" w:sz="4" w:space="0" w:color="000000"/>
            </w:tcBorders>
          </w:tcPr>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Поддерживаемые операционные системы и платформы</w:t>
            </w:r>
            <w:r>
              <w:rPr>
                <w:rFonts w:cs="Times New Roman"/>
                <w:color w:val="333333"/>
                <w:sz w:val="24"/>
                <w:szCs w:val="24"/>
              </w:rPr>
              <w:t>: Linux на платформах х86-64.</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Поддерживаемые каналы связи</w:t>
            </w:r>
            <w:r>
              <w:rPr>
                <w:rFonts w:cs="Times New Roman"/>
                <w:color w:val="333333"/>
                <w:sz w:val="24"/>
                <w:szCs w:val="24"/>
              </w:rPr>
              <w:t>: Ethernet.</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Шифрование</w:t>
            </w:r>
            <w:r>
              <w:rPr>
                <w:rFonts w:cs="Times New Roman"/>
                <w:color w:val="333333"/>
                <w:sz w:val="24"/>
                <w:szCs w:val="24"/>
              </w:rPr>
              <w:t>: ГОСТ 28147-89, 34.12-2018, 34.13-2018 (длина ключей 256 бит).</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Поддержка</w:t>
            </w:r>
            <w:r>
              <w:rPr>
                <w:rFonts w:cs="Times New Roman"/>
                <w:b/>
                <w:bCs/>
                <w:color w:val="333333"/>
                <w:sz w:val="24"/>
                <w:szCs w:val="24"/>
                <w:lang w:val="en-US"/>
              </w:rPr>
              <w:t xml:space="preserve"> ViPNet CSS Connect</w:t>
            </w:r>
            <w:r>
              <w:rPr>
                <w:rFonts w:cs="Times New Roman"/>
                <w:color w:val="333333"/>
                <w:sz w:val="24"/>
                <w:szCs w:val="24"/>
                <w:lang w:val="en-US"/>
              </w:rPr>
              <w:t xml:space="preserve">: </w:t>
            </w:r>
            <w:r>
              <w:rPr>
                <w:rFonts w:cs="Times New Roman"/>
                <w:color w:val="333333"/>
                <w:sz w:val="24"/>
                <w:szCs w:val="24"/>
              </w:rPr>
              <w:t>да</w:t>
            </w:r>
            <w:r>
              <w:rPr>
                <w:rFonts w:cs="Times New Roman"/>
                <w:color w:val="333333"/>
                <w:sz w:val="24"/>
                <w:szCs w:val="24"/>
                <w:lang w:val="en-US"/>
              </w:rPr>
              <w:t>.</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Поддержка приложения ViPNet</w:t>
            </w:r>
            <w:r>
              <w:rPr>
                <w:rFonts w:cs="Times New Roman"/>
                <w:color w:val="333333"/>
                <w:sz w:val="24"/>
                <w:szCs w:val="24"/>
              </w:rPr>
              <w:t>: да.</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Поддержка деловой почты</w:t>
            </w:r>
            <w:r>
              <w:rPr>
                <w:rFonts w:cs="Times New Roman"/>
                <w:color w:val="333333"/>
                <w:sz w:val="24"/>
                <w:szCs w:val="24"/>
              </w:rPr>
              <w:t>: нет</w:t>
            </w:r>
            <w:r>
              <w:rPr>
                <w:color w:val="333333"/>
                <w:sz w:val="24"/>
                <w:szCs w:val="24"/>
              </w:rPr>
              <w:t>.</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Безопасная работа в Интернете с централизованной очисткой трафика</w:t>
            </w:r>
            <w:r>
              <w:rPr>
                <w:rFonts w:cs="Times New Roman"/>
                <w:color w:val="333333"/>
                <w:sz w:val="24"/>
                <w:szCs w:val="24"/>
              </w:rPr>
              <w:t>: да.</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Соответствие</w:t>
            </w:r>
            <w:r>
              <w:rPr>
                <w:rFonts w:cs="Times New Roman"/>
                <w:color w:val="333333"/>
                <w:sz w:val="24"/>
                <w:szCs w:val="24"/>
              </w:rPr>
              <w:t>: ФСБ.</w:t>
            </w:r>
          </w:p>
          <w:p>
            <w:pPr>
              <w:pStyle w:val="Normal"/>
              <w:numPr>
                <w:ilvl w:val="0"/>
                <w:numId w:val="5"/>
              </w:numPr>
              <w:shd w:val="clear" w:color="auto" w:fill="FFFFFF"/>
              <w:suppressAutoHyphens w:val="false"/>
              <w:spacing w:lineRule="auto" w:line="240" w:before="0" w:after="0"/>
              <w:rPr>
                <w:sz w:val="24"/>
                <w:szCs w:val="24"/>
              </w:rPr>
            </w:pPr>
            <w:r>
              <w:rPr>
                <w:rFonts w:cs="Times New Roman"/>
                <w:b/>
                <w:bCs/>
                <w:color w:val="333333"/>
                <w:sz w:val="24"/>
                <w:szCs w:val="24"/>
              </w:rPr>
              <w:t>Страна производства: Российская Федерация</w:t>
            </w:r>
          </w:p>
        </w:tc>
      </w:tr>
    </w:tbl>
    <w:p>
      <w:pPr>
        <w:pStyle w:val="Normal"/>
        <w:tabs>
          <w:tab w:val="clear" w:pos="708"/>
          <w:tab w:val="left" w:pos="1080" w:leader="none"/>
        </w:tabs>
        <w:spacing w:lineRule="auto" w:line="240" w:before="0" w:after="0"/>
        <w:rPr>
          <w:rFonts w:ascii="Times New Roman" w:hAnsi="Times New Roman" w:eastAsia="Droid Sans Fallback"/>
          <w:kern w:val="2"/>
          <w:sz w:val="24"/>
          <w:szCs w:val="24"/>
          <w:lang w:eastAsia="zh-CN" w:bidi="hi-IN"/>
        </w:rPr>
      </w:pPr>
      <w:r>
        <w:rPr>
          <w:rFonts w:eastAsia="Droid Sans Fallback"/>
          <w:kern w:val="2"/>
          <w:sz w:val="24"/>
          <w:szCs w:val="24"/>
          <w:lang w:eastAsia="zh-CN" w:bidi="hi-IN"/>
        </w:rPr>
      </w:r>
    </w:p>
    <w:p>
      <w:pPr>
        <w:pStyle w:val="Normal"/>
        <w:numPr>
          <w:ilvl w:val="0"/>
          <w:numId w:val="1"/>
        </w:numPr>
        <w:tabs>
          <w:tab w:val="clear" w:pos="708"/>
          <w:tab w:val="left" w:pos="1080" w:leader="none"/>
        </w:tabs>
        <w:spacing w:lineRule="auto" w:line="240" w:before="0" w:after="0"/>
        <w:jc w:val="center"/>
        <w:rPr>
          <w:sz w:val="24"/>
          <w:szCs w:val="24"/>
        </w:rPr>
      </w:pPr>
      <w:r>
        <w:rPr>
          <w:b/>
          <w:sz w:val="24"/>
          <w:szCs w:val="24"/>
        </w:rPr>
        <w:t>Комплектность поставки</w:t>
      </w:r>
    </w:p>
    <w:p>
      <w:pPr>
        <w:pStyle w:val="Normal"/>
        <w:numPr>
          <w:ilvl w:val="1"/>
          <w:numId w:val="1"/>
        </w:numPr>
        <w:tabs>
          <w:tab w:val="clear" w:pos="708"/>
          <w:tab w:val="left" w:pos="0" w:leader="none"/>
          <w:tab w:val="left" w:pos="1260" w:leader="none"/>
        </w:tabs>
        <w:spacing w:lineRule="auto" w:line="240" w:before="0" w:after="0"/>
        <w:ind w:firstLine="709" w:left="0"/>
        <w:jc w:val="both"/>
        <w:rPr>
          <w:sz w:val="24"/>
          <w:szCs w:val="24"/>
        </w:rPr>
      </w:pPr>
      <w:r>
        <w:rPr>
          <w:sz w:val="24"/>
          <w:szCs w:val="24"/>
        </w:rPr>
        <w:t xml:space="preserve"> </w:t>
      </w:r>
      <w:r>
        <w:rPr>
          <w:sz w:val="24"/>
          <w:szCs w:val="24"/>
        </w:rPr>
        <w:t xml:space="preserve">Лицензия на бумажном носителе на </w:t>
      </w:r>
      <w:r>
        <w:rPr>
          <w:iCs/>
          <w:sz w:val="24"/>
          <w:szCs w:val="24"/>
        </w:rPr>
        <w:t xml:space="preserve">право использования ПО </w:t>
      </w:r>
      <w:r>
        <w:rPr>
          <w:rFonts w:eastAsia="Calibri" w:cs="Times New Roman"/>
          <w:sz w:val="24"/>
          <w:szCs w:val="24"/>
        </w:rPr>
        <w:t xml:space="preserve">ViPNet Client 5 for Linux </w:t>
      </w:r>
      <w:r>
        <w:rPr>
          <w:sz w:val="24"/>
          <w:szCs w:val="24"/>
        </w:rPr>
        <w:t xml:space="preserve"> на 10 (Десять</w:t>
      </w:r>
      <w:bookmarkStart w:id="1" w:name="_GoBack"/>
      <w:bookmarkEnd w:id="1"/>
      <w:r>
        <w:rPr>
          <w:sz w:val="24"/>
          <w:szCs w:val="24"/>
        </w:rPr>
        <w:t xml:space="preserve">) установок для сети 1274. </w:t>
      </w:r>
    </w:p>
    <w:p>
      <w:pPr>
        <w:pStyle w:val="Normal"/>
        <w:numPr>
          <w:ilvl w:val="1"/>
          <w:numId w:val="1"/>
        </w:numPr>
        <w:tabs>
          <w:tab w:val="clear" w:pos="708"/>
          <w:tab w:val="left" w:pos="0" w:leader="none"/>
          <w:tab w:val="left" w:pos="1260" w:leader="none"/>
        </w:tabs>
        <w:spacing w:lineRule="auto" w:line="240" w:before="0" w:after="0"/>
        <w:ind w:firstLine="709" w:left="0"/>
        <w:jc w:val="both"/>
        <w:rPr>
          <w:sz w:val="24"/>
          <w:szCs w:val="24"/>
        </w:rPr>
      </w:pPr>
      <w:r>
        <w:rPr>
          <w:sz w:val="24"/>
          <w:szCs w:val="24"/>
        </w:rPr>
        <w:t xml:space="preserve"> </w:t>
      </w:r>
      <w:r>
        <w:rPr>
          <w:sz w:val="24"/>
          <w:szCs w:val="24"/>
        </w:rPr>
        <w:t xml:space="preserve">Дистрибутив на оптическом носителе с </w:t>
      </w:r>
      <w:r>
        <w:rPr>
          <w:iCs/>
          <w:sz w:val="24"/>
          <w:szCs w:val="24"/>
        </w:rPr>
        <w:t xml:space="preserve">ПО </w:t>
      </w:r>
      <w:r>
        <w:rPr>
          <w:rFonts w:eastAsia="Calibri" w:cs="Times New Roman"/>
          <w:sz w:val="24"/>
          <w:szCs w:val="24"/>
        </w:rPr>
        <w:t>ViPNet Client 5 for Linux</w:t>
      </w:r>
      <w:r>
        <w:rPr>
          <w:sz w:val="24"/>
          <w:szCs w:val="24"/>
        </w:rPr>
        <w:t xml:space="preserve"> –1 шт.</w:t>
      </w:r>
    </w:p>
    <w:p>
      <w:pPr>
        <w:pStyle w:val="Normal"/>
        <w:numPr>
          <w:ilvl w:val="1"/>
          <w:numId w:val="2"/>
        </w:numPr>
        <w:tabs>
          <w:tab w:val="clear" w:pos="708"/>
          <w:tab w:val="left" w:pos="0" w:leader="none"/>
          <w:tab w:val="left" w:pos="1260" w:leader="none"/>
        </w:tabs>
        <w:spacing w:lineRule="auto" w:line="240" w:before="0" w:after="0"/>
        <w:ind w:firstLine="709" w:left="0"/>
        <w:jc w:val="both"/>
        <w:rPr>
          <w:sz w:val="24"/>
          <w:szCs w:val="24"/>
        </w:rPr>
      </w:pPr>
      <w:r>
        <w:rPr>
          <w:sz w:val="24"/>
          <w:szCs w:val="24"/>
        </w:rPr>
        <w:t xml:space="preserve">Паспорт (Формуляр) на </w:t>
      </w:r>
      <w:r>
        <w:rPr>
          <w:iCs/>
          <w:sz w:val="24"/>
          <w:szCs w:val="24"/>
        </w:rPr>
        <w:t>ПО</w:t>
      </w:r>
      <w:r>
        <w:rPr>
          <w:sz w:val="24"/>
          <w:szCs w:val="24"/>
        </w:rPr>
        <w:t xml:space="preserve"> </w:t>
      </w:r>
      <w:r>
        <w:rPr>
          <w:rFonts w:eastAsia="Calibri" w:cs="Times New Roman"/>
          <w:sz w:val="24"/>
          <w:szCs w:val="24"/>
        </w:rPr>
        <w:t>ViPNet Client 5 for Linux</w:t>
      </w:r>
      <w:r>
        <w:rPr>
          <w:sz w:val="24"/>
          <w:szCs w:val="24"/>
        </w:rPr>
        <w:t>.</w:t>
      </w:r>
    </w:p>
    <w:p>
      <w:pPr>
        <w:pStyle w:val="Normal"/>
        <w:numPr>
          <w:ilvl w:val="1"/>
          <w:numId w:val="2"/>
        </w:numPr>
        <w:tabs>
          <w:tab w:val="clear" w:pos="708"/>
          <w:tab w:val="left" w:pos="0" w:leader="none"/>
          <w:tab w:val="left" w:pos="1260" w:leader="none"/>
        </w:tabs>
        <w:spacing w:lineRule="auto" w:line="240" w:before="0" w:after="0"/>
        <w:ind w:firstLine="709" w:left="0"/>
        <w:jc w:val="both"/>
        <w:rPr>
          <w:sz w:val="24"/>
          <w:szCs w:val="24"/>
        </w:rPr>
      </w:pPr>
      <w:r>
        <w:rPr>
          <w:sz w:val="24"/>
          <w:szCs w:val="24"/>
        </w:rPr>
        <w:t>Сертификаты ФСБ России, заверенный производителем, подтверждающий соответствие ПО требованиям ФСБ России к шифровальным (криптографическим) средствам класса КС2.</w:t>
      </w:r>
    </w:p>
    <w:p>
      <w:pPr>
        <w:pStyle w:val="Normal"/>
        <w:tabs>
          <w:tab w:val="clear" w:pos="708"/>
          <w:tab w:val="left" w:pos="1080" w:leader="none"/>
        </w:tabs>
        <w:spacing w:lineRule="auto" w:line="240" w:before="0" w:after="0"/>
        <w:jc w:val="center"/>
        <w:rPr>
          <w:rFonts w:ascii="Times New Roman" w:hAnsi="Times New Roman"/>
          <w:b/>
          <w:sz w:val="24"/>
          <w:szCs w:val="24"/>
        </w:rPr>
      </w:pPr>
      <w:r>
        <w:rPr>
          <w:b/>
          <w:sz w:val="24"/>
          <w:szCs w:val="24"/>
        </w:rPr>
      </w:r>
    </w:p>
    <w:p>
      <w:pPr>
        <w:pStyle w:val="Normal"/>
        <w:tabs>
          <w:tab w:val="clear" w:pos="708"/>
          <w:tab w:val="left" w:pos="1080" w:leader="none"/>
        </w:tabs>
        <w:spacing w:lineRule="auto" w:line="240" w:before="0" w:after="0"/>
        <w:jc w:val="center"/>
        <w:rPr>
          <w:sz w:val="24"/>
          <w:szCs w:val="24"/>
        </w:rPr>
      </w:pPr>
      <w:r>
        <w:rPr>
          <w:b/>
          <w:sz w:val="24"/>
          <w:szCs w:val="24"/>
        </w:rPr>
        <w:t>5. Требования к Поставщику</w:t>
      </w:r>
    </w:p>
    <w:p>
      <w:pPr>
        <w:pStyle w:val="Normal"/>
        <w:numPr>
          <w:ilvl w:val="0"/>
          <w:numId w:val="0"/>
        </w:numPr>
        <w:tabs>
          <w:tab w:val="clear" w:pos="708"/>
          <w:tab w:val="left" w:pos="993" w:leader="none"/>
          <w:tab w:val="left" w:pos="1134" w:leader="none"/>
          <w:tab w:val="left" w:pos="1276" w:leader="none"/>
        </w:tabs>
        <w:spacing w:lineRule="auto" w:line="240" w:before="0" w:after="0"/>
        <w:ind w:firstLine="709" w:left="0"/>
        <w:jc w:val="both"/>
        <w:rPr>
          <w:sz w:val="24"/>
          <w:szCs w:val="24"/>
        </w:rPr>
      </w:pPr>
      <w:r>
        <w:rPr>
          <w:sz w:val="24"/>
          <w:szCs w:val="24"/>
        </w:rPr>
        <w:t>5.1. Поставщик (Исполнитель) должен иметь лицензию ФСБ России 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 указанием следующих видов деятельности:</w:t>
      </w:r>
    </w:p>
    <w:p>
      <w:pPr>
        <w:pStyle w:val="Normal"/>
        <w:spacing w:lineRule="auto" w:line="240" w:before="0" w:after="0"/>
        <w:ind w:firstLine="540"/>
        <w:rPr>
          <w:sz w:val="24"/>
          <w:szCs w:val="24"/>
        </w:rPr>
      </w:pPr>
      <w:r>
        <w:rPr>
          <w:sz w:val="24"/>
          <w:szCs w:val="24"/>
        </w:rPr>
        <w:t>- Передача шифровальных (криптографических) средств.</w:t>
      </w:r>
    </w:p>
    <w:p>
      <w:pPr>
        <w:pStyle w:val="Normal"/>
        <w:spacing w:lineRule="auto" w:line="240" w:before="0" w:after="0"/>
        <w:ind w:firstLine="709"/>
        <w:jc w:val="both"/>
        <w:rPr>
          <w:rFonts w:ascii="Times New Roman" w:hAnsi="Times New Roman"/>
          <w:b/>
          <w:sz w:val="24"/>
          <w:szCs w:val="24"/>
        </w:rPr>
      </w:pPr>
      <w:r>
        <w:rPr>
          <w:b/>
          <w:sz w:val="24"/>
          <w:szCs w:val="24"/>
        </w:rPr>
      </w:r>
    </w:p>
    <w:p>
      <w:pPr>
        <w:pStyle w:val="11"/>
        <w:numPr>
          <w:ilvl w:val="0"/>
          <w:numId w:val="4"/>
        </w:numPr>
        <w:spacing w:lineRule="auto" w:line="240" w:before="0" w:after="0"/>
        <w:contextualSpacing/>
        <w:jc w:val="center"/>
        <w:rPr>
          <w:sz w:val="24"/>
          <w:szCs w:val="24"/>
        </w:rPr>
      </w:pPr>
      <w:r>
        <w:rPr>
          <w:b/>
          <w:sz w:val="24"/>
          <w:szCs w:val="24"/>
        </w:rPr>
        <w:t>Требования к передаче лицензии</w:t>
      </w:r>
    </w:p>
    <w:p>
      <w:pPr>
        <w:pStyle w:val="11"/>
        <w:spacing w:lineRule="auto" w:line="240" w:before="0" w:after="0"/>
        <w:ind w:left="360"/>
        <w:contextualSpacing/>
        <w:rPr>
          <w:rFonts w:ascii="Times New Roman" w:hAnsi="Times New Roman"/>
          <w:b/>
          <w:sz w:val="24"/>
          <w:szCs w:val="24"/>
        </w:rPr>
      </w:pPr>
      <w:r>
        <w:rPr>
          <w:b/>
          <w:sz w:val="24"/>
          <w:szCs w:val="24"/>
        </w:rPr>
      </w:r>
    </w:p>
    <w:p>
      <w:pPr>
        <w:pStyle w:val="Normal"/>
        <w:spacing w:lineRule="auto" w:line="240" w:before="0" w:after="0"/>
        <w:ind w:firstLine="709"/>
        <w:jc w:val="both"/>
        <w:rPr>
          <w:sz w:val="24"/>
          <w:szCs w:val="24"/>
        </w:rPr>
      </w:pPr>
      <w:r>
        <w:rPr>
          <w:sz w:val="24"/>
          <w:szCs w:val="24"/>
        </w:rPr>
        <w:t>6.1. Срок передачи неисключительных прав на ПО: с момента заключения контракта не более 65 рабочих дней.</w:t>
      </w:r>
    </w:p>
    <w:p>
      <w:pPr>
        <w:pStyle w:val="Normal"/>
        <w:spacing w:lineRule="auto" w:line="240" w:before="0" w:after="0"/>
        <w:ind w:firstLine="709"/>
        <w:jc w:val="both"/>
        <w:rPr>
          <w:sz w:val="24"/>
          <w:szCs w:val="24"/>
        </w:rPr>
      </w:pPr>
      <w:r>
        <w:rPr>
          <w:sz w:val="24"/>
          <w:szCs w:val="24"/>
        </w:rPr>
        <w:t>6.2. Поставщик за свой счет направляет в адрес Заказчика ПО в полном объеме и в соответствии с данным техническим заданием.</w:t>
      </w:r>
    </w:p>
    <w:p>
      <w:pPr>
        <w:pStyle w:val="Normal"/>
        <w:spacing w:lineRule="auto" w:line="240" w:before="0" w:after="0"/>
        <w:ind w:firstLine="709"/>
        <w:jc w:val="both"/>
        <w:rPr>
          <w:sz w:val="24"/>
          <w:szCs w:val="24"/>
        </w:rPr>
      </w:pPr>
      <w:r>
        <w:rPr>
          <w:sz w:val="24"/>
          <w:szCs w:val="24"/>
        </w:rPr>
        <w:t xml:space="preserve">6.3. Место передачи неисключительных прав (лицензий) на использование программного обеспечения </w:t>
      </w:r>
      <w:r>
        <w:rPr>
          <w:rFonts w:eastAsia="Calibri" w:cs="Times New Roman"/>
          <w:sz w:val="24"/>
          <w:szCs w:val="24"/>
        </w:rPr>
        <w:t>ViPNet Client 5 for Linux</w:t>
      </w:r>
      <w:r>
        <w:rPr>
          <w:sz w:val="24"/>
          <w:szCs w:val="24"/>
        </w:rPr>
        <w:t xml:space="preserve"> а также сертификатов активации сервиса прямой технической поддержки ПО</w:t>
      </w:r>
      <w:r>
        <w:rPr>
          <w:rFonts w:eastAsia="Calibri" w:cs="Times New Roman"/>
          <w:sz w:val="24"/>
          <w:szCs w:val="24"/>
        </w:rPr>
        <w:t xml:space="preserve"> ViPNet Client 5 for Linux</w:t>
      </w:r>
      <w:r>
        <w:rPr>
          <w:sz w:val="24"/>
          <w:szCs w:val="24"/>
        </w:rPr>
        <w:t xml:space="preserve"> – по месту нахождения Заказчика.</w:t>
      </w:r>
    </w:p>
    <w:p>
      <w:pPr>
        <w:pStyle w:val="Normal"/>
        <w:spacing w:lineRule="auto" w:line="240" w:before="0" w:after="0"/>
        <w:ind w:firstLine="709"/>
        <w:jc w:val="both"/>
        <w:rPr>
          <w:sz w:val="24"/>
          <w:szCs w:val="24"/>
        </w:rPr>
      </w:pPr>
      <w:r>
        <w:rPr>
          <w:sz w:val="24"/>
          <w:szCs w:val="24"/>
        </w:rPr>
        <w:t xml:space="preserve">6.4. Срок права использования сертификатов активации сервиса прямой технической поддержки ПО ViPNet Client 5 for Linux - 12 месяцев. </w:t>
      </w:r>
    </w:p>
    <w:p>
      <w:pPr>
        <w:pStyle w:val="Normal"/>
        <w:spacing w:lineRule="auto" w:line="276" w:before="0" w:after="0"/>
        <w:jc w:val="both"/>
        <w:rPr>
          <w:sz w:val="24"/>
          <w:szCs w:val="24"/>
        </w:rPr>
      </w:pPr>
      <w:r>
        <w:rPr>
          <w:sz w:val="24"/>
          <w:szCs w:val="24"/>
        </w:rPr>
      </w:r>
    </w:p>
    <w:p>
      <w:pPr>
        <w:pStyle w:val="NoSpacing"/>
        <w:jc w:val="center"/>
        <w:rPr>
          <w:rFonts w:ascii="Times New Roman" w:hAnsi="Times New Roman" w:cs="Times New Roman"/>
          <w:b/>
          <w:bCs/>
          <w:sz w:val="24"/>
          <w:szCs w:val="24"/>
        </w:rPr>
      </w:pPr>
      <w:r>
        <w:rPr>
          <w:rFonts w:cs="Times New Roman"/>
          <w:b/>
          <w:bCs/>
          <w:sz w:val="24"/>
          <w:szCs w:val="24"/>
        </w:rPr>
      </w:r>
    </w:p>
    <w:p>
      <w:pPr>
        <w:pStyle w:val="NoSpacing"/>
        <w:jc w:val="center"/>
        <w:rPr>
          <w:rFonts w:ascii="Times New Roman" w:hAnsi="Times New Roman" w:cs="Times New Roman"/>
          <w:b/>
          <w:bCs/>
          <w:sz w:val="24"/>
          <w:szCs w:val="24"/>
        </w:rPr>
      </w:pPr>
      <w:r>
        <w:rPr>
          <w:rFonts w:cs="Times New Roman"/>
          <w:b/>
          <w:bCs/>
          <w:sz w:val="24"/>
          <w:szCs w:val="24"/>
        </w:rPr>
      </w:r>
    </w:p>
    <w:p>
      <w:pPr>
        <w:pStyle w:val="NoSpacing"/>
        <w:jc w:val="center"/>
        <w:rPr>
          <w:rFonts w:ascii="Times New Roman" w:hAnsi="Times New Roman" w:cs="Times New Roman"/>
          <w:b/>
          <w:bCs/>
          <w:sz w:val="24"/>
          <w:szCs w:val="24"/>
        </w:rPr>
      </w:pPr>
      <w:r>
        <w:rPr>
          <w:rFonts w:cs="Times New Roman"/>
          <w:b/>
          <w:bCs/>
          <w:sz w:val="24"/>
          <w:szCs w:val="24"/>
        </w:rPr>
      </w:r>
    </w:p>
    <w:p>
      <w:pPr>
        <w:pStyle w:val="NoSpacing"/>
        <w:jc w:val="center"/>
        <w:rPr>
          <w:sz w:val="24"/>
          <w:szCs w:val="24"/>
        </w:rPr>
      </w:pPr>
      <w:r>
        <w:rPr>
          <w:sz w:val="24"/>
          <w:szCs w:val="24"/>
        </w:rPr>
      </w:r>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1134" w:right="566" w:gutter="0" w:header="709" w:top="766" w:footer="709" w:bottom="76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 w:name="PT Astra Serif">
    <w:charset w:val="01"/>
    <w:family w:val="roman"/>
    <w:pitch w:val="default"/>
  </w:font>
  <w:font w:name="Courier New">
    <w:charset w:val="01"/>
    <w:family w:val="roman"/>
    <w:pitch w:val="default"/>
  </w:font>
  <w:font w:name="OpenSymbol">
    <w:altName w:val="Arial Unicode MS"/>
    <w:charset w:val="01"/>
    <w:family w:val="auto"/>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11</w:t>
    </w:r>
    <w:r>
      <w:rPr/>
      <w:fldChar w:fldCharType="end"/>
    </w:r>
  </w:p>
  <w:p>
    <w:pPr>
      <w:pStyle w:val="Footer"/>
      <w:spacing w:before="0" w:after="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2">
              <wp:simplePos x="0" y="0"/>
              <wp:positionH relativeFrom="margin">
                <wp:align>center</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19">
              <wp:simplePos x="0" y="0"/>
              <wp:positionH relativeFrom="page">
                <wp:posOffset>3890645</wp:posOffset>
              </wp:positionH>
              <wp:positionV relativeFrom="paragraph">
                <wp:posOffset>635</wp:posOffset>
              </wp:positionV>
              <wp:extent cx="107950" cy="173990"/>
              <wp:effectExtent l="0" t="0" r="0" b="0"/>
              <wp:wrapSquare wrapText="bothSides"/>
              <wp:docPr id="2" name="Врезка1"/>
              <a:graphic xmlns:a="http://schemas.openxmlformats.org/drawingml/2006/main">
                <a:graphicData uri="http://schemas.microsoft.com/office/word/2010/wordprocessingShape">
                  <wps:wsp>
                    <wps:cNvSpPr/>
                    <wps:spPr>
                      <a:xfrm>
                        <a:off x="0" y="0"/>
                        <a:ext cx="108000" cy="173880"/>
                      </a:xfrm>
                      <a:prstGeom prst="rect">
                        <a:avLst/>
                      </a:prstGeom>
                      <a:noFill/>
                      <a:ln w="0">
                        <a:noFill/>
                      </a:ln>
                    </wps:spPr>
                    <wps:style>
                      <a:lnRef idx="0"/>
                      <a:fillRef idx="0"/>
                      <a:effectRef idx="0"/>
                      <a:fontRef idx="minor"/>
                    </wps:style>
                    <wps:txbx>
                      <w:txbxContent>
                        <w:p>
                          <w:pPr>
                            <w:pStyle w:val="Header"/>
                            <w:rPr>
                              <w:rStyle w:val="PageNumber"/>
                            </w:rPr>
                          </w:pPr>
                          <w:r>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06.35pt;margin-top:0.05pt;width:8.45pt;height:13.65pt;mso-wrap-style:none;v-text-anchor:middle;mso-position-horizontal-relative:page">
              <v:fill o:detectmouseclick="t" on="false"/>
              <v:stroke color="#3465a4" joinstyle="round" endcap="flat"/>
              <v:textbox>
                <w:txbxContent>
                  <w:p>
                    <w:pPr>
                      <w:pStyle w:val="Header"/>
                      <w:rPr>
                        <w:rStyle w:val="PageNumber"/>
                      </w:rPr>
                    </w:pPr>
                    <w:r>
                      <w:rPr/>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isLgl/>
      <w:numFmt w:val="bullet"/>
      <w:lvlText w:val="-"/>
      <w:lvlJc w:val="left"/>
      <w:pPr>
        <w:tabs>
          <w:tab w:val="num" w:pos="927"/>
        </w:tabs>
        <w:ind w:left="927" w:hanging="360"/>
      </w:pPr>
      <w:rPr>
        <w:rFonts w:ascii="OpenSymbol" w:hAnsi="OpenSymbol" w:cs="OpenSymbol" w:hint="default"/>
      </w:rPr>
    </w:lvl>
    <w:lvl w:ilvl="1">
      <w:start w:val="1"/>
      <w:isLgl/>
      <w:numFmt w:val="bullet"/>
      <w:lvlText w:val="o"/>
      <w:lvlJc w:val="left"/>
      <w:pPr>
        <w:tabs>
          <w:tab w:val="num" w:pos="0"/>
        </w:tabs>
        <w:ind w:left="1440" w:hanging="360"/>
      </w:pPr>
      <w:rPr>
        <w:rFonts w:ascii="Courier New" w:hAnsi="Courier New" w:cs="Courier New" w:hint="default"/>
      </w:rPr>
    </w:lvl>
    <w:lvl w:ilvl="2">
      <w:start w:val="1"/>
      <w:isLgl/>
      <w:numFmt w:val="bullet"/>
      <w:lvlText w:val="§"/>
      <w:lvlJc w:val="left"/>
      <w:pPr>
        <w:tabs>
          <w:tab w:val="num" w:pos="0"/>
        </w:tabs>
        <w:ind w:left="2160" w:hanging="360"/>
      </w:pPr>
      <w:rPr>
        <w:rFonts w:ascii="Wingdings" w:hAnsi="Wingdings" w:cs="Wingdings" w:hint="default"/>
      </w:rPr>
    </w:lvl>
    <w:lvl w:ilvl="3">
      <w:start w:val="1"/>
      <w:isLgl/>
      <w:numFmt w:val="bullet"/>
      <w:lvlText w:val="·"/>
      <w:lvlJc w:val="left"/>
      <w:pPr>
        <w:tabs>
          <w:tab w:val="num" w:pos="0"/>
        </w:tabs>
        <w:ind w:left="2880" w:hanging="360"/>
      </w:pPr>
      <w:rPr>
        <w:rFonts w:ascii="Symbol" w:hAnsi="Symbol" w:cs="Symbol" w:hint="default"/>
      </w:rPr>
    </w:lvl>
    <w:lvl w:ilvl="4">
      <w:start w:val="1"/>
      <w:isLgl/>
      <w:numFmt w:val="bullet"/>
      <w:lvlText w:val="o"/>
      <w:lvlJc w:val="left"/>
      <w:pPr>
        <w:tabs>
          <w:tab w:val="num" w:pos="0"/>
        </w:tabs>
        <w:ind w:left="3600" w:hanging="360"/>
      </w:pPr>
      <w:rPr>
        <w:rFonts w:ascii="Courier New" w:hAnsi="Courier New" w:cs="Courier New" w:hint="default"/>
      </w:rPr>
    </w:lvl>
    <w:lvl w:ilvl="5">
      <w:start w:val="1"/>
      <w:isLgl/>
      <w:numFmt w:val="bullet"/>
      <w:lvlText w:val="§"/>
      <w:lvlJc w:val="left"/>
      <w:pPr>
        <w:tabs>
          <w:tab w:val="num" w:pos="0"/>
        </w:tabs>
        <w:ind w:left="4320" w:hanging="360"/>
      </w:pPr>
      <w:rPr>
        <w:rFonts w:ascii="Wingdings" w:hAnsi="Wingdings" w:cs="Wingdings" w:hint="default"/>
      </w:rPr>
    </w:lvl>
    <w:lvl w:ilvl="6">
      <w:start w:val="1"/>
      <w:isLgl/>
      <w:numFmt w:val="bullet"/>
      <w:lvlText w:val="·"/>
      <w:lvlJc w:val="left"/>
      <w:pPr>
        <w:tabs>
          <w:tab w:val="num" w:pos="0"/>
        </w:tabs>
        <w:ind w:left="5040" w:hanging="360"/>
      </w:pPr>
      <w:rPr>
        <w:rFonts w:ascii="Symbol" w:hAnsi="Symbol" w:cs="Symbol" w:hint="default"/>
      </w:rPr>
    </w:lvl>
    <w:lvl w:ilvl="7">
      <w:start w:val="1"/>
      <w:isLgl/>
      <w:numFmt w:val="bullet"/>
      <w:lvlText w:val="o"/>
      <w:lvlJc w:val="left"/>
      <w:pPr>
        <w:tabs>
          <w:tab w:val="num" w:pos="0"/>
        </w:tabs>
        <w:ind w:left="5760" w:hanging="360"/>
      </w:pPr>
      <w:rPr>
        <w:rFonts w:ascii="Courier New" w:hAnsi="Courier New" w:cs="Courier New" w:hint="default"/>
      </w:rPr>
    </w:lvl>
    <w:lvl w:ilvl="8">
      <w:start w:val="1"/>
      <w:isLgl/>
      <w:numFmt w:val="bullet"/>
      <w:lvlText w:val="§"/>
      <w:lvlJc w:val="left"/>
      <w:pPr>
        <w:tabs>
          <w:tab w:val="num" w:pos="0"/>
        </w:tabs>
        <w:ind w:left="6480" w:hanging="360"/>
      </w:pPr>
      <w:rPr>
        <w:rFonts w:ascii="Wingdings" w:hAnsi="Wingdings" w:cs="Wingdings" w:hint="default"/>
      </w:rPr>
    </w:lvl>
  </w:abstractNum>
  <w:abstractNum w:abstractNumId="2">
    <w:lvl w:ilvl="0">
      <w:start w:val="1"/>
      <w:isLgl/>
      <w:numFmt w:val="decimal"/>
      <w:lvlText w:val="%1."/>
      <w:lvlJc w:val="left"/>
      <w:pPr>
        <w:tabs>
          <w:tab w:val="num" w:pos="432"/>
        </w:tabs>
        <w:ind w:left="432" w:hanging="432"/>
      </w:pPr>
      <w:rPr/>
    </w:lvl>
    <w:lvl w:ilvl="1">
      <w:start w:val="1"/>
      <w:isLgl/>
      <w:numFmt w:val="decimal"/>
      <w:lvlText w:val="%1.%2"/>
      <w:lvlJc w:val="left"/>
      <w:pPr>
        <w:tabs>
          <w:tab w:val="num" w:pos="576"/>
        </w:tabs>
        <w:ind w:left="576" w:hanging="576"/>
      </w:pPr>
      <w:rPr/>
    </w:lvl>
    <w:lvl w:ilvl="2">
      <w:start w:val="1"/>
      <w:isLgl/>
      <w:numFmt w:val="decimal"/>
      <w:lvlText w:val="%1.%2.%3"/>
      <w:lvlJc w:val="left"/>
      <w:pPr>
        <w:tabs>
          <w:tab w:val="num" w:pos="227"/>
        </w:tabs>
        <w:ind w:left="0" w:hanging="0"/>
      </w:pPr>
      <w:rPr/>
    </w:lvl>
    <w:lvl w:ilvl="3">
      <w:start w:val="1"/>
      <w:isLgl/>
      <w:numFmt w:val="decimal"/>
      <w:lvlText w:val="%1.%2.%3.%4"/>
      <w:lvlJc w:val="left"/>
      <w:pPr>
        <w:tabs>
          <w:tab w:val="num" w:pos="864"/>
        </w:tabs>
        <w:ind w:left="864" w:hanging="864"/>
      </w:pPr>
      <w:rPr/>
    </w:lvl>
    <w:lvl w:ilvl="4">
      <w:start w:val="1"/>
      <w:isLgl/>
      <w:numFmt w:val="decimal"/>
      <w:lvlText w:val="%1.%2.%3.%4.%5"/>
      <w:lvlJc w:val="left"/>
      <w:pPr>
        <w:tabs>
          <w:tab w:val="num" w:pos="1008"/>
        </w:tabs>
        <w:ind w:left="1008" w:hanging="1008"/>
      </w:pPr>
      <w:rPr/>
    </w:lvl>
    <w:lvl w:ilvl="5">
      <w:start w:val="1"/>
      <w:isLgl/>
      <w:numFmt w:val="decimal"/>
      <w:lvlText w:val="%1.%2.%3.%4.%5.%6"/>
      <w:lvlJc w:val="left"/>
      <w:pPr>
        <w:tabs>
          <w:tab w:val="num" w:pos="1152"/>
        </w:tabs>
        <w:ind w:left="1152" w:hanging="1152"/>
      </w:pPr>
      <w:rPr/>
    </w:lvl>
    <w:lvl w:ilvl="6">
      <w:start w:val="1"/>
      <w:isLgl/>
      <w:numFmt w:val="decimal"/>
      <w:lvlText w:val="%1.%2.%3.%4.%5.%6.%7"/>
      <w:lvlJc w:val="left"/>
      <w:pPr>
        <w:tabs>
          <w:tab w:val="num" w:pos="1296"/>
        </w:tabs>
        <w:ind w:left="1296" w:hanging="1296"/>
      </w:pPr>
      <w:rPr/>
    </w:lvl>
    <w:lvl w:ilvl="7">
      <w:start w:val="1"/>
      <w:isLgl/>
      <w:numFmt w:val="decimal"/>
      <w:lvlText w:val="%1.%2.%3.%4.%5.%6.%7.%8"/>
      <w:lvlJc w:val="left"/>
      <w:pPr>
        <w:tabs>
          <w:tab w:val="num" w:pos="1440"/>
        </w:tabs>
        <w:ind w:left="1440" w:hanging="1440"/>
      </w:pPr>
      <w:rPr/>
    </w:lvl>
    <w:lvl w:ilvl="8">
      <w:start w:val="1"/>
      <w:isLgl/>
      <w:numFmt w:val="decimal"/>
      <w:lvlText w:val="%1.%2.%3.%4.%5.%6.%7.%8.%9"/>
      <w:lvlJc w:val="left"/>
      <w:pPr>
        <w:tabs>
          <w:tab w:val="num" w:pos="1584"/>
        </w:tabs>
        <w:ind w:left="1584" w:hanging="1584"/>
      </w:pPr>
      <w:rPr/>
    </w:lvl>
  </w:abstractNum>
  <w:abstractNum w:abstractNumId="3">
    <w:lvl w:ilvl="0">
      <w:start w:val="1"/>
      <w:isLgl/>
      <w:numFmt w:val="decimal"/>
      <w:lvlText w:val="%1)"/>
      <w:lvlJc w:val="left"/>
      <w:pPr>
        <w:tabs>
          <w:tab w:val="num" w:pos="0"/>
        </w:tabs>
        <w:ind w:left="1429" w:hanging="360"/>
      </w:pPr>
      <w:rPr/>
    </w:lvl>
    <w:lvl w:ilvl="1">
      <w:start w:val="1"/>
      <w:isLgl/>
      <w:numFmt w:val="lowerLetter"/>
      <w:lvlText w:val="%2."/>
      <w:lvlJc w:val="left"/>
      <w:pPr>
        <w:tabs>
          <w:tab w:val="num" w:pos="0"/>
        </w:tabs>
        <w:ind w:left="2149" w:hanging="360"/>
      </w:pPr>
      <w:rPr/>
    </w:lvl>
    <w:lvl w:ilvl="2">
      <w:start w:val="1"/>
      <w:isLgl/>
      <w:numFmt w:val="lowerRoman"/>
      <w:lvlText w:val="%3."/>
      <w:lvlJc w:val="right"/>
      <w:pPr>
        <w:tabs>
          <w:tab w:val="num" w:pos="0"/>
        </w:tabs>
        <w:ind w:left="2869" w:hanging="180"/>
      </w:pPr>
      <w:rPr/>
    </w:lvl>
    <w:lvl w:ilvl="3">
      <w:start w:val="1"/>
      <w:isLgl/>
      <w:numFmt w:val="decimal"/>
      <w:lvlText w:val="%4."/>
      <w:lvlJc w:val="left"/>
      <w:pPr>
        <w:tabs>
          <w:tab w:val="num" w:pos="0"/>
        </w:tabs>
        <w:ind w:left="3589" w:hanging="360"/>
      </w:pPr>
      <w:rPr/>
    </w:lvl>
    <w:lvl w:ilvl="4">
      <w:start w:val="1"/>
      <w:isLgl/>
      <w:numFmt w:val="lowerLetter"/>
      <w:lvlText w:val="%5."/>
      <w:lvlJc w:val="left"/>
      <w:pPr>
        <w:tabs>
          <w:tab w:val="num" w:pos="0"/>
        </w:tabs>
        <w:ind w:left="4309" w:hanging="360"/>
      </w:pPr>
      <w:rPr/>
    </w:lvl>
    <w:lvl w:ilvl="5">
      <w:start w:val="1"/>
      <w:isLgl/>
      <w:numFmt w:val="lowerRoman"/>
      <w:lvlText w:val="%6."/>
      <w:lvlJc w:val="right"/>
      <w:pPr>
        <w:tabs>
          <w:tab w:val="num" w:pos="0"/>
        </w:tabs>
        <w:ind w:left="5029" w:hanging="180"/>
      </w:pPr>
      <w:rPr/>
    </w:lvl>
    <w:lvl w:ilvl="6">
      <w:start w:val="1"/>
      <w:isLgl/>
      <w:numFmt w:val="decimal"/>
      <w:lvlText w:val="%7."/>
      <w:lvlJc w:val="left"/>
      <w:pPr>
        <w:tabs>
          <w:tab w:val="num" w:pos="0"/>
        </w:tabs>
        <w:ind w:left="5749" w:hanging="360"/>
      </w:pPr>
      <w:rPr/>
    </w:lvl>
    <w:lvl w:ilvl="7">
      <w:start w:val="1"/>
      <w:isLgl/>
      <w:numFmt w:val="lowerLetter"/>
      <w:lvlText w:val="%8."/>
      <w:lvlJc w:val="left"/>
      <w:pPr>
        <w:tabs>
          <w:tab w:val="num" w:pos="0"/>
        </w:tabs>
        <w:ind w:left="6469" w:hanging="360"/>
      </w:pPr>
      <w:rPr/>
    </w:lvl>
    <w:lvl w:ilvl="8">
      <w:start w:val="1"/>
      <w:isLgl/>
      <w:numFmt w:val="lowerRoman"/>
      <w:lvlText w:val="%9."/>
      <w:lvlJc w:val="right"/>
      <w:pPr>
        <w:tabs>
          <w:tab w:val="num" w:pos="0"/>
        </w:tabs>
        <w:ind w:left="7189" w:hanging="180"/>
      </w:pPr>
      <w:rPr/>
    </w:lvl>
  </w:abstractNum>
  <w:abstractNum w:abstractNumId="4">
    <w:lvl w:ilvl="0">
      <w:start w:val="1"/>
      <w:isLgl/>
      <w:numFmt w:val="decimal"/>
      <w:lvlText w:val="4.%1."/>
      <w:lvlJc w:val="left"/>
      <w:pPr>
        <w:tabs>
          <w:tab w:val="num" w:pos="3052"/>
        </w:tabs>
        <w:ind w:left="3052" w:hanging="363"/>
      </w:pPr>
      <w:rPr>
        <w:b/>
      </w:rPr>
    </w:lvl>
    <w:lvl w:ilvl="1">
      <w:start w:val="1"/>
      <w:isLgl/>
      <w:numFmt w:val="decimal"/>
      <w:lvlText w:val="4.%2."/>
      <w:lvlJc w:val="left"/>
      <w:pPr>
        <w:tabs>
          <w:tab w:val="num" w:pos="1443"/>
        </w:tabs>
        <w:ind w:left="1443" w:hanging="363"/>
      </w:pPr>
      <w:rPr>
        <w:b w:val="false"/>
      </w:rPr>
    </w:lvl>
    <w:lvl w:ilvl="2">
      <w:start w:val="1"/>
      <w:isLgl/>
      <w:numFmt w:val="lowerRoman"/>
      <w:lvlText w:val="%3."/>
      <w:lvlJc w:val="right"/>
      <w:pPr>
        <w:tabs>
          <w:tab w:val="num" w:pos="2160"/>
        </w:tabs>
        <w:ind w:left="2160" w:hanging="180"/>
      </w:pPr>
      <w:rPr/>
    </w:lvl>
    <w:lvl w:ilvl="3">
      <w:start w:val="1"/>
      <w:isLgl/>
      <w:numFmt w:val="decimal"/>
      <w:lvlText w:val="%4."/>
      <w:lvlJc w:val="left"/>
      <w:pPr>
        <w:tabs>
          <w:tab w:val="num" w:pos="2880"/>
        </w:tabs>
        <w:ind w:left="2880" w:hanging="360"/>
      </w:pPr>
      <w:rPr/>
    </w:lvl>
    <w:lvl w:ilvl="4">
      <w:start w:val="1"/>
      <w:isLgl/>
      <w:numFmt w:val="lowerLetter"/>
      <w:lvlText w:val="%5."/>
      <w:lvlJc w:val="left"/>
      <w:pPr>
        <w:tabs>
          <w:tab w:val="num" w:pos="3600"/>
        </w:tabs>
        <w:ind w:left="3600" w:hanging="360"/>
      </w:pPr>
      <w:rPr/>
    </w:lvl>
    <w:lvl w:ilvl="5">
      <w:start w:val="1"/>
      <w:isLgl/>
      <w:numFmt w:val="lowerRoman"/>
      <w:lvlText w:val="%6."/>
      <w:lvlJc w:val="right"/>
      <w:pPr>
        <w:tabs>
          <w:tab w:val="num" w:pos="4320"/>
        </w:tabs>
        <w:ind w:left="4320" w:hanging="180"/>
      </w:pPr>
      <w:rPr/>
    </w:lvl>
    <w:lvl w:ilvl="6">
      <w:start w:val="1"/>
      <w:isLgl/>
      <w:numFmt w:val="decimal"/>
      <w:lvlText w:val="%7."/>
      <w:lvlJc w:val="left"/>
      <w:pPr>
        <w:tabs>
          <w:tab w:val="num" w:pos="5040"/>
        </w:tabs>
        <w:ind w:left="5040" w:hanging="360"/>
      </w:pPr>
      <w:rPr/>
    </w:lvl>
    <w:lvl w:ilvl="7">
      <w:start w:val="1"/>
      <w:isLgl/>
      <w:numFmt w:val="lowerLetter"/>
      <w:lvlText w:val="%8."/>
      <w:lvlJc w:val="left"/>
      <w:pPr>
        <w:tabs>
          <w:tab w:val="num" w:pos="5760"/>
        </w:tabs>
        <w:ind w:left="5760" w:hanging="360"/>
      </w:pPr>
      <w:rPr/>
    </w:lvl>
    <w:lvl w:ilvl="8">
      <w:start w:val="1"/>
      <w:isLgl/>
      <w:numFmt w:val="lowerRoman"/>
      <w:lvlText w:val="%9."/>
      <w:lvlJc w:val="right"/>
      <w:pPr>
        <w:tabs>
          <w:tab w:val="num" w:pos="6480"/>
        </w:tabs>
        <w:ind w:left="6480" w:hanging="180"/>
      </w:pPr>
      <w:rPr/>
    </w:lvl>
  </w:abstractNum>
  <w:abstractNum w:abstractNumId="5">
    <w:lvl w:ilvl="0">
      <w:start w:val="1"/>
      <w:isLgl/>
      <w:numFmt w:val="decimal"/>
      <w:lvlText w:val="%1."/>
      <w:lvlJc w:val="left"/>
      <w:pPr>
        <w:tabs>
          <w:tab w:val="num" w:pos="600"/>
        </w:tabs>
        <w:ind w:left="600" w:hanging="600"/>
      </w:pPr>
      <w:rPr/>
    </w:lvl>
    <w:lvl w:ilvl="1">
      <w:start w:val="1"/>
      <w:isLgl/>
      <w:numFmt w:val="decimal"/>
      <w:lvlText w:val="%1.%2."/>
      <w:lvlJc w:val="left"/>
      <w:pPr>
        <w:tabs>
          <w:tab w:val="num" w:pos="720"/>
        </w:tabs>
        <w:ind w:left="720" w:hanging="720"/>
      </w:pPr>
      <w:rPr/>
    </w:lvl>
    <w:lvl w:ilvl="2">
      <w:start w:val="1"/>
      <w:isLgl/>
      <w:numFmt w:val="decimal"/>
      <w:lvlText w:val="%1.%2.%3."/>
      <w:lvlJc w:val="left"/>
      <w:pPr>
        <w:tabs>
          <w:tab w:val="num" w:pos="720"/>
        </w:tabs>
        <w:ind w:left="720" w:hanging="720"/>
      </w:pPr>
      <w:rPr/>
    </w:lvl>
    <w:lvl w:ilvl="3">
      <w:start w:val="1"/>
      <w:isLgl/>
      <w:numFmt w:val="decimal"/>
      <w:lvlText w:val="%1.%2.%3.%4."/>
      <w:lvlJc w:val="left"/>
      <w:pPr>
        <w:tabs>
          <w:tab w:val="num" w:pos="1080"/>
        </w:tabs>
        <w:ind w:left="1080" w:hanging="1080"/>
      </w:pPr>
      <w:rPr/>
    </w:lvl>
    <w:lvl w:ilvl="4">
      <w:start w:val="1"/>
      <w:isLgl/>
      <w:numFmt w:val="decimal"/>
      <w:lvlText w:val="%1.%2.%3.%4.%5."/>
      <w:lvlJc w:val="left"/>
      <w:pPr>
        <w:tabs>
          <w:tab w:val="num" w:pos="1440"/>
        </w:tabs>
        <w:ind w:left="1440" w:hanging="1440"/>
      </w:pPr>
      <w:rPr/>
    </w:lvl>
    <w:lvl w:ilvl="5">
      <w:start w:val="1"/>
      <w:isLgl/>
      <w:numFmt w:val="decimal"/>
      <w:lvlText w:val="%1.%2.%3.%4.%5.%6."/>
      <w:lvlJc w:val="left"/>
      <w:pPr>
        <w:tabs>
          <w:tab w:val="num" w:pos="1440"/>
        </w:tabs>
        <w:ind w:left="1440" w:hanging="1440"/>
      </w:pPr>
      <w:rPr/>
    </w:lvl>
    <w:lvl w:ilvl="6">
      <w:start w:val="1"/>
      <w:isLgl/>
      <w:numFmt w:val="decimal"/>
      <w:lvlText w:val="%1.%2.%3.%4.%5.%6.%7."/>
      <w:lvlJc w:val="left"/>
      <w:pPr>
        <w:tabs>
          <w:tab w:val="num" w:pos="1800"/>
        </w:tabs>
        <w:ind w:left="1800" w:hanging="1800"/>
      </w:pPr>
      <w:rPr/>
    </w:lvl>
    <w:lvl w:ilvl="7">
      <w:start w:val="1"/>
      <w:isLgl/>
      <w:numFmt w:val="decimal"/>
      <w:lvlText w:val="%1.%2.%3.%4.%5.%6.%7.%8."/>
      <w:lvlJc w:val="left"/>
      <w:pPr>
        <w:tabs>
          <w:tab w:val="num" w:pos="2160"/>
        </w:tabs>
        <w:ind w:left="2160" w:hanging="2160"/>
      </w:pPr>
      <w:rPr/>
    </w:lvl>
    <w:lvl w:ilvl="8">
      <w:start w:val="1"/>
      <w:isLgl/>
      <w:numFmt w:val="decimal"/>
      <w:lvlText w:val="%1.%2.%3.%4.%5.%6.%7.%8.%9."/>
      <w:lvlJc w:val="left"/>
      <w:pPr>
        <w:tabs>
          <w:tab w:val="num" w:pos="2160"/>
        </w:tabs>
        <w:ind w:left="2160" w:hanging="216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FreeSans"/>
        <w:lang w:val="ru-RU" w:eastAsia="zh-CN"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before="0" w:after="60"/>
      <w:jc w:val="both"/>
    </w:pPr>
    <w:rPr>
      <w:rFonts w:ascii="Times New Roman" w:hAnsi="Times New Roman" w:eastAsia="Tahoma" w:cs="FreeSans"/>
      <w:color w:val="auto"/>
      <w:kern w:val="0"/>
      <w:sz w:val="24"/>
      <w:szCs w:val="24"/>
      <w:lang w:val="ru-RU" w:eastAsia="ru-RU" w:bidi="ar-SA"/>
    </w:rPr>
  </w:style>
  <w:style w:type="paragraph" w:styleId="Heading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uiPriority w:val="9"/>
    <w:qFormat/>
    <w:rPr>
      <w:rFonts w:ascii="Arial" w:hAnsi="Arial" w:eastAsia="Arial" w:cs="Arial"/>
      <w:sz w:val="40"/>
      <w:szCs w:val="40"/>
    </w:rPr>
  </w:style>
  <w:style w:type="character" w:styleId="Heading2Char">
    <w:name w:val="Heading 2 Char"/>
    <w:uiPriority w:val="9"/>
    <w:qFormat/>
    <w:rPr>
      <w:rFonts w:ascii="Arial" w:hAnsi="Arial" w:eastAsia="Arial" w:cs="Arial"/>
      <w:sz w:val="34"/>
    </w:rPr>
  </w:style>
  <w:style w:type="character" w:styleId="Heading3Char">
    <w:name w:val="Heading 3 Char"/>
    <w:uiPriority w:val="9"/>
    <w:qFormat/>
    <w:rPr>
      <w:rFonts w:ascii="Arial" w:hAnsi="Arial" w:eastAsia="Arial" w:cs="Arial"/>
      <w:sz w:val="30"/>
      <w:szCs w:val="30"/>
    </w:rPr>
  </w:style>
  <w:style w:type="character" w:styleId="Heading4Char">
    <w:name w:val="Heading 4 Char"/>
    <w:uiPriority w:val="9"/>
    <w:qFormat/>
    <w:rPr>
      <w:rFonts w:ascii="Arial" w:hAnsi="Arial" w:eastAsia="Arial" w:cs="Arial"/>
      <w:b/>
      <w:bCs/>
      <w:sz w:val="26"/>
      <w:szCs w:val="26"/>
    </w:rPr>
  </w:style>
  <w:style w:type="character" w:styleId="Heading5Char">
    <w:name w:val="Heading 5 Char"/>
    <w:uiPriority w:val="9"/>
    <w:qFormat/>
    <w:rPr>
      <w:rFonts w:ascii="Arial" w:hAnsi="Arial" w:eastAsia="Arial" w:cs="Arial"/>
      <w:b/>
      <w:bCs/>
      <w:sz w:val="24"/>
      <w:szCs w:val="24"/>
    </w:rPr>
  </w:style>
  <w:style w:type="character" w:styleId="Heading6Char">
    <w:name w:val="Heading 6 Char"/>
    <w:uiPriority w:val="9"/>
    <w:qFormat/>
    <w:rPr>
      <w:rFonts w:ascii="Arial" w:hAnsi="Arial" w:eastAsia="Arial" w:cs="Arial"/>
      <w:b/>
      <w:bCs/>
      <w:sz w:val="22"/>
      <w:szCs w:val="22"/>
    </w:rPr>
  </w:style>
  <w:style w:type="character" w:styleId="Heading7Char">
    <w:name w:val="Heading 7 Char"/>
    <w:uiPriority w:val="9"/>
    <w:qFormat/>
    <w:rPr>
      <w:rFonts w:ascii="Arial" w:hAnsi="Arial" w:eastAsia="Arial" w:cs="Arial"/>
      <w:b/>
      <w:bCs/>
      <w:i/>
      <w:iCs/>
      <w:sz w:val="22"/>
      <w:szCs w:val="22"/>
    </w:rPr>
  </w:style>
  <w:style w:type="character" w:styleId="Heading8Char">
    <w:name w:val="Heading 8 Char"/>
    <w:uiPriority w:val="9"/>
    <w:qFormat/>
    <w:rPr>
      <w:rFonts w:ascii="Arial" w:hAnsi="Arial" w:eastAsia="Arial" w:cs="Arial"/>
      <w:i/>
      <w:iCs/>
      <w:sz w:val="22"/>
      <w:szCs w:val="22"/>
    </w:rPr>
  </w:style>
  <w:style w:type="character" w:styleId="Heading9Char">
    <w:name w:val="Heading 9 Char"/>
    <w:uiPriority w:val="9"/>
    <w:qFormat/>
    <w:rPr>
      <w:rFonts w:ascii="Arial" w:hAnsi="Arial" w:eastAsia="Arial" w:cs="Arial"/>
      <w:i/>
      <w:iCs/>
      <w:sz w:val="21"/>
      <w:szCs w:val="21"/>
    </w:rPr>
  </w:style>
  <w:style w:type="character" w:styleId="TitleChar">
    <w:name w:val="Title Char"/>
    <w:uiPriority w:val="10"/>
    <w:qFormat/>
    <w:rPr>
      <w:sz w:val="48"/>
      <w:szCs w:val="48"/>
    </w:rPr>
  </w:style>
  <w:style w:type="character" w:styleId="SubtitleChar">
    <w:name w:val="Subtitle Char"/>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uiPriority w:val="99"/>
    <w:qFormat/>
    <w:rPr/>
  </w:style>
  <w:style w:type="character" w:styleId="FooterChar">
    <w:name w:val="Footer Char"/>
    <w:uiPriority w:val="99"/>
    <w:qFormat/>
    <w:rPr/>
  </w:style>
  <w:style w:type="character" w:styleId="CaptionChar">
    <w:name w:val="Caption Char"/>
    <w:uiPriority w:val="99"/>
    <w:qFormat/>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7">
    <w:name w:val="Основной шрифт абзаца"/>
    <w:semiHidden/>
    <w:qFormat/>
    <w:rPr/>
  </w:style>
  <w:style w:type="character" w:styleId="11H1h1h1appTF-Overskrift1H11R1Titre0SectionDocumentHeader111211">
    <w:name w:val="Заголовок 1 Знак1,H1 Знак,. Знак,Название спецификации Знак,h:1 Знак,h:1app Знак,TF-Overskrift 1 Знак,H11 Знак,R1 Знак,Titre 0 Знак,Section Знак,Document Header1 Знак1,Заголовок 1 Знак2 Знак Знак,Заголовок 1 Знак1 Знак Знак Знак"/>
    <w:qFormat/>
    <w:rPr>
      <w:b/>
      <w:sz w:val="22"/>
      <w:lang w:val="en-US" w:eastAsia="en-US" w:bidi="ar-SA"/>
    </w:rPr>
  </w:style>
  <w:style w:type="character" w:styleId="Style8">
    <w:name w:val="Основной текст с отступом Знак"/>
    <w:semiHidden/>
    <w:qFormat/>
    <w:rPr>
      <w:sz w:val="24"/>
      <w:szCs w:val="24"/>
      <w:lang w:val="en-US" w:eastAsia="en-US" w:bidi="ar-SA"/>
    </w:rPr>
  </w:style>
  <w:style w:type="character" w:styleId="Style9">
    <w:name w:val="Гиперссылка"/>
    <w:uiPriority w:val="99"/>
    <w:qFormat/>
    <w:rPr>
      <w:rFonts w:cs="Times New Roman"/>
      <w:color w:val="0000FF"/>
      <w:u w:val="single"/>
    </w:rPr>
  </w:style>
  <w:style w:type="character" w:styleId="Style10">
    <w:name w:val="Верхний колонтитул Знак"/>
    <w:qFormat/>
    <w:rPr>
      <w:sz w:val="24"/>
      <w:szCs w:val="24"/>
      <w:lang w:val="ru-RU" w:eastAsia="ru-RU" w:bidi="ar-SA"/>
    </w:rPr>
  </w:style>
  <w:style w:type="character" w:styleId="PageNumber">
    <w:name w:val="page number"/>
    <w:qFormat/>
    <w:rPr>
      <w:rFonts w:cs="Times New Roman"/>
    </w:rPr>
  </w:style>
  <w:style w:type="character" w:styleId="1DocumentHeader1">
    <w:name w:val="Заголовок 1 Знак,Document Header1 Знак"/>
    <w:qFormat/>
    <w:rPr>
      <w:b/>
      <w:sz w:val="36"/>
      <w:lang w:val="ru-RU" w:eastAsia="ru-RU" w:bidi="ar-SA"/>
    </w:rPr>
  </w:style>
  <w:style w:type="character" w:styleId="Style11">
    <w:name w:val="Знак сноски"/>
    <w:qFormat/>
    <w:rPr>
      <w:vertAlign w:val="superscript"/>
    </w:rPr>
  </w:style>
  <w:style w:type="character" w:styleId="Style12">
    <w:name w:val="Текст сноски Знак"/>
    <w:qFormat/>
    <w:rPr>
      <w:lang w:val="ru-RU" w:eastAsia="ru-RU" w:bidi="ar-SA"/>
    </w:rPr>
  </w:style>
  <w:style w:type="character" w:styleId="31">
    <w:name w:val="Стиль3 Знак Знак1"/>
    <w:qFormat/>
    <w:rPr>
      <w:sz w:val="24"/>
      <w:szCs w:val="24"/>
      <w:lang w:val="ru-RU" w:eastAsia="ru-RU" w:bidi="ar-SA"/>
    </w:rPr>
  </w:style>
  <w:style w:type="character" w:styleId="Style13">
    <w:name w:val="Текст выноски Знак"/>
    <w:qFormat/>
    <w:rPr>
      <w:rFonts w:ascii="Tahoma" w:hAnsi="Tahoma" w:cs="Tahoma"/>
      <w:sz w:val="16"/>
      <w:szCs w:val="16"/>
    </w:rPr>
  </w:style>
  <w:style w:type="character" w:styleId="Style14">
    <w:name w:val="Нижний колонтитул Знак"/>
    <w:qFormat/>
    <w:rPr>
      <w:sz w:val="24"/>
      <w:szCs w:val="24"/>
    </w:rPr>
  </w:style>
  <w:style w:type="character" w:styleId="Style15">
    <w:name w:val="Без интервала Знак"/>
    <w:uiPriority w:val="1"/>
    <w:qFormat/>
    <w:rPr>
      <w:rFonts w:ascii="Calibri" w:hAnsi="Calibri"/>
      <w:sz w:val="22"/>
      <w:szCs w:val="22"/>
      <w:lang w:eastAsia="ar-SA" w:bidi="ar-SA"/>
    </w:rPr>
  </w:style>
  <w:style w:type="character" w:styleId="2">
    <w:name w:val="Основной текст (2)_"/>
    <w:qFormat/>
    <w:rPr>
      <w:b/>
      <w:bCs/>
      <w:i/>
      <w:iCs/>
      <w:shd w:fill="FFFFFF" w:val="clear"/>
    </w:rPr>
  </w:style>
  <w:style w:type="character" w:styleId="214pt">
    <w:name w:val="Основной текст (2) + 14 pt;Не курсив"/>
    <w:qFormat/>
    <w:rPr>
      <w:rFonts w:ascii="Times New Roman" w:hAnsi="Times New Roman" w:eastAsia="Times New Roman" w:cs="Times New Roman"/>
      <w:b/>
      <w:bCs/>
      <w:i/>
      <w:iCs/>
      <w:color w:val="000000"/>
      <w:spacing w:val="0"/>
      <w:sz w:val="28"/>
      <w:szCs w:val="28"/>
      <w:shd w:fill="FFFFFF" w:val="clear"/>
      <w:lang w:val="ru-RU" w:eastAsia="ru-RU" w:bidi="ru-RU"/>
    </w:rPr>
  </w:style>
  <w:style w:type="character" w:styleId="Style16">
    <w:name w:val="Слабое выделение"/>
    <w:uiPriority w:val="19"/>
    <w:qFormat/>
    <w:rPr>
      <w:i/>
      <w:iCs/>
      <w:color w:val="808080"/>
    </w:rPr>
  </w:style>
  <w:style w:type="character" w:styleId="DefaultParagraphFont" w:default="1">
    <w:name w:val="Default Paragraph Font"/>
    <w:uiPriority w:val="1"/>
    <w:semiHidden/>
    <w:unhideWhenUsed/>
    <w:qFormat/>
    <w:rPr/>
  </w:style>
  <w:style w:type="character" w:styleId="FontStyle92" w:customStyle="1">
    <w:name w:val="Font Style92"/>
    <w:uiPriority w:val="99"/>
    <w:qFormat/>
    <w:rPr>
      <w:rFonts w:ascii="Times New Roman" w:hAnsi="Times New Roman" w:cs="Times New Roman"/>
      <w:sz w:val="26"/>
      <w:szCs w:val="26"/>
    </w:rPr>
  </w:style>
  <w:style w:type="character" w:styleId="FontStyle20" w:customStyle="1">
    <w:name w:val="Font Style20"/>
    <w:qFormat/>
    <w:rPr>
      <w:rFonts w:ascii="Times New Roman" w:hAnsi="Times New Roman" w:cs="Times New Roman"/>
      <w:sz w:val="22"/>
      <w:szCs w:val="22"/>
    </w:rPr>
  </w:style>
  <w:style w:type="paragraph" w:styleId="Style17">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customStyle="1">
    <w:name w:val="Body Text"/>
    <w:basedOn w:val="Normal"/>
    <w:pPr>
      <w:keepNext w:val="false"/>
      <w:keepLines w:val="false"/>
      <w:pageBreakBefore w:val="false"/>
      <w:widowControl/>
      <w:shd w:val="nil"/>
      <w:spacing w:lineRule="auto" w:line="276" w:beforeAutospacing="0" w:before="0" w:afterAutospacing="0" w:after="120"/>
      <w:ind w:hanging="0" w:left="0" w:right="0"/>
      <w:jc w:val="left"/>
    </w:pPr>
    <w:rPr>
      <w:rFonts w:ascii="Calibri" w:hAnsi="Calibri" w:eastAsia="Times New Roman" w:cs="Times New Roman"/>
      <w:b w:val="false"/>
      <w:bCs w:val="false"/>
      <w:i w:val="false"/>
      <w:iCs w:val="false"/>
      <w:caps w:val="false"/>
      <w:smallCaps w:val="false"/>
      <w:strike w:val="false"/>
      <w:dstrike w:val="false"/>
      <w:vanish w:val="false"/>
      <w:color w:val="auto"/>
      <w:spacing w:val="0"/>
      <w:position w:val="0"/>
      <w:sz w:val="22"/>
      <w:sz w:val="22"/>
      <w:szCs w:val="22"/>
      <w:u w:val="none"/>
      <w:vertAlign w:val="baseline"/>
      <w:lang w:val="ru-RU" w:eastAsia="en-US" w:bidi="ar-SA"/>
      <w14:ligatures w14:val="none"/>
    </w:rPr>
  </w:style>
  <w:style w:type="paragraph" w:styleId="List">
    <w:name w:val="List"/>
    <w:basedOn w:val="BodyText"/>
    <w:pPr/>
    <w:rPr>
      <w:rFonts w:ascii="PT Astra Serif" w:hAnsi="PT Astra Serif" w:cs="FreeSans"/>
    </w:rPr>
  </w:style>
  <w:style w:type="paragraph" w:styleId="Caption">
    <w:name w:val="caption"/>
    <w:basedOn w:val="Normal"/>
    <w:uiPriority w:val="35"/>
    <w:semiHidden/>
    <w:unhideWhenUsed/>
    <w:qFormat/>
    <w:pPr>
      <w:spacing w:lineRule="auto" w:line="276"/>
    </w:pPr>
    <w:rPr>
      <w:b/>
      <w:bCs/>
      <w:color w:themeColor="accent1" w:val="4F81BD"/>
      <w:sz w:val="18"/>
      <w:szCs w:val="18"/>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Bullet3">
    <w:name w:val="List Bullet 3"/>
    <w:basedOn w:val="Normal"/>
    <w:qFormat/>
    <w:pPr>
      <w:spacing w:before="0" w:after="60"/>
      <w:ind w:hanging="283" w:left="849"/>
      <w:contextualSpacing/>
    </w:pPr>
    <w:rPr/>
  </w:style>
  <w:style w:type="paragraph" w:styleId="ListParagraph">
    <w:name w:val="List Paragraph"/>
    <w:basedOn w:val="Normal"/>
    <w:uiPriority w:val="34"/>
    <w:qFormat/>
    <w:pPr>
      <w:spacing w:before="0" w:after="0"/>
      <w:ind w:left="720"/>
      <w:contextualSpacing/>
    </w:pPr>
    <w:rPr/>
  </w:style>
  <w:style w:type="paragraph" w:styleId="NoSpacing">
    <w:name w:val="No Spacing"/>
    <w:uiPriority w:val="1"/>
    <w:qFormat/>
    <w:pPr>
      <w:widowControl/>
      <w:suppressAutoHyphens w:val="true"/>
      <w:bidi w:val="0"/>
      <w:spacing w:lineRule="auto" w:line="240" w:before="0" w:after="0"/>
      <w:jc w:val="left"/>
    </w:pPr>
    <w:rPr>
      <w:rFonts w:ascii="Times New Roman" w:hAnsi="Times New Roman" w:eastAsia="Tahoma" w:cs="FreeSans"/>
      <w:color w:val="auto"/>
      <w:kern w:val="0"/>
      <w:sz w:val="20"/>
      <w:szCs w:val="20"/>
      <w:lang w:val="ru-RU" w:eastAsia="zh-CN" w:bidi="ar-SA"/>
    </w:rPr>
  </w:style>
  <w:style w:type="paragraph" w:styleId="Title">
    <w:name w:val="Title"/>
    <w:basedOn w:val="Normal"/>
    <w:uiPriority w:val="10"/>
    <w:qFormat/>
    <w:pPr>
      <w:spacing w:before="300" w:after="200"/>
      <w:contextualSpacing/>
    </w:pPr>
    <w:rPr>
      <w:sz w:val="48"/>
      <w:szCs w:val="48"/>
    </w:rPr>
  </w:style>
  <w:style w:type="paragraph" w:styleId="Subtitle">
    <w:name w:val="Subtitle"/>
    <w:basedOn w:val="Normal"/>
    <w:uiPriority w:val="11"/>
    <w:qFormat/>
    <w:pPr>
      <w:spacing w:before="200" w:after="200"/>
    </w:pPr>
    <w:rPr>
      <w:sz w:val="24"/>
      <w:szCs w:val="24"/>
    </w:rPr>
  </w:style>
  <w:style w:type="paragraph" w:styleId="Quote">
    <w:name w:val="Quote"/>
    <w:basedOn w:val="Normal"/>
    <w:uiPriority w:val="29"/>
    <w:qFormat/>
    <w:pPr>
      <w:ind w:left="720" w:right="72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9">
    <w:name w:val="Колонтитулы"/>
    <w:basedOn w:val="Normal"/>
    <w:qFormat/>
    <w:pPr/>
    <w:rPr/>
  </w:style>
  <w:style w:type="paragraph" w:styleId="user4">
    <w:name w:val="Колонтитулы (user)"/>
    <w:basedOn w:val="Normal"/>
    <w:qFormat/>
    <w:pPr/>
    <w:rPr/>
  </w:style>
  <w:style w:type="paragraph" w:styleId="Header">
    <w:name w:val="header"/>
    <w:basedOn w:val="Normal"/>
    <w:qFormat/>
    <w:pPr>
      <w:tabs>
        <w:tab w:val="clear" w:pos="708"/>
        <w:tab w:val="center" w:pos="4677" w:leader="none"/>
        <w:tab w:val="right" w:pos="9355" w:leader="none"/>
      </w:tabs>
      <w:spacing w:before="0" w:after="0"/>
      <w:jc w:val="left"/>
    </w:pPr>
    <w:rPr/>
  </w:style>
  <w:style w:type="paragraph" w:styleId="Footer">
    <w:name w:val="footer"/>
    <w:basedOn w:val="Normal"/>
    <w:qFormat/>
    <w:pPr>
      <w:tabs>
        <w:tab w:val="clear" w:pos="708"/>
        <w:tab w:val="center" w:pos="4677" w:leader="none"/>
        <w:tab w:val="right" w:pos="9355" w:leader="none"/>
      </w:tabs>
    </w:pPr>
    <w:rPr>
      <w:lang w:val="en-US" w:eastAsia="en-US"/>
    </w:rPr>
  </w:style>
  <w:style w:type="paragraph" w:styleId="FootnoteText">
    <w:name w:val="footnote text"/>
    <w:basedOn w:val="Normal"/>
    <w:uiPriority w:val="99"/>
    <w:semiHidden/>
    <w:unhideWhenUsed/>
    <w:pPr>
      <w:spacing w:lineRule="auto" w:line="240" w:before="0" w:after="40"/>
    </w:pPr>
    <w:rPr>
      <w:sz w:val="18"/>
    </w:rPr>
  </w:style>
  <w:style w:type="paragraph" w:styleId="EndnoteText">
    <w:name w:val="endnote text"/>
    <w:basedOn w:val="Normal"/>
    <w:uiPriority w:val="99"/>
    <w:semiHidden/>
    <w:unhideWhenUsed/>
    <w:pPr>
      <w:spacing w:lineRule="auto" w:line="240" w:before="0" w:after="0"/>
    </w:pPr>
    <w:rPr>
      <w:sz w:val="20"/>
    </w:rPr>
  </w:style>
  <w:style w:type="paragraph" w:styleId="TOC1">
    <w:name w:val="toc 1"/>
    <w:basedOn w:val="Normal"/>
    <w:uiPriority w:val="39"/>
    <w:unhideWhenUsed/>
    <w:pPr>
      <w:spacing w:before="0" w:after="57"/>
      <w:ind w:hanging="0" w:left="0" w:right="0"/>
    </w:pPr>
    <w:rPr/>
  </w:style>
  <w:style w:type="paragraph" w:styleId="TOC2">
    <w:name w:val="toc 2"/>
    <w:basedOn w:val="Normal"/>
    <w:uiPriority w:val="39"/>
    <w:unhideWhenUsed/>
    <w:pPr>
      <w:spacing w:before="0" w:after="57"/>
      <w:ind w:hanging="0" w:left="283" w:right="0"/>
    </w:pPr>
    <w:rPr/>
  </w:style>
  <w:style w:type="paragraph" w:styleId="TOC3">
    <w:name w:val="toc 3"/>
    <w:basedOn w:val="Normal"/>
    <w:uiPriority w:val="39"/>
    <w:unhideWhenUsed/>
    <w:pPr>
      <w:spacing w:before="0" w:after="57"/>
      <w:ind w:hanging="0" w:left="567" w:right="0"/>
    </w:pPr>
    <w:rPr/>
  </w:style>
  <w:style w:type="paragraph" w:styleId="TOC4">
    <w:name w:val="toc 4"/>
    <w:basedOn w:val="Normal"/>
    <w:uiPriority w:val="39"/>
    <w:unhideWhenUsed/>
    <w:pPr>
      <w:spacing w:before="0" w:after="57"/>
      <w:ind w:hanging="0" w:left="850" w:right="0"/>
    </w:pPr>
    <w:rPr/>
  </w:style>
  <w:style w:type="paragraph" w:styleId="TOC5">
    <w:name w:val="toc 5"/>
    <w:basedOn w:val="Normal"/>
    <w:uiPriority w:val="39"/>
    <w:unhideWhenUsed/>
    <w:pPr>
      <w:spacing w:before="0" w:after="57"/>
      <w:ind w:hanging="0" w:left="1134" w:right="0"/>
    </w:pPr>
    <w:rPr/>
  </w:style>
  <w:style w:type="paragraph" w:styleId="TOC6">
    <w:name w:val="toc 6"/>
    <w:basedOn w:val="Normal"/>
    <w:uiPriority w:val="39"/>
    <w:unhideWhenUsed/>
    <w:pPr>
      <w:spacing w:before="0" w:after="57"/>
      <w:ind w:hanging="0" w:left="1417" w:right="0"/>
    </w:pPr>
    <w:rPr/>
  </w:style>
  <w:style w:type="paragraph" w:styleId="TOC7">
    <w:name w:val="toc 7"/>
    <w:basedOn w:val="Normal"/>
    <w:uiPriority w:val="39"/>
    <w:unhideWhenUsed/>
    <w:pPr>
      <w:spacing w:before="0" w:after="57"/>
      <w:ind w:hanging="0" w:left="1701" w:right="0"/>
    </w:pPr>
    <w:rPr/>
  </w:style>
  <w:style w:type="paragraph" w:styleId="TOC8">
    <w:name w:val="toc 8"/>
    <w:basedOn w:val="Normal"/>
    <w:uiPriority w:val="39"/>
    <w:unhideWhenUsed/>
    <w:pPr>
      <w:spacing w:before="0" w:after="57"/>
      <w:ind w:hanging="0" w:left="1984" w:right="0"/>
    </w:pPr>
    <w:rPr/>
  </w:style>
  <w:style w:type="paragraph" w:styleId="TOC9">
    <w:name w:val="toc 9"/>
    <w:basedOn w:val="Normal"/>
    <w:uiPriority w:val="39"/>
    <w:unhideWhenUsed/>
    <w:pPr>
      <w:spacing w:before="0" w:after="57"/>
      <w:ind w:hanging="0" w:left="2268" w:right="0"/>
    </w:pPr>
    <w:rPr/>
  </w:style>
  <w:style w:type="paragraph" w:styleId="IndexHeading">
    <w:name w:val="index heading"/>
    <w:basedOn w:val="Style17"/>
    <w:pPr/>
    <w:rPr/>
  </w:style>
  <w:style w:type="paragraph" w:styleId="TOCHeading">
    <w:name w:val="TOC Heading"/>
    <w:uiPriority w:val="39"/>
    <w:unhideWhenUsed/>
    <w:qFormat/>
    <w:pPr>
      <w:widowControl/>
      <w:suppressAutoHyphens w:val="true"/>
      <w:bidi w:val="0"/>
      <w:spacing w:before="0" w:after="0"/>
      <w:jc w:val="left"/>
    </w:pPr>
    <w:rPr>
      <w:rFonts w:ascii="Times New Roman" w:hAnsi="Times New Roman" w:eastAsia="Tahoma" w:cs="FreeSans"/>
      <w:color w:val="auto"/>
      <w:kern w:val="0"/>
      <w:sz w:val="20"/>
      <w:szCs w:val="20"/>
      <w:lang w:val="ru-RU" w:eastAsia="zh-CN" w:bidi="ar-SA"/>
    </w:rPr>
  </w:style>
  <w:style w:type="paragraph" w:styleId="TableofFigures">
    <w:name w:val="table of figures"/>
    <w:basedOn w:val="Normal"/>
    <w:uiPriority w:val="99"/>
    <w:unhideWhenUsed/>
    <w:pPr>
      <w:spacing w:before="0" w:afterAutospacing="0" w:after="0"/>
    </w:pPr>
    <w:rPr/>
  </w:style>
  <w:style w:type="paragraph" w:styleId="1H1h1h1appTF-Overskrift1H11R1Titre0SectionDocumentHeader1121111112">
    <w:name w:val="Заголовок 1,H1,.,Название спецификации,h:1,h:1app,TF-Overskrift 1,H11,R1,Titre 0,Section,Document Header1,Заголовок 1 Знак2 Знак,Заголовок 1 Знак1 Знак Знак,Заголовок 1 Знак Знак Знак Знак,Заголовок 1 Знак Знак1 Знак Знак,Заголовок 1 Знак Знак2 Знак"/>
    <w:basedOn w:val="Normal"/>
    <w:qFormat/>
    <w:pPr>
      <w:keepNext w:val="true"/>
      <w:widowControl w:val="false"/>
      <w:spacing w:before="0" w:after="0"/>
      <w:jc w:val="center"/>
      <w:outlineLvl w:val="0"/>
    </w:pPr>
    <w:rPr>
      <w:b/>
      <w:sz w:val="22"/>
      <w:szCs w:val="20"/>
      <w:lang w:val="en-US" w:eastAsia="en-US"/>
    </w:rPr>
  </w:style>
  <w:style w:type="paragraph" w:styleId="BodyTextIndent">
    <w:name w:val="Body Text Indent"/>
    <w:basedOn w:val="Normal"/>
    <w:qFormat/>
    <w:pPr>
      <w:spacing w:before="0" w:after="120"/>
      <w:ind w:left="283"/>
      <w:jc w:val="left"/>
    </w:pPr>
    <w:rPr>
      <w:lang w:val="en-US" w:eastAsia="en-US"/>
    </w:rPr>
  </w:style>
  <w:style w:type="paragraph" w:styleId="Style20">
    <w:name w:val="Текст сноски"/>
    <w:basedOn w:val="Normal"/>
    <w:qFormat/>
    <w:pPr/>
    <w:rPr>
      <w:sz w:val="20"/>
      <w:szCs w:val="20"/>
    </w:rPr>
  </w:style>
  <w:style w:type="paragraph" w:styleId="Style21">
    <w:name w:val="Цитата"/>
    <w:basedOn w:val="Normal"/>
    <w:semiHidden/>
    <w:qFormat/>
    <w:pPr>
      <w:spacing w:before="0" w:after="120"/>
      <w:ind w:left="1440" w:right="1440"/>
    </w:pPr>
    <w:rPr>
      <w:szCs w:val="20"/>
    </w:rPr>
  </w:style>
  <w:style w:type="paragraph" w:styleId="Style22">
    <w:name w:val=" Знак"/>
    <w:basedOn w:val="Normal"/>
    <w:qFormat/>
    <w:pPr>
      <w:spacing w:beforeAutospacing="1" w:afterAutospacing="1"/>
      <w:jc w:val="left"/>
    </w:pPr>
    <w:rPr>
      <w:rFonts w:ascii="Tahoma" w:hAnsi="Tahoma"/>
      <w:sz w:val="20"/>
      <w:szCs w:val="20"/>
      <w:lang w:val="en-US" w:eastAsia="en-US"/>
    </w:rPr>
  </w:style>
  <w:style w:type="paragraph" w:styleId="1">
    <w:name w:val="Стиль1"/>
    <w:basedOn w:val="Normal"/>
    <w:qFormat/>
    <w:pPr>
      <w:keepNext w:val="true"/>
      <w:keepLines/>
      <w:widowControl w:val="false"/>
      <w:numPr>
        <w:ilvl w:val="0"/>
        <w:numId w:val="2"/>
      </w:numPr>
      <w:suppressLineNumbers/>
    </w:pPr>
    <w:rPr>
      <w:b/>
      <w:sz w:val="28"/>
    </w:rPr>
  </w:style>
  <w:style w:type="paragraph" w:styleId="21">
    <w:name w:val="Стиль2"/>
    <w:qFormat/>
    <w:pPr>
      <w:keepNext w:val="true"/>
      <w:keepLines/>
      <w:widowControl w:val="false"/>
      <w:numPr>
        <w:ilvl w:val="1"/>
        <w:numId w:val="2"/>
      </w:numPr>
      <w:suppressLineNumbers/>
      <w:suppressAutoHyphens w:val="true"/>
      <w:bidi w:val="0"/>
      <w:spacing w:before="0" w:after="0"/>
      <w:jc w:val="left"/>
    </w:pPr>
    <w:rPr>
      <w:rFonts w:ascii="Times New Roman" w:hAnsi="Times New Roman" w:eastAsia="Tahoma" w:cs="FreeSans"/>
      <w:b/>
      <w:color w:val="auto"/>
      <w:kern w:val="0"/>
      <w:sz w:val="20"/>
      <w:szCs w:val="20"/>
      <w:lang w:val="ru-RU" w:eastAsia="zh-CN" w:bidi="ar-SA"/>
    </w:rPr>
  </w:style>
  <w:style w:type="paragraph" w:styleId="3">
    <w:name w:val="Стиль3 Знак"/>
    <w:qFormat/>
    <w:pPr>
      <w:widowControl w:val="false"/>
      <w:numPr>
        <w:ilvl w:val="2"/>
        <w:numId w:val="2"/>
      </w:numPr>
      <w:suppressAutoHyphens w:val="true"/>
      <w:bidi w:val="0"/>
      <w:spacing w:lineRule="auto" w:line="240" w:before="0" w:after="0"/>
      <w:jc w:val="left"/>
    </w:pPr>
    <w:rPr>
      <w:rFonts w:ascii="Times New Roman" w:hAnsi="Times New Roman" w:eastAsia="Tahoma" w:cs="FreeSans"/>
      <w:color w:val="auto"/>
      <w:kern w:val="0"/>
      <w:sz w:val="20"/>
      <w:szCs w:val="20"/>
      <w:lang w:val="ru-RU" w:eastAsia="zh-CN" w:bidi="ar-SA"/>
    </w:rPr>
  </w:style>
  <w:style w:type="paragraph" w:styleId="22">
    <w:name w:val="Нумерованный список 2"/>
    <w:basedOn w:val="Normal"/>
    <w:qFormat/>
    <w:pPr>
      <w:numPr>
        <w:ilvl w:val="0"/>
        <w:numId w:val="2"/>
      </w:numPr>
    </w:pPr>
    <w:rPr/>
  </w:style>
  <w:style w:type="paragraph" w:styleId="23">
    <w:name w:val="Основной текст с отступом 2"/>
    <w:basedOn w:val="Normal"/>
    <w:qFormat/>
    <w:pPr>
      <w:spacing w:lineRule="auto" w:line="480" w:before="0" w:after="120"/>
      <w:ind w:left="283"/>
    </w:pPr>
    <w:rPr/>
  </w:style>
  <w:style w:type="paragraph" w:styleId="Style23">
    <w:name w:val="Текст выноски"/>
    <w:basedOn w:val="Normal"/>
    <w:qFormat/>
    <w:pPr>
      <w:spacing w:before="0" w:after="0"/>
    </w:pPr>
    <w:rPr>
      <w:rFonts w:ascii="Tahoma" w:hAnsi="Tahoma"/>
      <w:sz w:val="16"/>
      <w:szCs w:val="16"/>
      <w:lang w:val="en-US" w:eastAsia="en-US"/>
    </w:rPr>
  </w:style>
  <w:style w:type="paragraph" w:styleId="Style24">
    <w:name w:val=" Знак Знак Знак"/>
    <w:basedOn w:val="Normal"/>
    <w:qFormat/>
    <w:pPr>
      <w:spacing w:beforeAutospacing="1" w:afterAutospacing="1"/>
      <w:jc w:val="left"/>
    </w:pPr>
    <w:rPr>
      <w:rFonts w:ascii="Tahoma" w:hAnsi="Tahoma"/>
      <w:sz w:val="20"/>
      <w:szCs w:val="20"/>
      <w:lang w:val="en-US" w:eastAsia="en-US"/>
    </w:rPr>
  </w:style>
  <w:style w:type="paragraph" w:styleId="Style25">
    <w:name w:val="Абзац списка"/>
    <w:basedOn w:val="Normal"/>
    <w:uiPriority w:val="99"/>
    <w:qFormat/>
    <w:pPr>
      <w:spacing w:lineRule="auto" w:line="276" w:before="0" w:after="200"/>
      <w:ind w:left="720"/>
      <w:contextualSpacing/>
      <w:jc w:val="left"/>
    </w:pPr>
    <w:rPr>
      <w:rFonts w:ascii="Calibri" w:hAnsi="Calibri" w:eastAsia="Calibri" w:cs="Times New Roman"/>
      <w:sz w:val="22"/>
      <w:szCs w:val="22"/>
      <w:lang w:eastAsia="en-US"/>
    </w:rPr>
  </w:style>
  <w:style w:type="paragraph" w:styleId="Style26">
    <w:name w:val="Без интервала"/>
    <w:uiPriority w:val="1"/>
    <w:qFormat/>
    <w:pPr>
      <w:widowControl/>
      <w:suppressAutoHyphens w:val="true"/>
      <w:bidi w:val="0"/>
      <w:spacing w:before="0" w:after="0"/>
      <w:jc w:val="left"/>
    </w:pPr>
    <w:rPr>
      <w:rFonts w:ascii="Calibri" w:hAnsi="Calibri" w:eastAsia="Tahoma" w:cs="FreeSans"/>
      <w:color w:val="auto"/>
      <w:kern w:val="0"/>
      <w:sz w:val="22"/>
      <w:szCs w:val="22"/>
      <w:lang w:val="ru-RU" w:eastAsia="ar-SA" w:bidi="ar-SA"/>
    </w:rPr>
  </w:style>
  <w:style w:type="paragraph" w:styleId="Style27">
    <w:name w:val="Знак Знак Знак Знак Знак Знак Знак"/>
    <w:basedOn w:val="Normal"/>
    <w:uiPriority w:val="99"/>
    <w:qFormat/>
    <w:pPr>
      <w:spacing w:beforeAutospacing="1" w:afterAutospacing="1"/>
    </w:pPr>
    <w:rPr>
      <w:rFonts w:ascii="Tahoma" w:hAnsi="Tahoma" w:cs="Tahoma"/>
      <w:sz w:val="20"/>
      <w:szCs w:val="20"/>
      <w:lang w:val="en-US" w:eastAsia="en-US"/>
    </w:rPr>
  </w:style>
  <w:style w:type="paragraph" w:styleId="Default">
    <w:name w:val="Default"/>
    <w:qFormat/>
    <w:pPr>
      <w:widowControl/>
      <w:suppressAutoHyphens w:val="true"/>
      <w:bidi w:val="0"/>
      <w:spacing w:before="0" w:after="0"/>
      <w:jc w:val="left"/>
    </w:pPr>
    <w:rPr>
      <w:rFonts w:ascii="Times New Roman" w:hAnsi="Times New Roman" w:eastAsia="Tahoma" w:cs="FreeSans"/>
      <w:color w:val="000000"/>
      <w:kern w:val="0"/>
      <w:sz w:val="24"/>
      <w:szCs w:val="24"/>
      <w:lang w:val="ru-RU" w:eastAsia="ru-RU" w:bidi="ar-SA"/>
    </w:rPr>
  </w:style>
  <w:style w:type="paragraph" w:styleId="211">
    <w:name w:val="Основной текст 21"/>
    <w:basedOn w:val="Normal"/>
    <w:qFormat/>
    <w:pPr>
      <w:widowControl w:val="false"/>
      <w:spacing w:before="0" w:after="0"/>
    </w:pPr>
    <w:rPr>
      <w:rFonts w:ascii="Courier New" w:hAnsi="Courier New"/>
      <w:sz w:val="20"/>
      <w:szCs w:val="20"/>
    </w:rPr>
  </w:style>
  <w:style w:type="paragraph" w:styleId="24">
    <w:name w:val="Основной текст (2)"/>
    <w:basedOn w:val="Normal"/>
    <w:qFormat/>
    <w:pPr>
      <w:widowControl w:val="false"/>
      <w:shd w:val="clear" w:color="auto" w:fill="FFFFFF"/>
      <w:spacing w:lineRule="exact" w:line="250" w:before="360" w:after="0"/>
      <w:jc w:val="center"/>
    </w:pPr>
    <w:rPr>
      <w:b/>
      <w:bCs/>
      <w:i/>
      <w:iCs/>
      <w:sz w:val="20"/>
      <w:szCs w:val="20"/>
      <w:lang w:val="en-US" w:eastAsia="en-US"/>
    </w:rPr>
  </w:style>
  <w:style w:type="paragraph" w:styleId="ConsPlusNonformat" w:customStyle="1">
    <w:name w:val="ConsPlusNonformat"/>
    <w:qFormat/>
    <w:pPr>
      <w:keepNext w:val="false"/>
      <w:keepLines w:val="false"/>
      <w:pageBreakBefore w:val="false"/>
      <w:widowControl w:val="false"/>
      <w:shd w:val="nil"/>
      <w:suppressAutoHyphens w:val="true"/>
      <w:bidi w:val="0"/>
      <w:spacing w:lineRule="auto" w:line="240" w:beforeAutospacing="0" w:before="0" w:afterAutospacing="0" w:after="0"/>
      <w:ind w:hanging="0" w:left="0" w:right="0"/>
      <w:jc w:val="left"/>
    </w:pPr>
    <w:rPr>
      <w:rFonts w:ascii="Courier New" w:hAnsi="Courier New" w:eastAsia="Calibri" w:cs="Courier New"/>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14:ligatures w14:val="none"/>
    </w:rPr>
  </w:style>
  <w:style w:type="paragraph" w:styleId="Style28" w:customStyle="1">
    <w:name w:val="Условия контракта"/>
    <w:qFormat/>
    <w:pPr>
      <w:keepNext w:val="false"/>
      <w:keepLines w:val="false"/>
      <w:pageBreakBefore w:val="false"/>
      <w:widowControl/>
      <w:shd w:val="nil"/>
      <w:tabs>
        <w:tab w:val="clear" w:pos="708"/>
        <w:tab w:val="left" w:pos="720" w:leader="none"/>
      </w:tabs>
      <w:suppressAutoHyphens w:val="true"/>
      <w:bidi w:val="0"/>
      <w:spacing w:lineRule="auto" w:line="240" w:beforeAutospacing="0" w:before="240" w:afterAutospacing="0" w:after="120"/>
      <w:ind w:hanging="360" w:left="720" w:right="0"/>
      <w:jc w:val="both"/>
    </w:pPr>
    <w:rPr>
      <w:rFonts w:ascii="Times New Roman" w:hAnsi="Times New Roman" w:eastAsia="Times New Roman" w:cs="Times New Roman"/>
      <w:b/>
      <w:bCs w:val="false"/>
      <w:i w:val="false"/>
      <w:iCs w:val="false"/>
      <w:caps w:val="false"/>
      <w:smallCaps w:val="false"/>
      <w:strike w:val="false"/>
      <w:dstrike w:val="false"/>
      <w:vanish w:val="false"/>
      <w:color w:val="auto"/>
      <w:spacing w:val="0"/>
      <w:kern w:val="0"/>
      <w:position w:val="0"/>
      <w:sz w:val="24"/>
      <w:sz w:val="24"/>
      <w:szCs w:val="20"/>
      <w:u w:val="none"/>
      <w:vertAlign w:val="baseline"/>
      <w:lang w:val="ru-RU" w:eastAsia="ar-SA" w:bidi="ar-SA"/>
      <w14:ligatures w14:val="none"/>
    </w:rPr>
  </w:style>
  <w:style w:type="paragraph" w:styleId="Style110" w:customStyle="1">
    <w:name w:val="Style1"/>
    <w:qFormat/>
    <w:pPr>
      <w:keepNext w:val="false"/>
      <w:keepLines w:val="false"/>
      <w:pageBreakBefore w:val="false"/>
      <w:widowControl/>
      <w:shd w:val="nil"/>
      <w:tabs>
        <w:tab w:val="clear" w:pos="708"/>
        <w:tab w:val="left" w:pos="360" w:leader="none"/>
      </w:tabs>
      <w:suppressAutoHyphens w:val="true"/>
      <w:bidi w:val="0"/>
      <w:spacing w:lineRule="auto" w:line="240" w:beforeAutospacing="0" w:before="480" w:afterAutospacing="0" w:after="240"/>
      <w:ind w:hanging="0" w:left="0" w:right="0"/>
      <w:jc w:val="center"/>
    </w:pPr>
    <w:rPr>
      <w:rFonts w:ascii="Arial" w:hAnsi="Arial" w:eastAsia="Times New Roman" w:cs="Times New Roman"/>
      <w:b/>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paragraph" w:styleId="Style231" w:customStyle="1">
    <w:name w:val="Style23"/>
    <w:qFormat/>
    <w:pPr>
      <w:keepNext w:val="false"/>
      <w:keepLines w:val="false"/>
      <w:pageBreakBefore w:val="false"/>
      <w:widowControl w:val="false"/>
      <w:shd w:val="nil"/>
      <w:suppressAutoHyphens w:val="true"/>
      <w:bidi w:val="0"/>
      <w:spacing w:lineRule="exact" w:line="557" w:beforeAutospacing="0" w:before="0" w:afterAutospacing="0" w:after="0"/>
      <w:ind w:firstLine="2198"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paragraph" w:styleId="NormalWeb" w:customStyle="1">
    <w:name w:val="Normal (Web)"/>
    <w:unhideWhenUsed/>
    <w:qFormat/>
    <w:pPr>
      <w:keepNext w:val="false"/>
      <w:keepLines w:val="false"/>
      <w:pageBreakBefore w:val="false"/>
      <w:widowControl/>
      <w:shd w:val="nil"/>
      <w:suppressAutoHyphens w:val="true"/>
      <w:bidi w:val="0"/>
      <w:spacing w:lineRule="auto" w:line="240" w:beforeAutospacing="1" w:afterAutospacing="1"/>
      <w:ind w:hanging="0" w:left="0" w:right="0"/>
      <w:jc w:val="left"/>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kern w:val="0"/>
      <w:position w:val="0"/>
      <w:sz w:val="24"/>
      <w:sz w:val="24"/>
      <w:szCs w:val="24"/>
      <w:u w:val="none"/>
      <w:vertAlign w:val="baseline"/>
      <w:lang w:val="ru-RU" w:eastAsia="ru-RU" w:bidi="ar-SA"/>
      <w14:ligatures w14:val="none"/>
    </w:rPr>
  </w:style>
  <w:style w:type="paragraph" w:styleId="ConsPlusNormal" w:customStyle="1">
    <w:name w:val="ConsPlusNormal"/>
    <w:qFormat/>
    <w:pPr>
      <w:keepNext w:val="false"/>
      <w:keepLines w:val="false"/>
      <w:pageBreakBefore w:val="false"/>
      <w:widowControl w:val="false"/>
      <w:shd w:val="nil"/>
      <w:suppressAutoHyphens w:val="true"/>
      <w:bidi w:val="0"/>
      <w:spacing w:lineRule="auto" w:line="240" w:beforeAutospacing="0" w:before="0" w:afterAutospacing="0" w:after="0"/>
      <w:ind w:firstLine="720" w:left="0" w:right="0"/>
      <w:jc w:val="left"/>
    </w:pPr>
    <w:rPr>
      <w:rFonts w:ascii="Arial" w:hAnsi="Arial" w:eastAsia="Times New Roman" w:cs="Arial"/>
      <w:b w:val="false"/>
      <w:bCs w:val="false"/>
      <w:i w:val="false"/>
      <w:iCs w:val="false"/>
      <w:caps w:val="false"/>
      <w:smallCaps w:val="false"/>
      <w:strike w:val="false"/>
      <w:dstrike w:val="false"/>
      <w:vanish w:val="false"/>
      <w:color w:val="auto"/>
      <w:spacing w:val="0"/>
      <w:kern w:val="0"/>
      <w:position w:val="0"/>
      <w:sz w:val="20"/>
      <w:sz w:val="20"/>
      <w:szCs w:val="20"/>
      <w:u w:val="none"/>
      <w:vertAlign w:val="baseline"/>
      <w:lang w:val="ru-RU" w:eastAsia="ru-RU" w:bidi="ar-SA"/>
      <w14:ligatures w14:val="none"/>
    </w:rPr>
  </w:style>
  <w:style w:type="paragraph" w:styleId="Style29" w:customStyle="1">
    <w:name w:val="Обычный + по ширине"/>
    <w:basedOn w:val="ListBullet3"/>
    <w:uiPriority w:val="99"/>
    <w:qFormat/>
    <w:pPr>
      <w:keepNext w:val="false"/>
      <w:keepLines w:val="false"/>
      <w:pageBreakBefore w:val="false"/>
      <w:widowControl/>
      <w:shd w:val="nil"/>
      <w:spacing w:lineRule="auto" w:line="240" w:beforeAutospacing="0" w:before="0" w:afterAutospacing="0" w:after="0"/>
      <w:ind w:hanging="0" w:left="0" w:right="0"/>
      <w:contextualSpacing w:val="false"/>
      <w:jc w:val="both"/>
    </w:pPr>
    <w:rPr>
      <w:rFonts w:ascii="Times New Roman" w:hAnsi="Times New Roman" w:eastAsia="Times New Roman" w:cs="Times New Roman"/>
      <w:b w:val="false"/>
      <w:bCs w:val="false"/>
      <w:i w:val="false"/>
      <w:iCs w:val="false"/>
      <w:caps w:val="false"/>
      <w:smallCaps w:val="false"/>
      <w:strike w:val="false"/>
      <w:dstrike w:val="false"/>
      <w:vanish w:val="false"/>
      <w:color w:val="auto"/>
      <w:spacing w:val="0"/>
      <w:position w:val="0"/>
      <w:sz w:val="24"/>
      <w:sz w:val="24"/>
      <w:szCs w:val="24"/>
      <w:u w:val="none"/>
      <w:vertAlign w:val="baseline"/>
      <w:lang w:val="ru-RU" w:eastAsia="ru-RU" w:bidi="ar-SA"/>
      <w14:ligatures w14:val="none"/>
    </w:rPr>
  </w:style>
  <w:style w:type="paragraph" w:styleId="Style30">
    <w:name w:val="Содержимое врезки"/>
    <w:basedOn w:val="Normal"/>
    <w:qFormat/>
    <w:pPr/>
    <w:rPr/>
  </w:style>
  <w:style w:type="paragraph" w:styleId="11">
    <w:name w:val="Абзац списка1"/>
    <w:basedOn w:val="Normal"/>
    <w:qFormat/>
    <w:pPr>
      <w:suppressAutoHyphens w:val="false"/>
      <w:spacing w:lineRule="auto" w:line="276" w:before="0" w:after="200"/>
      <w:ind w:left="720"/>
      <w:contextualSpacing/>
    </w:pPr>
    <w:rPr>
      <w:rFonts w:eastAsia="Calibri" w:cs="Times New Roman"/>
      <w:lang w:eastAsia="en-US"/>
    </w:rPr>
  </w:style>
  <w:style w:type="paragraph" w:styleId="0">
    <w:name w:val="ТЗ0 основной"/>
    <w:basedOn w:val="Normal"/>
    <w:qFormat/>
    <w:pPr>
      <w:suppressAutoHyphens w:val="false"/>
      <w:spacing w:lineRule="auto" w:line="240" w:before="60" w:after="0"/>
      <w:ind w:firstLine="567"/>
      <w:jc w:val="both"/>
    </w:pPr>
    <w:rPr>
      <w:rFonts w:ascii="Times New Roman" w:hAnsi="Times New Roman" w:eastAsia="Calibri" w:cs="Times New Roman"/>
      <w:bCs/>
      <w:spacing w:val="-1"/>
      <w:sz w:val="20"/>
      <w:szCs w:val="24"/>
      <w:lang w:eastAsia="ru-RU"/>
    </w:rPr>
  </w:style>
  <w:style w:type="paragraph" w:styleId="user5">
    <w:name w:val="Содержимое врезки (user)"/>
    <w:basedOn w:val="Normal"/>
    <w:qFormat/>
    <w:pPr/>
    <w:rPr/>
  </w:style>
  <w:style w:type="numbering" w:styleId="Style31">
    <w:name w:val="Нет списка"/>
    <w:semiHidden/>
    <w:qFormat/>
  </w:style>
  <w:style w:type="numbering" w:styleId="Style32" w:default="1">
    <w:name w:val="Без списка"/>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EB49A1269FBCF11F54BF7965B6B74D24F7CBEA49C8FCC7553511D6226DBC95513C49312057D3EF79428D7E4ADh3YDD" TargetMode="External"/><Relationship Id="rId3" Type="http://schemas.openxmlformats.org/officeDocument/2006/relationships/hyperlink" Target="consultantplus://offline/ref=3EB49A1269FBCF11F54BF7965B6B74D24F7CBEAB9F8FCC7553511D6226DBC95501C4CB1E077D28FE923D81B5EB6AE2F2EDBC507B1327F5EBhDY6D" TargetMode="External"/><Relationship Id="rId4" Type="http://schemas.openxmlformats.org/officeDocument/2006/relationships/hyperlink" Target="consultantplus://offline/ref=3EB49A1269FBCF11F54BF7965B6B74D24F7CBEAB9F8FCC7553511D6226DBC95501C4CB1D077924FCC16791B1A23DEEEEECA34E780D27hFY7D" TargetMode="External"/><Relationship Id="rId5" Type="http://schemas.openxmlformats.org/officeDocument/2006/relationships/hyperlink" Target="consultantplus://offline/ref=3EB49A1269FBCF11F54BF7965B6B74D24F7CBEAB9F8FCC7553511D6226DBC95501C4CB1D077B22FCC16791B1A23DEEEEECA34E780D27hFY7D" TargetMode="External"/><Relationship Id="rId6" Type="http://schemas.openxmlformats.org/officeDocument/2006/relationships/hyperlink" Target="consultantplus://offline/ref=3EB49A1269FBCF11F54BF7965B6B74D24F7CBEAB9F8FCC7553511D6226DBC95501C4CB1D077426FCC16791B1A23DEEEEECA34E780D27hFY7D" TargetMode="External"/><Relationship Id="rId7" Type="http://schemas.openxmlformats.org/officeDocument/2006/relationships/hyperlink" Target="consultantplus://offline/ref=4C59628A4DF3F8D59F559574A34798B465C8B23B93E9B94A81173522BA2B9E523145EEFD5F408CFCEA041C2263673EFBFCC9E0B26712T5a5D" TargetMode="External"/><Relationship Id="rId8" Type="http://schemas.openxmlformats.org/officeDocument/2006/relationships/hyperlink" Target="consultantplus://offline/ref=4C59628A4DF3F8D59F559574A34798B465C8B23B93E9B94A81173522BA2B9E523145EEFD5F408DFCEA041C2263673EFBFCC9E0B26712T5a5D" TargetMode="External"/><Relationship Id="rId9" Type="http://schemas.openxmlformats.org/officeDocument/2006/relationships/hyperlink" Target="mailto:&#1086;mto17@r24.rosreestr.ru"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pitchFamily="0" charset="1"/>
        <a:ea typeface="Arial" pitchFamily="0" charset="1"/>
        <a:cs typeface="Arial" pitchFamily="0" charset="1"/>
      </a:majorFont>
      <a:minorFont>
        <a:latin typeface="Arial"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a:ln w="25400"/>
        <a:ln w="38100"/>
      </a:lnStyleLst>
      <a:effectStyleLst>
        <a:effectStyle>
          <a:effectLst/>
        </a:effectStyle>
        <a:effectStyle>
          <a:effectLst/>
        </a:effectStyle>
        <a:effectStyle>
          <a:effectLst/>
        </a:effectStyle>
      </a:effectStyleLst>
      <a:bgFillStyleLst>
        <a:solidFill>
          <a:schemeClr val="phClr"/>
        </a:solidFill>
        <a:solidFill>
          <a:srgbClr val="000000"/>
        </a:solidFill>
        <a:solidFill>
          <a:srgbClr val="000000"/>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TotalTime>
  <Application>LibreOffice/25.2.6.2$Linux_X86_64 LibreOffice_project/520$Build-2</Application>
  <AppVersion>15.0000</AppVersion>
  <Pages>11</Pages>
  <Words>4298</Words>
  <Characters>30463</Characters>
  <CharactersWithSpaces>34786</CharactersWithSpaces>
  <Paragraphs>228</Paragraphs>
  <Company>DG Win&amp;Soft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2022-01-28T04:13:00Z</dcterms:created>
  <dc:creator>A.Udod</dc:creator>
  <dc:description/>
  <dc:language>ru-RU</dc:language>
  <cp:lastModifiedBy/>
  <dcterms:modified xsi:type="dcterms:W3CDTF">2026-07-22T15:17:48Z</dcterms:modified>
  <cp:revision>23</cp:revision>
  <dc:subject/>
  <dc:title>ЧАСТЬ III</dc:title>
  <cp:version>983040</cp:version>
</cp:coreProperties>
</file>

<file path=docProps/custom.xml><?xml version="1.0" encoding="utf-8"?>
<Properties xmlns="http://schemas.openxmlformats.org/officeDocument/2006/custom-properties" xmlns:vt="http://schemas.openxmlformats.org/officeDocument/2006/docPropsVTypes"/>
</file>