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ТЕХНИЧЕСКОЕ ЗАДАНИЕ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Приобретение неисключительных прав (лицензий) на использование программного обеспечения и сервисов получения обновлений и технической поддержки ПО ViPNet Client 5 for Linux (Update Client 4 Lin), KC3, сеть 1274. Дистрибутив ПО ViPNet Client 5 for Linux (КС3) (рег. в РРПО: 4319)</w:t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Общие сведения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993" w:leader="none"/>
        </w:tabs>
        <w:spacing w:lineRule="auto" w:line="240" w:before="0" w:after="0"/>
        <w:ind w:firstLine="851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 контракта – поставка российского программного обеспечения "</w:t>
      </w:r>
      <w:r>
        <w:rPr>
          <w:rFonts w:eastAsia="Calibri" w:cs="Times New Roman" w:ascii="Times New Roman" w:hAnsi="Times New Roman"/>
          <w:sz w:val="24"/>
          <w:szCs w:val="24"/>
        </w:rPr>
        <w:t>ViPNet Client 5 for Linux</w:t>
      </w:r>
      <w:r>
        <w:rPr>
          <w:rFonts w:ascii="Times New Roman" w:hAnsi="Times New Roman"/>
          <w:sz w:val="24"/>
          <w:szCs w:val="24"/>
        </w:rPr>
        <w:t>" (сеть 1274) с передачей неисключительных прав (лицензий) на его использование. Реестровая запись № 4319.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-180" w:leader="none"/>
          <w:tab w:val="left" w:pos="993" w:leader="none"/>
        </w:tabs>
        <w:spacing w:lineRule="auto" w:line="240" w:before="0" w:after="0"/>
        <w:ind w:firstLine="851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Приобретаемое ПО должно быть полностью совместимо в использовании с «Единой информационной системой управления кадровым составом государственной гражданской службы РФ» (далее - ЕИСУ КС – сеть 1274).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-180" w:leader="none"/>
          <w:tab w:val="left" w:pos="993" w:leader="none"/>
        </w:tabs>
        <w:spacing w:lineRule="auto" w:line="240" w:before="0" w:after="0"/>
        <w:ind w:firstLine="851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Заказчик – Управление Федеральной службы государственной регистрации, кадастра и картографии по Красноярскому краю.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-180" w:leader="none"/>
          <w:tab w:val="left" w:pos="993" w:leader="none"/>
        </w:tabs>
        <w:spacing w:lineRule="auto" w:line="240" w:before="0" w:after="0"/>
        <w:ind w:firstLine="851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местонахождения Заказчика: 660021, г. Красноярск, ул. Дубровинского, д.114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Термины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Для целей осуществления настоящего технического задания ниже перечислены термины: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«Программное обеспечение»</w:t>
      </w:r>
      <w:r>
        <w:rPr>
          <w:rFonts w:ascii="Times New Roman" w:hAnsi="Times New Roman"/>
          <w:sz w:val="24"/>
          <w:szCs w:val="24"/>
        </w:rPr>
        <w:t xml:space="preserve"> или </w:t>
      </w:r>
      <w:r>
        <w:rPr>
          <w:rFonts w:ascii="Times New Roman" w:hAnsi="Times New Roman"/>
          <w:b/>
          <w:sz w:val="24"/>
          <w:szCs w:val="24"/>
        </w:rPr>
        <w:t>«ПО»</w:t>
      </w:r>
      <w:r>
        <w:rPr>
          <w:rFonts w:ascii="Times New Roman" w:hAnsi="Times New Roman"/>
          <w:sz w:val="24"/>
          <w:szCs w:val="24"/>
        </w:rPr>
        <w:t xml:space="preserve"> – программы для ЭВМ, указанные в настоящем техническом задании;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«Программа»</w:t>
      </w:r>
      <w:r>
        <w:rPr>
          <w:rFonts w:ascii="Times New Roman" w:hAnsi="Times New Roman"/>
          <w:sz w:val="24"/>
          <w:szCs w:val="24"/>
        </w:rPr>
        <w:t xml:space="preserve"> - программа для ЭВМ, производимая АО «ИнфоТеКС» под торговым знаком </w:t>
      </w:r>
      <w:r>
        <w:rPr>
          <w:rFonts w:ascii="Times New Roman" w:hAnsi="Times New Roman"/>
          <w:sz w:val="24"/>
          <w:szCs w:val="24"/>
          <w:lang w:val="en-US"/>
        </w:rPr>
        <w:t>ViPNet</w:t>
      </w:r>
      <w:r>
        <w:rPr>
          <w:rFonts w:ascii="Times New Roman" w:hAnsi="Times New Roman"/>
          <w:sz w:val="24"/>
          <w:szCs w:val="24"/>
        </w:rPr>
        <w:t>, содержащаяся на оптическом носителе, или загружаемая Заказчиком с официального сайта АО «ИнфоТеКС», а также документация (включая руководство пользователя и описание программного продукта).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«Система регистрации Программ»</w:t>
      </w:r>
      <w:r>
        <w:rPr>
          <w:rFonts w:ascii="Times New Roman" w:hAnsi="Times New Roman"/>
          <w:sz w:val="24"/>
          <w:szCs w:val="24"/>
        </w:rPr>
        <w:t xml:space="preserve"> - управляемая АО «ИнфоТеКС» специальная система регистрации легальных пользователей Программ.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«Регистрационная информация»</w:t>
      </w:r>
      <w:r>
        <w:rPr>
          <w:rFonts w:ascii="Times New Roman" w:hAnsi="Times New Roman"/>
          <w:sz w:val="24"/>
          <w:szCs w:val="24"/>
        </w:rPr>
        <w:t xml:space="preserve"> - файл с регистрационными данными, серийный номер, активационный код и другая информация, которая предоставляет конечному пользователю возможность использования Программы по назначению, и регистрируемая в системе регистрации Программ.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«Инсталляция»</w:t>
      </w:r>
      <w:r>
        <w:rPr>
          <w:rFonts w:ascii="Times New Roman" w:hAnsi="Times New Roman"/>
          <w:sz w:val="24"/>
          <w:szCs w:val="24"/>
        </w:rPr>
        <w:t xml:space="preserve"> - воспроизведение Программы в память ЭВМ с целью ее установки и использования ее функционала по прямому назначению.</w:t>
      </w:r>
    </w:p>
    <w:p>
      <w:pPr>
        <w:pStyle w:val="0"/>
        <w:spacing w:before="0" w:after="0"/>
        <w:ind w:firstLine="708"/>
        <w:rPr>
          <w:bCs w:val="false"/>
          <w:spacing w:val="0"/>
          <w:sz w:val="24"/>
        </w:rPr>
      </w:pPr>
      <w:r>
        <w:rPr>
          <w:b/>
          <w:bCs w:val="false"/>
          <w:spacing w:val="0"/>
          <w:sz w:val="24"/>
        </w:rPr>
        <w:t>«Техническая поддержка»</w:t>
      </w:r>
      <w:r>
        <w:rPr>
          <w:bCs w:val="false"/>
          <w:spacing w:val="0"/>
          <w:sz w:val="24"/>
        </w:rPr>
        <w:t xml:space="preserve"> – оказание консультаций по работе программного обеспечения и оборудования, производимые АО «ИнфоТеКС» под товарным знаком ViPNet.</w:t>
      </w:r>
    </w:p>
    <w:p>
      <w:pPr>
        <w:pStyle w:val="0"/>
        <w:spacing w:before="0" w:after="0"/>
        <w:ind w:firstLine="708"/>
        <w:rPr>
          <w:bCs w:val="false"/>
          <w:spacing w:val="0"/>
          <w:sz w:val="24"/>
        </w:rPr>
      </w:pPr>
      <w:r>
        <w:rPr>
          <w:b/>
          <w:bCs w:val="false"/>
          <w:spacing w:val="0"/>
          <w:sz w:val="24"/>
        </w:rPr>
        <w:t>«Сертификат активации сервиса технической поддержки»</w:t>
      </w:r>
      <w:r>
        <w:rPr>
          <w:bCs w:val="false"/>
          <w:spacing w:val="0"/>
          <w:sz w:val="24"/>
        </w:rPr>
        <w:t xml:space="preserve"> (далее - Сертификат) подтверждает право на использование услуг технической поддержки. Объем и условия технической поддержки указаны в приложении к Сертификату активации сервиса технической поддержки. Перечень и количество Сертификатов указывается в Таблице № 1 п.2 к настоящему техническому заданию.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«Компакт-диск с дистрибутивом программного обеспечения»</w:t>
      </w:r>
      <w:r>
        <w:rPr>
          <w:rFonts w:ascii="Times New Roman" w:hAnsi="Times New Roman"/>
          <w:sz w:val="24"/>
          <w:szCs w:val="24"/>
        </w:rPr>
        <w:t xml:space="preserve"> (далее - Компакт-диск) – набор файлов и компонент, скомплектованных согласно правилам Лицензиара (производителя дистрибутивов) и предназначенных для ЭВМ и других компьютерных устройств, необходимых Заказчику для начала использования соответствующего ПО.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АО «ИнфоТеКС</w:t>
      </w:r>
      <w:r>
        <w:rPr>
          <w:rFonts w:ascii="Times New Roman" w:hAnsi="Times New Roman"/>
          <w:sz w:val="24"/>
          <w:szCs w:val="24"/>
        </w:rPr>
        <w:t>» - обладатель исключительных прав на Программу.</w:t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Состав, количество и характеристики программного обеспечения</w:t>
      </w:r>
    </w:p>
    <w:p>
      <w:pPr>
        <w:pStyle w:val="Normal"/>
        <w:tabs>
          <w:tab w:val="clear" w:pos="708"/>
          <w:tab w:val="left" w:pos="0" w:leader="none"/>
          <w:tab w:val="left" w:pos="1260" w:leader="none"/>
        </w:tabs>
        <w:spacing w:lineRule="auto" w:line="240" w:before="0"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 Объем передаваемых прав представлен в Таблице № 1.</w:t>
      </w:r>
    </w:p>
    <w:p>
      <w:pPr>
        <w:pStyle w:val="Normal"/>
        <w:tabs>
          <w:tab w:val="clear" w:pos="708"/>
          <w:tab w:val="left" w:pos="0" w:leader="none"/>
          <w:tab w:val="left" w:pos="1260" w:leader="non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3.2 Технические требования к ПО и его характеристики приведены в Таблице № 2.</w:t>
      </w:r>
    </w:p>
    <w:p>
      <w:pPr>
        <w:pStyle w:val="Normal"/>
        <w:tabs>
          <w:tab w:val="clear" w:pos="708"/>
          <w:tab w:val="left" w:pos="0" w:leader="none"/>
          <w:tab w:val="left" w:pos="1260" w:leader="non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  <w:tab w:val="left" w:pos="1260" w:leader="non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935" w:leader="none"/>
        </w:tabs>
        <w:spacing w:lineRule="auto" w:line="240" w:before="0" w:after="0"/>
        <w:jc w:val="right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left" w:pos="935" w:leader="none"/>
        </w:tabs>
        <w:spacing w:lineRule="auto" w:line="240" w:before="0" w:after="0"/>
        <w:jc w:val="right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Таблица № 1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val="00a0" w:noHBand="0" w:noVBand="0" w:firstColumn="1" w:lastRow="0" w:lastColumn="0" w:firstRow="1"/>
      </w:tblPr>
      <w:tblGrid>
        <w:gridCol w:w="611"/>
        <w:gridCol w:w="6960"/>
        <w:gridCol w:w="1653"/>
        <w:gridCol w:w="980"/>
      </w:tblGrid>
      <w:tr>
        <w:trPr/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поставки</w:t>
            </w:r>
          </w:p>
        </w:tc>
      </w:tr>
      <w:tr>
        <w:trPr/>
        <w:tc>
          <w:tcPr>
            <w:tcW w:w="6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Droid Sans Fallback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ascii="Times New Roman" w:hAnsi="Times New Roman"/>
                <w:b/>
                <w:kern w:val="2"/>
                <w:sz w:val="24"/>
                <w:szCs w:val="24"/>
                <w:lang w:eastAsia="zh-CN" w:bidi="hi-IN"/>
              </w:rPr>
            </w:r>
          </w:p>
        </w:tc>
        <w:tc>
          <w:tcPr>
            <w:tcW w:w="6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Droid Sans Fallback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ascii="Times New Roman" w:hAnsi="Times New Roman"/>
                <w:b/>
                <w:kern w:val="2"/>
                <w:sz w:val="24"/>
                <w:szCs w:val="24"/>
                <w:lang w:eastAsia="zh-CN" w:bidi="hi-IN"/>
              </w:rPr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</w:tr>
      <w:tr>
        <w:trPr/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1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Передача права на использование ПО ViPNet Client 5 for Linux, </w:t>
            </w:r>
            <w:r>
              <w:rPr>
                <w:rFonts w:eastAsia="Calibri" w:cs="Times New Roman" w:ascii="Times New Roman" w:hAnsi="Times New Roman"/>
                <w:b/>
                <w:bCs/>
                <w:color w:val="FF0000"/>
                <w:sz w:val="24"/>
                <w:szCs w:val="24"/>
              </w:rPr>
              <w:t>Сеть 1274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Droid Sans Fallback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Ед.(лицензия)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>
        <w:trPr/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1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Передача права на использование ПО ViPNet Client 5 for Linux (Update Client 4 Lin), </w:t>
            </w:r>
            <w:r>
              <w:rPr>
                <w:rFonts w:eastAsia="Calibri" w:cs="Times New Roman" w:ascii="Times New Roman" w:hAnsi="Times New Roman"/>
                <w:b/>
                <w:bCs/>
                <w:color w:val="FF0000"/>
                <w:sz w:val="24"/>
                <w:szCs w:val="24"/>
              </w:rPr>
              <w:t>Сеть 1274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Droid Sans Fallback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Ед.(лицензия)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>
        <w:trPr/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1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35" w:leader="none"/>
                <w:tab w:val="center" w:pos="3294" w:leader="none"/>
                <w:tab w:val="left" w:pos="3970" w:leader="none"/>
              </w:tabs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Сертификат активации сервиса </w:t>
            </w: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прямой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 технической поддержки ПО ViPNet Client 5 for Linux на срок 1 год, уровень – Расширенный. </w:t>
            </w:r>
            <w:r>
              <w:rPr>
                <w:rFonts w:eastAsia="Calibri" w:cs="Times New Roman" w:ascii="Times New Roman" w:hAnsi="Times New Roman"/>
                <w:b/>
                <w:bCs/>
                <w:color w:val="FF0000"/>
                <w:sz w:val="24"/>
                <w:szCs w:val="24"/>
              </w:rPr>
              <w:t>Сеть 1274.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Droid Sans Fallback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Ед.(лицензия)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>
        <w:trPr/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1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709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Компакт-диск с Дистрибутивом ПО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val="en-US"/>
              </w:rPr>
              <w:t>ViPNet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val="en-US"/>
              </w:rPr>
              <w:t>Client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 5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val="en-US"/>
              </w:rPr>
              <w:t>for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val="en-US"/>
              </w:rPr>
              <w:t>Linux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 (Исполнение.2) с учетом доставки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rPr>
          <w:rFonts w:ascii="Times New Roman" w:hAnsi="Times New Roman" w:eastAsia="Droid Sans Fallback"/>
          <w:kern w:val="2"/>
          <w:sz w:val="24"/>
          <w:szCs w:val="24"/>
          <w:lang w:eastAsia="zh-CN" w:bidi="hi-IN"/>
        </w:rPr>
      </w:pPr>
      <w:r>
        <w:rPr>
          <w:rFonts w:eastAsia="Droid Sans Fallback" w:ascii="Times New Roman" w:hAnsi="Times New Roman"/>
          <w:kern w:val="2"/>
          <w:sz w:val="24"/>
          <w:szCs w:val="24"/>
          <w:lang w:eastAsia="zh-CN" w:bidi="hi-IN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необходимости обеспечения взаимодействия, приобретаемого ПО с уже используемым заказчиком (п. 1 ч.1 ст. 33 Федерального закона от 05.04.2013 № 44-ФЗ) ЕИСУ КС и сервисом единого реестра сертификатов соответствия и деклараций о соответствии, в настоящей документации указание на товарные знаки не сопровождается словами «или эквивалент».</w:t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ПО и его характеристики</w:t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jc w:val="right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Таблица № 2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560"/>
        <w:gridCol w:w="2884"/>
        <w:gridCol w:w="6761"/>
      </w:tblGrid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Передача права на использование ПО ViPNet Client 5 for Linux, </w:t>
            </w:r>
            <w:r>
              <w:rPr>
                <w:rFonts w:eastAsia="Calibri" w:cs="Times New Roman" w:ascii="Times New Roman" w:hAnsi="Times New Roman"/>
                <w:b/>
                <w:bCs/>
                <w:color w:val="FF0000"/>
                <w:sz w:val="24"/>
                <w:szCs w:val="24"/>
              </w:rPr>
              <w:t>Сеть 1274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hd w:val="clear" w:color="auto" w:fill="FFFFFF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333333"/>
                <w:sz w:val="24"/>
                <w:szCs w:val="24"/>
              </w:rPr>
              <w:t>Поддерживаемые операционные системы и платформы</w:t>
            </w:r>
            <w:r>
              <w:rPr>
                <w:rFonts w:cs="Times New Roman" w:ascii="Times New Roman" w:hAnsi="Times New Roman"/>
                <w:color w:val="333333"/>
                <w:sz w:val="24"/>
                <w:szCs w:val="24"/>
              </w:rPr>
              <w:t>: Linux на платформах х86-64.</w:t>
            </w:r>
          </w:p>
          <w:p>
            <w:pPr>
              <w:pStyle w:val="Normal"/>
              <w:numPr>
                <w:ilvl w:val="0"/>
                <w:numId w:val="5"/>
              </w:numPr>
              <w:shd w:val="clear" w:color="auto" w:fill="FFFFFF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333333"/>
                <w:sz w:val="24"/>
                <w:szCs w:val="24"/>
              </w:rPr>
              <w:t>Поддерживаемые каналы связи</w:t>
            </w:r>
            <w:r>
              <w:rPr>
                <w:rFonts w:cs="Times New Roman" w:ascii="Times New Roman" w:hAnsi="Times New Roman"/>
                <w:color w:val="333333"/>
                <w:sz w:val="24"/>
                <w:szCs w:val="24"/>
              </w:rPr>
              <w:t>: Ethernet.</w:t>
            </w:r>
          </w:p>
          <w:p>
            <w:pPr>
              <w:pStyle w:val="Normal"/>
              <w:numPr>
                <w:ilvl w:val="0"/>
                <w:numId w:val="5"/>
              </w:numPr>
              <w:shd w:val="clear" w:color="auto" w:fill="FFFFFF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333333"/>
                <w:sz w:val="24"/>
                <w:szCs w:val="24"/>
              </w:rPr>
              <w:t>Шифрование</w:t>
            </w:r>
            <w:r>
              <w:rPr>
                <w:rFonts w:cs="Times New Roman" w:ascii="Times New Roman" w:hAnsi="Times New Roman"/>
                <w:color w:val="333333"/>
                <w:sz w:val="24"/>
                <w:szCs w:val="24"/>
              </w:rPr>
              <w:t>: ГОСТ 28147-89, 34.12-2018, 34.13-2018 (длина ключей 256 бит).</w:t>
            </w:r>
          </w:p>
          <w:p>
            <w:pPr>
              <w:pStyle w:val="Normal"/>
              <w:numPr>
                <w:ilvl w:val="0"/>
                <w:numId w:val="5"/>
              </w:numPr>
              <w:shd w:val="clear" w:color="auto" w:fill="FFFFFF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color w:val="333333"/>
                <w:sz w:val="24"/>
                <w:szCs w:val="24"/>
              </w:rPr>
              <w:t>Поддержка</w:t>
            </w:r>
            <w:r>
              <w:rPr>
                <w:rFonts w:cs="Times New Roman" w:ascii="Times New Roman" w:hAnsi="Times New Roman"/>
                <w:b/>
                <w:bCs/>
                <w:color w:val="333333"/>
                <w:sz w:val="24"/>
                <w:szCs w:val="24"/>
                <w:lang w:val="en-US"/>
              </w:rPr>
              <w:t xml:space="preserve"> ViPNet CSS Connect</w:t>
            </w:r>
            <w:r>
              <w:rPr>
                <w:rFonts w:cs="Times New Roman" w:ascii="Times New Roman" w:hAnsi="Times New Roman"/>
                <w:color w:val="333333"/>
                <w:sz w:val="24"/>
                <w:szCs w:val="24"/>
                <w:lang w:val="en-US"/>
              </w:rPr>
              <w:t xml:space="preserve">: </w:t>
            </w:r>
            <w:r>
              <w:rPr>
                <w:rFonts w:cs="Times New Roman" w:ascii="Times New Roman" w:hAnsi="Times New Roman"/>
                <w:color w:val="333333"/>
                <w:sz w:val="24"/>
                <w:szCs w:val="24"/>
              </w:rPr>
              <w:t>да</w:t>
            </w:r>
            <w:r>
              <w:rPr>
                <w:rFonts w:cs="Times New Roman" w:ascii="Times New Roman" w:hAnsi="Times New Roman"/>
                <w:color w:val="333333"/>
                <w:sz w:val="24"/>
                <w:szCs w:val="24"/>
                <w:lang w:val="en-US"/>
              </w:rPr>
              <w:t>.</w:t>
            </w:r>
          </w:p>
          <w:p>
            <w:pPr>
              <w:pStyle w:val="Normal"/>
              <w:numPr>
                <w:ilvl w:val="0"/>
                <w:numId w:val="5"/>
              </w:numPr>
              <w:shd w:val="clear" w:color="auto" w:fill="FFFFFF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333333"/>
                <w:sz w:val="24"/>
                <w:szCs w:val="24"/>
              </w:rPr>
              <w:t>Поддержка приложения ViPNet</w:t>
            </w:r>
            <w:r>
              <w:rPr>
                <w:rFonts w:cs="Times New Roman" w:ascii="Times New Roman" w:hAnsi="Times New Roman"/>
                <w:color w:val="333333"/>
                <w:sz w:val="24"/>
                <w:szCs w:val="24"/>
              </w:rPr>
              <w:t>: да.</w:t>
            </w:r>
          </w:p>
          <w:p>
            <w:pPr>
              <w:pStyle w:val="Normal"/>
              <w:numPr>
                <w:ilvl w:val="0"/>
                <w:numId w:val="5"/>
              </w:numPr>
              <w:shd w:val="clear" w:color="auto" w:fill="FFFFFF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333333"/>
                <w:sz w:val="24"/>
                <w:szCs w:val="24"/>
              </w:rPr>
              <w:t>Поддержка деловой почты</w:t>
            </w:r>
            <w:r>
              <w:rPr>
                <w:rFonts w:cs="Times New Roman" w:ascii="Times New Roman" w:hAnsi="Times New Roman"/>
                <w:color w:val="333333"/>
                <w:sz w:val="24"/>
                <w:szCs w:val="24"/>
              </w:rPr>
              <w:t>: нет</w:t>
            </w:r>
            <w:r>
              <w:rPr>
                <w:color w:val="333333"/>
              </w:rPr>
              <w:t>.</w:t>
            </w:r>
          </w:p>
          <w:p>
            <w:pPr>
              <w:pStyle w:val="Normal"/>
              <w:numPr>
                <w:ilvl w:val="0"/>
                <w:numId w:val="5"/>
              </w:numPr>
              <w:shd w:val="clear" w:color="auto" w:fill="FFFFFF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333333"/>
                <w:sz w:val="24"/>
                <w:szCs w:val="24"/>
              </w:rPr>
              <w:t>Безопасная работа в Интернете с централизованной очисткой трафика</w:t>
            </w:r>
            <w:r>
              <w:rPr>
                <w:rFonts w:cs="Times New Roman" w:ascii="Times New Roman" w:hAnsi="Times New Roman"/>
                <w:color w:val="333333"/>
                <w:sz w:val="24"/>
                <w:szCs w:val="24"/>
              </w:rPr>
              <w:t>: да.</w:t>
            </w:r>
          </w:p>
          <w:p>
            <w:pPr>
              <w:pStyle w:val="Normal"/>
              <w:numPr>
                <w:ilvl w:val="0"/>
                <w:numId w:val="5"/>
              </w:numPr>
              <w:shd w:val="clear" w:color="auto" w:fill="FFFFFF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333333"/>
                <w:sz w:val="24"/>
                <w:szCs w:val="24"/>
              </w:rPr>
              <w:t>Соответствие</w:t>
            </w:r>
            <w:r>
              <w:rPr>
                <w:rFonts w:cs="Times New Roman" w:ascii="Times New Roman" w:hAnsi="Times New Roman"/>
                <w:color w:val="333333"/>
                <w:sz w:val="24"/>
                <w:szCs w:val="24"/>
              </w:rPr>
              <w:t>: ФСБ.</w:t>
            </w:r>
          </w:p>
          <w:p>
            <w:pPr>
              <w:pStyle w:val="Normal"/>
              <w:numPr>
                <w:ilvl w:val="0"/>
                <w:numId w:val="5"/>
              </w:numPr>
              <w:shd w:val="clear" w:color="auto" w:fill="FFFFFF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bCs/>
                <w:color w:val="333333"/>
                <w:sz w:val="24"/>
                <w:szCs w:val="24"/>
              </w:rPr>
              <w:t>Страна производства: Российская Федерация</w:t>
            </w:r>
          </w:p>
        </w:tc>
      </w:tr>
    </w:tbl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rPr>
          <w:rFonts w:ascii="Times New Roman" w:hAnsi="Times New Roman" w:eastAsia="Droid Sans Fallback"/>
          <w:kern w:val="2"/>
          <w:sz w:val="24"/>
          <w:szCs w:val="24"/>
          <w:lang w:eastAsia="zh-CN" w:bidi="hi-IN"/>
        </w:rPr>
      </w:pPr>
      <w:r>
        <w:rPr>
          <w:rFonts w:eastAsia="Droid Sans Fallback" w:ascii="Times New Roman" w:hAnsi="Times New Roman"/>
          <w:kern w:val="2"/>
          <w:sz w:val="24"/>
          <w:szCs w:val="24"/>
          <w:lang w:eastAsia="zh-CN" w:bidi="hi-IN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080" w:leader="none"/>
        </w:tabs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Комплектность поставки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0" w:leader="none"/>
          <w:tab w:val="left" w:pos="1260" w:leader="none"/>
        </w:tabs>
        <w:spacing w:lineRule="auto" w:line="240" w:before="0" w:after="0"/>
        <w:ind w:firstLine="709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Лицензия на бумажном носителе на </w:t>
      </w:r>
      <w:r>
        <w:rPr>
          <w:rFonts w:ascii="Times New Roman" w:hAnsi="Times New Roman"/>
          <w:iCs/>
          <w:sz w:val="24"/>
          <w:szCs w:val="24"/>
        </w:rPr>
        <w:t xml:space="preserve">право использования ПО </w:t>
      </w:r>
      <w:r>
        <w:rPr>
          <w:rFonts w:eastAsia="Calibri" w:cs="Times New Roman" w:ascii="Times New Roman" w:hAnsi="Times New Roman"/>
          <w:sz w:val="24"/>
          <w:szCs w:val="24"/>
        </w:rPr>
        <w:t xml:space="preserve">ViPNet Client 5 for Linux </w:t>
      </w:r>
      <w:r>
        <w:rPr>
          <w:rFonts w:ascii="Times New Roman" w:hAnsi="Times New Roman"/>
          <w:sz w:val="24"/>
          <w:szCs w:val="24"/>
        </w:rPr>
        <w:t xml:space="preserve"> на 10 (Десять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) установок для сети 1274. 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0" w:leader="none"/>
          <w:tab w:val="left" w:pos="1260" w:leader="none"/>
        </w:tabs>
        <w:spacing w:lineRule="auto" w:line="240" w:before="0" w:after="0"/>
        <w:ind w:firstLine="709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Дистрибутив на оптическом носителе с </w:t>
      </w:r>
      <w:r>
        <w:rPr>
          <w:rFonts w:ascii="Times New Roman" w:hAnsi="Times New Roman"/>
          <w:iCs/>
          <w:sz w:val="24"/>
          <w:szCs w:val="24"/>
        </w:rPr>
        <w:t xml:space="preserve">ПО </w:t>
      </w:r>
      <w:r>
        <w:rPr>
          <w:rFonts w:eastAsia="Calibri" w:cs="Times New Roman" w:ascii="Times New Roman" w:hAnsi="Times New Roman"/>
          <w:sz w:val="24"/>
          <w:szCs w:val="24"/>
        </w:rPr>
        <w:t>ViPNet Client 5 for Linux</w:t>
      </w:r>
      <w:r>
        <w:rPr>
          <w:rFonts w:ascii="Times New Roman" w:hAnsi="Times New Roman"/>
          <w:sz w:val="24"/>
          <w:szCs w:val="24"/>
        </w:rPr>
        <w:t xml:space="preserve"> –1 шт.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0" w:leader="none"/>
          <w:tab w:val="left" w:pos="1260" w:leader="none"/>
        </w:tabs>
        <w:spacing w:lineRule="auto" w:line="240" w:before="0" w:after="0"/>
        <w:ind w:firstLine="709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 (Формуляр) на </w:t>
      </w:r>
      <w:r>
        <w:rPr>
          <w:rFonts w:ascii="Times New Roman" w:hAnsi="Times New Roman"/>
          <w:iCs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</w:rPr>
        <w:t>ViPNet Client 5 for Linux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0" w:leader="none"/>
          <w:tab w:val="left" w:pos="1260" w:leader="none"/>
        </w:tabs>
        <w:spacing w:lineRule="auto" w:line="240" w:before="0" w:after="0"/>
        <w:ind w:firstLine="709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Сертификаты ФСБ России, заверенный производителем, подтверждающий соответствие ПО требованиям ФСБ России к шифровальным (криптографическим) средствам класса КС2.</w:t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Требования к Поставщику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93" w:leader="none"/>
          <w:tab w:val="left" w:pos="1134" w:leader="none"/>
          <w:tab w:val="left" w:pos="1276" w:leader="none"/>
        </w:tabs>
        <w:spacing w:lineRule="auto" w:line="240" w:before="0" w:after="0"/>
        <w:ind w:firstLine="709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Поставщик (Исполнитель) должен иметь лицензию ФСБ России на осуществление разработки, производства, распространения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выполнения работ, оказания услуг в области шифрования информации, технического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предпринимателя), с указанием следующих видов деятельности:</w:t>
      </w:r>
    </w:p>
    <w:p>
      <w:pPr>
        <w:pStyle w:val="Normal"/>
        <w:spacing w:lineRule="auto" w:line="240" w:before="0" w:after="0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Передача шифровальных (криптографических) средств.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1"/>
        <w:numPr>
          <w:ilvl w:val="0"/>
          <w:numId w:val="4"/>
        </w:numPr>
        <w:spacing w:lineRule="auto" w:line="240" w:before="0"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передаче лицензии</w:t>
      </w:r>
    </w:p>
    <w:p>
      <w:pPr>
        <w:pStyle w:val="1"/>
        <w:spacing w:lineRule="auto" w:line="240" w:before="0" w:after="0"/>
        <w:ind w:left="36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Срок передачи неисключительных прав на ПО: с момента заключения контракта </w:t>
      </w:r>
      <w:r>
        <w:rPr>
          <w:rFonts w:ascii="Times New Roman" w:hAnsi="Times New Roman"/>
          <w:sz w:val="24"/>
          <w:szCs w:val="24"/>
        </w:rPr>
        <w:t>не более 65</w:t>
      </w:r>
      <w:r>
        <w:rPr>
          <w:rFonts w:ascii="Times New Roman" w:hAnsi="Times New Roman"/>
          <w:sz w:val="24"/>
          <w:szCs w:val="24"/>
        </w:rPr>
        <w:t xml:space="preserve"> рабочих дней.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Поставщик за свой счет направляет в адрес Заказчика ПО в полном объеме и в соответствии с данным техническим заданием.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Место передачи неисключительных прав (лицензий) на использование программного обеспечения </w:t>
      </w:r>
      <w:r>
        <w:rPr>
          <w:rFonts w:eastAsia="Calibri" w:cs="Times New Roman" w:ascii="Times New Roman" w:hAnsi="Times New Roman"/>
          <w:sz w:val="24"/>
          <w:szCs w:val="24"/>
        </w:rPr>
        <w:t>ViPNet Client 5 for Linux</w:t>
      </w:r>
      <w:r>
        <w:rPr>
          <w:rFonts w:ascii="Times New Roman" w:hAnsi="Times New Roman"/>
          <w:sz w:val="24"/>
          <w:szCs w:val="24"/>
        </w:rPr>
        <w:t xml:space="preserve"> а также сертификатов активации сервиса прямой технической поддержки ПО</w:t>
      </w:r>
      <w:r>
        <w:rPr>
          <w:rFonts w:eastAsia="Calibri" w:cs="Times New Roman" w:ascii="Times New Roman" w:hAnsi="Times New Roman"/>
          <w:sz w:val="24"/>
          <w:szCs w:val="24"/>
        </w:rPr>
        <w:t xml:space="preserve"> ViPNet Client 5 for Linux</w:t>
      </w:r>
      <w:r>
        <w:rPr>
          <w:rFonts w:ascii="Times New Roman" w:hAnsi="Times New Roman"/>
          <w:sz w:val="24"/>
          <w:szCs w:val="24"/>
        </w:rPr>
        <w:t xml:space="preserve"> – по месту нахождения Заказчика.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6.4. Срок права использования сертификатов активации сервиса прямой технической поддержки ПО ViPNet Client 5 for Linux - 12 месяцев. </w:t>
      </w:r>
    </w:p>
    <w:p>
      <w:pPr>
        <w:pStyle w:val="Normal"/>
        <w:spacing w:lineRule="auto" w:line="276" w:before="0" w:after="0"/>
        <w:jc w:val="both"/>
        <w:rPr/>
      </w:pPr>
      <w:r>
        <w:rPr/>
      </w:r>
    </w:p>
    <w:p>
      <w:pPr>
        <w:pStyle w:val="Normal"/>
        <w:spacing w:lineRule="auto" w:line="276" w:before="0" w:after="0"/>
        <w:jc w:val="both"/>
        <w:rPr/>
      </w:pPr>
      <w:r>
        <w:rPr/>
      </w:r>
    </w:p>
    <w:tbl>
      <w:tblPr>
        <w:tblW w:w="10205" w:type="dxa"/>
        <w:jc w:val="left"/>
        <w:tblInd w:w="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08"/>
        <w:gridCol w:w="4392"/>
        <w:gridCol w:w="356"/>
        <w:gridCol w:w="88"/>
        <w:gridCol w:w="4219"/>
        <w:gridCol w:w="741"/>
      </w:tblGrid>
      <w:tr>
        <w:trPr>
          <w:cantSplit w:val="true"/>
        </w:trPr>
        <w:tc>
          <w:tcPr>
            <w:tcW w:w="408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4836" w:type="dxa"/>
            <w:gridSpan w:val="3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Начальник отдела эксплуатации информационных систем, технических средств и каналов связи</w:t>
            </w:r>
          </w:p>
        </w:tc>
        <w:tc>
          <w:tcPr>
            <w:tcW w:w="4960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Захарова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С.А.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4800" w:type="dxa"/>
            <w:gridSpan w:val="2"/>
            <w:tcBorders/>
          </w:tcPr>
          <w:p>
            <w:pPr>
              <w:pStyle w:val="Standard"/>
              <w:ind w:left="34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</w:tc>
        <w:tc>
          <w:tcPr>
            <w:tcW w:w="356" w:type="dxa"/>
            <w:tcBorders/>
          </w:tcPr>
          <w:p>
            <w:pPr>
              <w:pStyle w:val="Standard"/>
              <w:tabs>
                <w:tab w:val="clear" w:pos="708"/>
                <w:tab w:val="left" w:pos="851" w:leader="none"/>
              </w:tabs>
              <w:rPr>
                <w:rFonts w:eastAsia="Calibri" w:cs="Times New Roman"/>
                <w:b/>
                <w:bCs/>
                <w:color w:val="000000"/>
              </w:rPr>
            </w:pPr>
            <w:r>
              <w:rPr>
                <w:rFonts w:eastAsia="Calibri" w:cs="Times New Roman"/>
                <w:b/>
                <w:bCs/>
                <w:color w:val="000000"/>
              </w:rPr>
            </w:r>
          </w:p>
        </w:tc>
        <w:tc>
          <w:tcPr>
            <w:tcW w:w="4307" w:type="dxa"/>
            <w:gridSpan w:val="2"/>
            <w:tcBorders/>
          </w:tcPr>
          <w:p>
            <w:pPr>
              <w:pStyle w:val="Standard"/>
              <w:tabs>
                <w:tab w:val="clear" w:pos="708"/>
                <w:tab w:val="left" w:pos="851" w:leader="none"/>
              </w:tabs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567" w:gutter="0" w:header="0" w:top="567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spacing w:before="0" w:after="1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spacing w:before="0" w:after="16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/>
    </w:lvl>
  </w:abstractNum>
  <w:abstractNum w:abstractNumId="2"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/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5335"/>
        </w:tabs>
        <w:ind w:left="5335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7397"/>
        </w:tabs>
        <w:ind w:left="7397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8608"/>
        </w:tabs>
        <w:ind w:left="8608" w:hanging="1800"/>
      </w:pPr>
      <w:rPr/>
    </w:lvl>
  </w:abstractNum>
  <w:abstractNum w:abstractNumId="4"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c4b8f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SimSun" w:cs="font321" w:asciiTheme="minorHAnsi" w:hAnsiTheme="minorHAnsi"/>
      <w:color w:val="auto"/>
      <w:kern w:val="0"/>
      <w:sz w:val="22"/>
      <w:szCs w:val="22"/>
      <w:lang w:val="ru-RU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Абзац списка Знак"/>
    <w:link w:val="1"/>
    <w:qFormat/>
    <w:locked/>
    <w:rsid w:val="00cc4b8f"/>
    <w:rPr>
      <w:rFonts w:ascii="Calibri" w:hAnsi="Calibri" w:eastAsia="Calibri" w:cs="Times New Roman"/>
    </w:rPr>
  </w:style>
  <w:style w:type="character" w:styleId="Style15" w:customStyle="1">
    <w:name w:val="Нижний колонтитул Знак"/>
    <w:basedOn w:val="DefaultParagraphFont"/>
    <w:uiPriority w:val="99"/>
    <w:qFormat/>
    <w:rsid w:val="00cc4b8f"/>
    <w:rPr>
      <w:rFonts w:ascii="Calibri" w:hAnsi="Calibri" w:eastAsia="SimSun" w:cs="font321"/>
      <w:lang w:eastAsia="ar-SA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5432dd"/>
    <w:rPr>
      <w:rFonts w:ascii="Segoe UI" w:hAnsi="Segoe UI" w:eastAsia="SimSun" w:cs="Segoe UI"/>
      <w:sz w:val="18"/>
      <w:szCs w:val="18"/>
      <w:lang w:eastAsia="ar-SA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Standard" w:customStyle="1">
    <w:name w:val="Standard"/>
    <w:qFormat/>
    <w:rsid w:val="00cc4b8f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ru-RU" w:eastAsia="zh-CN" w:bidi="hi-IN"/>
    </w:rPr>
  </w:style>
  <w:style w:type="paragraph" w:styleId="1" w:customStyle="1">
    <w:name w:val="Абзац списка1"/>
    <w:basedOn w:val="Normal"/>
    <w:link w:val="Style14"/>
    <w:qFormat/>
    <w:rsid w:val="00cc4b8f"/>
    <w:pPr>
      <w:suppressAutoHyphens w:val="false"/>
      <w:spacing w:lineRule="auto" w:line="276" w:before="0" w:after="200"/>
      <w:ind w:left="720"/>
      <w:contextualSpacing/>
    </w:pPr>
    <w:rPr>
      <w:rFonts w:eastAsia="Calibri" w:cs="Times New Roman"/>
      <w:lang w:eastAsia="en-US"/>
    </w:rPr>
  </w:style>
  <w:style w:type="paragraph" w:styleId="ListBullet">
    <w:name w:val="List Bullet"/>
    <w:basedOn w:val="Normal"/>
    <w:autoRedefine/>
    <w:rsid w:val="00cc4b8f"/>
    <w:pPr>
      <w:widowControl w:val="false"/>
      <w:suppressAutoHyphens w:val="false"/>
      <w:spacing w:lineRule="auto" w:line="240" w:before="0" w:after="60"/>
      <w:jc w:val="both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0" w:customStyle="1">
    <w:name w:val="ТЗ0 основной"/>
    <w:basedOn w:val="Normal"/>
    <w:qFormat/>
    <w:rsid w:val="00cc4b8f"/>
    <w:pPr>
      <w:suppressAutoHyphens w:val="false"/>
      <w:spacing w:lineRule="auto" w:line="240" w:before="60" w:after="0"/>
      <w:ind w:firstLine="567"/>
      <w:jc w:val="both"/>
    </w:pPr>
    <w:rPr>
      <w:rFonts w:ascii="Times New Roman" w:hAnsi="Times New Roman" w:eastAsia="Calibri" w:cs="Times New Roman"/>
      <w:bCs/>
      <w:spacing w:val="-1"/>
      <w:sz w:val="20"/>
      <w:szCs w:val="24"/>
      <w:lang w:eastAsia="ru-RU"/>
    </w:rPr>
  </w:style>
  <w:style w:type="paragraph" w:styleId="user2">
    <w:name w:val="Колонтитулы (user)"/>
    <w:basedOn w:val="Normal"/>
    <w:qFormat/>
    <w:pPr/>
    <w:rPr/>
  </w:style>
  <w:style w:type="paragraph" w:styleId="Style19">
    <w:name w:val="Колонтитулы"/>
    <w:basedOn w:val="Normal"/>
    <w:qFormat/>
    <w:pPr/>
    <w:rPr/>
  </w:style>
  <w:style w:type="paragraph" w:styleId="Footer">
    <w:name w:val="footer"/>
    <w:basedOn w:val="Normal"/>
    <w:link w:val="Style15"/>
    <w:uiPriority w:val="99"/>
    <w:unhideWhenUsed/>
    <w:rsid w:val="00cc4b8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uiPriority w:val="99"/>
    <w:semiHidden/>
    <w:unhideWhenUsed/>
    <w:qFormat/>
    <w:rsid w:val="00cc4b8f"/>
    <w:pPr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5432d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Application>LibreOffice/25.2.6.2$Linux_X86_64 LibreOffice_project/520$Build-2</Application>
  <AppVersion>15.0000</AppVersion>
  <Pages>3</Pages>
  <Words>851</Words>
  <Characters>5804</Characters>
  <CharactersWithSpaces>6594</CharactersWithSpaces>
  <Paragraphs>77</Paragraphs>
  <Company>Управление Росреестра по Красноярскому краю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2026-07-10T03:59:00Z</dcterms:created>
  <dc:creator>Захарова Светлана Александровна</dc:creator>
  <dc:description/>
  <dc:language>ru-RU</dc:language>
  <cp:lastModifiedBy/>
  <cp:lastPrinted>2026-07-10T04:00:00Z</cp:lastPrinted>
  <dcterms:modified xsi:type="dcterms:W3CDTF">2026-07-22T15:16:49Z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