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85" w:type="pct"/>
        <w:tblLayout w:type="fixed"/>
        <w:tblLook w:val="04A0" w:firstRow="1" w:lastRow="0" w:firstColumn="1" w:lastColumn="0" w:noHBand="0" w:noVBand="1"/>
      </w:tblPr>
      <w:tblGrid>
        <w:gridCol w:w="9734"/>
      </w:tblGrid>
      <w:tr w:rsidR="006179EA">
        <w:trPr>
          <w:trHeight w:val="360"/>
        </w:trPr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bottom"/>
          </w:tcPr>
          <w:p w:rsidR="006179EA" w:rsidRDefault="00154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Обоснование начальной (максимальной) цены контракта</w:t>
            </w:r>
          </w:p>
          <w:p w:rsidR="006179EA" w:rsidRDefault="00154AD0" w:rsidP="008D5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поставку знаков почтовой оплаты </w:t>
            </w:r>
          </w:p>
        </w:tc>
      </w:tr>
    </w:tbl>
    <w:p w:rsidR="006179EA" w:rsidRDefault="006179EA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179EA" w:rsidRDefault="00154AD0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Расчет начальной (максимальной) цены контракта произведен в соответствии с положениями действующего законодательства с использованием тарифного метода (статья 22 часть 8 ФЗ от 05.04.2013 г.   № 44-ФЗ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shd w:val="clear" w:color="auto" w:fill="FFFFFF"/>
          <w:lang w:eastAsia="hi-IN" w:bidi="hi-IN"/>
        </w:rPr>
        <w:t>«О контрактной системе в сфере закупок товаров, выполнение работ, оказание услуг для обеспечения государственных и муниципальных нужд»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), а также с применением законодательства регулирующего деятельность в области почтовой связи в Российской Федерации:</w:t>
      </w:r>
      <w:proofErr w:type="gramEnd"/>
    </w:p>
    <w:p w:rsidR="006179EA" w:rsidRDefault="00154AD0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- Федерального закона от 17.07.1999 г. № 176-ФЗ «О почтовой связи»;</w:t>
      </w:r>
    </w:p>
    <w:p w:rsidR="006179EA" w:rsidRDefault="00154AD0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- Приказа Министерства связи Российской Федерации от       26.05.1994 г. № 115 «Об утверждении положения о знаках почтовой оплаты и специальных почтовых штемпелях Российской Федерации»;</w:t>
      </w:r>
    </w:p>
    <w:p w:rsidR="006179EA" w:rsidRDefault="00154AD0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- </w:t>
      </w:r>
      <w:r w:rsidR="008D518B" w:rsidRPr="008D518B">
        <w:rPr>
          <w:rFonts w:ascii="Times New Roman CYR" w:eastAsia="Times New Roman CYR" w:hAnsi="Times New Roman CYR" w:cs="Times New Roman CYR"/>
          <w:sz w:val="28"/>
          <w:szCs w:val="28"/>
        </w:rPr>
        <w:t>Приказ ФАС России от 24.02.2026 N 104/26 "Об утверждении предельных максимальных уровней тарифов на услугу по пересылке внутренней письменной корреспонденции (почтовых карточек, писем, бандеролей), предоставляемую АО "Почта России"</w:t>
      </w:r>
    </w:p>
    <w:p w:rsidR="006179EA" w:rsidRDefault="00154AD0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В соответствии со статьей 2 Федерального закона от 17.07.1999        № 176-ФЗ «О почтовой связи», государственными знаками почтовой оплаты признаются почтовые марки и иные знаки, наносимые на почтовые отправления и подтверждающие оплату услуг почтовой связи. Согласно пункту 3.2 раздела 1 Положения о знаках почтовой оплаты и специальных почтовых штемпелях Российской Федерации, утвержденного Приказом Минсвязи РФ от 26.05.1994 № 115 (далее – Положение), номиналы знаков почтовой оплаты соответствуют тарифам на услуги почтовой связи, действующим на территории Российской Федерации. </w:t>
      </w:r>
    </w:p>
    <w:p w:rsidR="006179EA" w:rsidRDefault="00154AD0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В соответствии с пунктом 5.3 раздела 1 Положения продажа знаков почтовой оплаты Российской Федерации производится учреждениями Федеральной почтовой связи строго по номинальной стоимости. </w:t>
      </w:r>
    </w:p>
    <w:p w:rsidR="006179EA" w:rsidRDefault="00154AD0">
      <w:pPr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НМЦК тарифным методом определяется по формуле:</w:t>
      </w:r>
    </w:p>
    <w:p w:rsidR="006179EA" w:rsidRDefault="00154AD0">
      <w:pPr>
        <w:spacing w:after="0" w:line="240" w:lineRule="auto"/>
        <w:jc w:val="both"/>
        <w:rPr>
          <w:rFonts w:ascii="Times New Roman CYR" w:hAnsi="Times New Roman CYR" w:cs="Times New Roman CYR"/>
          <w:position w:val="-14"/>
          <w:sz w:val="28"/>
          <w:szCs w:val="28"/>
        </w:rPr>
      </w:pPr>
      <w:r>
        <w:rPr>
          <w:rFonts w:ascii="Times New Roman CYR" w:eastAsia="Times New Roman CYR" w:hAnsi="Times New Roman CYR" w:cs="Times New Roman CYR"/>
          <w:noProof/>
          <w:position w:val="-14"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1238250" cy="23812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0530334" name=""/>
                        <pic:cNvPicPr/>
                      </pic:nvPicPr>
                      <pic:blipFill>
                        <a:blip r:embed="rId8">
                          <a:extLst>
                            <a:ext uri="{96DAC541-7B7A-43D3-8B79-37D633B846F1}">
                              <asvg:svgBlip xmlns="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asvg="http://schemas.microsoft.com/office/drawing/2016/SVG/main" r:embed="rId10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238249" cy="238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97.50pt;height:18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6179EA" w:rsidRDefault="00154AD0">
      <w:pPr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v – количество закупаемого товара;</w:t>
      </w:r>
    </w:p>
    <w:p w:rsidR="006179EA" w:rsidRDefault="00154AD0">
      <w:pPr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noProof/>
          <w:position w:val="-14"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323850" cy="238125"/>
                <wp:effectExtent l="0" t="0" r="0" b="0"/>
                <wp:docPr id="2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8139776" name=""/>
                        <pic:cNvPicPr/>
                      </pic:nvPicPr>
                      <pic:blipFill>
                        <a:blip r:embed="rId11">
                          <a:extLst>
                            <a:ext uri="{96DAC541-7B7A-43D3-8B79-37D633B846F1}">
                              <asvg:svgBlip xmlns="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asvg="http://schemas.microsoft.com/office/drawing/2016/SVG/main" r:embed="rId12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323849" cy="238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25.50pt;height:18.75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- цена (тариф) единицы товара, установленная в рамках государственного регулирования цен (тарифов).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01"/>
        <w:gridCol w:w="2787"/>
        <w:gridCol w:w="2788"/>
        <w:gridCol w:w="2788"/>
      </w:tblGrid>
      <w:tr w:rsidR="008D518B" w:rsidTr="008D518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8B" w:rsidRDefault="008D518B">
            <w:pPr>
              <w:tabs>
                <w:tab w:val="left" w:pos="946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8B" w:rsidRDefault="008D518B">
            <w:pPr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Номинал марки (руб.)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8B" w:rsidRDefault="008D518B">
            <w:pPr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Количество (шт.)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8B" w:rsidRDefault="008D518B">
            <w:pPr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Сумма </w:t>
            </w:r>
          </w:p>
        </w:tc>
      </w:tr>
      <w:tr w:rsidR="008D518B" w:rsidTr="008D518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8B" w:rsidRDefault="008D518B" w:rsidP="008D518B">
            <w:pPr>
              <w:pStyle w:val="af9"/>
              <w:numPr>
                <w:ilvl w:val="0"/>
                <w:numId w:val="3"/>
              </w:numPr>
              <w:tabs>
                <w:tab w:val="left" w:pos="946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8B" w:rsidRDefault="008D518B">
            <w:pPr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8B" w:rsidRDefault="008D518B">
            <w:pPr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8B" w:rsidRDefault="008D518B">
            <w:pPr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13400</w:t>
            </w:r>
          </w:p>
        </w:tc>
      </w:tr>
      <w:tr w:rsidR="008D518B" w:rsidTr="008D518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8B" w:rsidRDefault="008D518B" w:rsidP="008D518B">
            <w:pPr>
              <w:pStyle w:val="af9"/>
              <w:numPr>
                <w:ilvl w:val="0"/>
                <w:numId w:val="3"/>
              </w:numPr>
              <w:tabs>
                <w:tab w:val="left" w:pos="946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8B" w:rsidRDefault="008D518B">
            <w:pPr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8B" w:rsidRDefault="008D518B">
            <w:pPr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650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8B" w:rsidRDefault="008D518B">
            <w:pPr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32500</w:t>
            </w:r>
          </w:p>
        </w:tc>
      </w:tr>
      <w:tr w:rsidR="008D518B" w:rsidTr="008D518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8B" w:rsidRDefault="008D518B" w:rsidP="008D518B">
            <w:pPr>
              <w:pStyle w:val="af9"/>
              <w:numPr>
                <w:ilvl w:val="0"/>
                <w:numId w:val="3"/>
              </w:numPr>
              <w:tabs>
                <w:tab w:val="left" w:pos="946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8B" w:rsidRDefault="008D518B">
            <w:pPr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8B" w:rsidRDefault="008D518B">
            <w:pPr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8B" w:rsidRDefault="008D518B">
            <w:pPr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17500</w:t>
            </w:r>
          </w:p>
        </w:tc>
      </w:tr>
      <w:tr w:rsidR="008D518B" w:rsidTr="008D518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8B" w:rsidRDefault="008D518B" w:rsidP="008D518B">
            <w:pPr>
              <w:pStyle w:val="af9"/>
              <w:numPr>
                <w:ilvl w:val="0"/>
                <w:numId w:val="3"/>
              </w:numPr>
              <w:tabs>
                <w:tab w:val="left" w:pos="946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8B" w:rsidRDefault="008D518B">
            <w:pPr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8B" w:rsidRDefault="008D518B">
            <w:pPr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8B" w:rsidRDefault="008D518B">
            <w:pPr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12000</w:t>
            </w:r>
          </w:p>
        </w:tc>
      </w:tr>
      <w:tr w:rsidR="008D518B" w:rsidTr="008D518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8B" w:rsidRDefault="008D518B" w:rsidP="008D518B">
            <w:pPr>
              <w:pStyle w:val="af9"/>
              <w:numPr>
                <w:ilvl w:val="0"/>
                <w:numId w:val="3"/>
              </w:numPr>
              <w:tabs>
                <w:tab w:val="left" w:pos="946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8B" w:rsidRDefault="008D518B">
            <w:pPr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8B" w:rsidRDefault="008D518B">
            <w:pPr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8B" w:rsidRDefault="008D518B">
            <w:pPr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1920</w:t>
            </w:r>
          </w:p>
        </w:tc>
      </w:tr>
      <w:tr w:rsidR="008D518B" w:rsidTr="008D518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8B" w:rsidRDefault="008D518B" w:rsidP="008D518B">
            <w:pPr>
              <w:pStyle w:val="af9"/>
              <w:numPr>
                <w:ilvl w:val="0"/>
                <w:numId w:val="3"/>
              </w:numPr>
              <w:tabs>
                <w:tab w:val="left" w:pos="946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8B" w:rsidRDefault="008D518B">
            <w:pPr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8B" w:rsidRDefault="008D518B">
            <w:pPr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8B" w:rsidRDefault="008D518B">
            <w:pPr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1600</w:t>
            </w:r>
          </w:p>
        </w:tc>
      </w:tr>
      <w:tr w:rsidR="008D518B" w:rsidTr="008D518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8B" w:rsidRDefault="008D518B" w:rsidP="008D518B">
            <w:pPr>
              <w:pStyle w:val="af9"/>
              <w:numPr>
                <w:ilvl w:val="0"/>
                <w:numId w:val="3"/>
              </w:numPr>
              <w:tabs>
                <w:tab w:val="left" w:pos="946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8B" w:rsidRDefault="008D518B">
            <w:pPr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8B" w:rsidRDefault="008D518B">
            <w:pPr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8B" w:rsidRDefault="008D518B">
            <w:pPr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1280</w:t>
            </w:r>
          </w:p>
        </w:tc>
      </w:tr>
      <w:tr w:rsidR="008D518B" w:rsidTr="008D518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8B" w:rsidRDefault="008D518B" w:rsidP="008D518B">
            <w:pPr>
              <w:pStyle w:val="af9"/>
              <w:numPr>
                <w:ilvl w:val="0"/>
                <w:numId w:val="3"/>
              </w:numPr>
              <w:tabs>
                <w:tab w:val="left" w:pos="946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8B" w:rsidRDefault="008D518B">
            <w:pPr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8B" w:rsidRDefault="008D518B">
            <w:pPr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8B" w:rsidRDefault="008D518B">
            <w:pPr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960</w:t>
            </w:r>
          </w:p>
        </w:tc>
      </w:tr>
      <w:tr w:rsidR="008D518B" w:rsidTr="008D518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8B" w:rsidRDefault="008D518B" w:rsidP="008D518B">
            <w:pPr>
              <w:pStyle w:val="af9"/>
              <w:numPr>
                <w:ilvl w:val="0"/>
                <w:numId w:val="3"/>
              </w:numPr>
              <w:tabs>
                <w:tab w:val="left" w:pos="946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8B" w:rsidRDefault="008D518B">
            <w:pPr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8B" w:rsidRDefault="008D518B">
            <w:pPr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8B" w:rsidRDefault="008D518B">
            <w:pPr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640</w:t>
            </w:r>
          </w:p>
        </w:tc>
      </w:tr>
      <w:tr w:rsidR="008D518B" w:rsidTr="008D518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8B" w:rsidRDefault="008D518B" w:rsidP="008D518B">
            <w:pPr>
              <w:pStyle w:val="af9"/>
              <w:numPr>
                <w:ilvl w:val="0"/>
                <w:numId w:val="3"/>
              </w:numPr>
              <w:tabs>
                <w:tab w:val="left" w:pos="946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8B" w:rsidRDefault="008D518B">
            <w:pPr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8B" w:rsidRDefault="008D518B">
            <w:pPr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8B" w:rsidRDefault="008D518B">
            <w:pPr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8D518B" w:rsidTr="008D518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8B" w:rsidRDefault="008D518B">
            <w:pPr>
              <w:tabs>
                <w:tab w:val="left" w:pos="946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8B" w:rsidRDefault="008D518B">
            <w:pPr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8B" w:rsidRDefault="008D518B">
            <w:pPr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8B" w:rsidRDefault="008D518B">
            <w:pPr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82800</w:t>
            </w:r>
          </w:p>
        </w:tc>
      </w:tr>
    </w:tbl>
    <w:p w:rsidR="006179EA" w:rsidRDefault="00154AD0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 CYR" w:eastAsia="Times New Roman CYR" w:hAnsi="Times New Roman CYR" w:cs="Times New Roman CYR"/>
          <w:b/>
          <w:sz w:val="28"/>
          <w:szCs w:val="28"/>
        </w:rPr>
        <w:t>ачальная (максимальная) цена контракта составляет</w:t>
      </w: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: </w:t>
      </w:r>
      <w:r w:rsidR="008D518B"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82800</w:t>
      </w:r>
      <w:bookmarkStart w:id="0" w:name="_GoBack"/>
      <w:bookmarkEnd w:id="0"/>
      <w:r w:rsidR="008D518B" w:rsidRPr="008D518B">
        <w:rPr>
          <w:rStyle w:val="FontStyle16"/>
          <w:rFonts w:ascii="Times New Roman CYR" w:eastAsia="Times New Roman CYR" w:hAnsi="Times New Roman CYR" w:cs="Times New Roman CYR"/>
          <w:sz w:val="28"/>
          <w:szCs w:val="28"/>
        </w:rPr>
        <w:t xml:space="preserve"> (восемьдесят две тысячи восемьсот рублей 00 копеек)</w:t>
      </w:r>
      <w:r>
        <w:rPr>
          <w:rFonts w:ascii="Times New Roman CYR" w:eastAsia="Times New Roman CYR" w:hAnsi="Times New Roman CYR" w:cs="Times New Roman CYR"/>
          <w:bCs/>
          <w:sz w:val="28"/>
          <w:szCs w:val="28"/>
        </w:rPr>
        <w:t>.</w:t>
      </w:r>
    </w:p>
    <w:p w:rsidR="006179EA" w:rsidRDefault="006179EA">
      <w:pPr>
        <w:spacing w:after="0" w:line="240" w:lineRule="auto"/>
      </w:pPr>
    </w:p>
    <w:sectPr w:rsidR="006179E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478" w:rsidRDefault="00393478">
      <w:pPr>
        <w:spacing w:after="0" w:line="240" w:lineRule="auto"/>
      </w:pPr>
      <w:r>
        <w:separator/>
      </w:r>
    </w:p>
  </w:endnote>
  <w:endnote w:type="continuationSeparator" w:id="0">
    <w:p w:rsidR="00393478" w:rsidRDefault="00393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478" w:rsidRDefault="00393478">
      <w:pPr>
        <w:spacing w:after="0" w:line="240" w:lineRule="auto"/>
      </w:pPr>
      <w:r>
        <w:separator/>
      </w:r>
    </w:p>
  </w:footnote>
  <w:footnote w:type="continuationSeparator" w:id="0">
    <w:p w:rsidR="00393478" w:rsidRDefault="00393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77B43"/>
    <w:multiLevelType w:val="hybridMultilevel"/>
    <w:tmpl w:val="FD122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E1DEF"/>
    <w:multiLevelType w:val="hybridMultilevel"/>
    <w:tmpl w:val="1F80BBDA"/>
    <w:lvl w:ilvl="0" w:tplc="47EEF98E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747E7214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D77C6456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AC9EA592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3DE0431A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A1362F56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7778DC3E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EDB26146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233E66D2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2">
    <w:nsid w:val="75CE1EDD"/>
    <w:multiLevelType w:val="hybridMultilevel"/>
    <w:tmpl w:val="57E08924"/>
    <w:lvl w:ilvl="0" w:tplc="9482CA76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CBC493F0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F15612BA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DE9CA37E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8356E3E2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CFD851DA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A718D992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45FC2124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AE241C3A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EA"/>
    <w:rsid w:val="000769C8"/>
    <w:rsid w:val="00154AD0"/>
    <w:rsid w:val="00393478"/>
    <w:rsid w:val="006179EA"/>
    <w:rsid w:val="00896B39"/>
    <w:rsid w:val="008D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link w:val="ac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FontStyle16">
    <w:name w:val="Font Style16"/>
    <w:rPr>
      <w:rFonts w:ascii="Times New Roman" w:hAnsi="Times New Roman" w:cs="Times New Roman"/>
      <w:sz w:val="18"/>
      <w:szCs w:val="18"/>
    </w:rPr>
  </w:style>
  <w:style w:type="paragraph" w:styleId="afa">
    <w:name w:val="Balloon Text"/>
    <w:basedOn w:val="a"/>
    <w:link w:val="afb"/>
    <w:uiPriority w:val="99"/>
    <w:semiHidden/>
    <w:unhideWhenUsed/>
    <w:rsid w:val="008D5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8D51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link w:val="ac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FontStyle16">
    <w:name w:val="Font Style16"/>
    <w:rPr>
      <w:rFonts w:ascii="Times New Roman" w:hAnsi="Times New Roman" w:cs="Times New Roman"/>
      <w:sz w:val="18"/>
      <w:szCs w:val="18"/>
    </w:rPr>
  </w:style>
  <w:style w:type="paragraph" w:styleId="afa">
    <w:name w:val="Balloon Text"/>
    <w:basedOn w:val="a"/>
    <w:link w:val="afb"/>
    <w:uiPriority w:val="99"/>
    <w:semiHidden/>
    <w:unhideWhenUsed/>
    <w:rsid w:val="008D5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8D5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0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media2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media1.sv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Goryacheva</dc:creator>
  <cp:lastModifiedBy>Goryacheva</cp:lastModifiedBy>
  <cp:revision>4</cp:revision>
  <dcterms:created xsi:type="dcterms:W3CDTF">2026-05-20T01:30:00Z</dcterms:created>
  <dcterms:modified xsi:type="dcterms:W3CDTF">2026-05-20T01:30:00Z</dcterms:modified>
</cp:coreProperties>
</file>