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680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  <w:r>
        <w:rPr>
          <w:rFonts w:ascii="PT Astra Serif" w:hAnsi="PT Astra Serif"/>
          <w:b/>
          <w:bCs/>
          <w:color w:val="000000"/>
          <w:sz w:val="24"/>
          <w:szCs w:val="24"/>
        </w:rPr>
        <w:t xml:space="preserve">Определение максимального значения цены контракта</w:t>
      </w:r>
      <w:r>
        <w:rPr>
          <w:rFonts w:ascii="PT Astra Serif" w:hAnsi="PT Astra Serif"/>
          <w:b/>
          <w:bCs/>
          <w:color w:val="000000"/>
          <w:sz w:val="24"/>
          <w:szCs w:val="24"/>
        </w:rPr>
      </w:r>
    </w:p>
    <w:p>
      <w:pPr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>
        <w:rPr>
          <w:rFonts w:ascii="PT Astra Serif" w:hAnsi="PT Astra Serif"/>
          <w:b/>
          <w:bCs/>
          <w:color w:val="000000"/>
          <w:sz w:val="24"/>
          <w:szCs w:val="24"/>
        </w:rPr>
        <w:t xml:space="preserve">Наименование объекта закупки: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 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оказание услуг по обязательному страхованию гражданской ответственности владельцев транспортных средств</w:t>
      </w:r>
      <w:r>
        <w:rPr>
          <w:rFonts w:ascii="PT Astra Serif" w:hAnsi="PT Astra Serif"/>
          <w:bCs/>
          <w:color w:val="000000"/>
          <w:sz w:val="24"/>
          <w:szCs w:val="24"/>
        </w:rPr>
      </w:r>
    </w:p>
    <w:p>
      <w:pPr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/>
      <w:bookmarkStart w:id="0" w:name="_GoBack"/>
      <w:r/>
      <w:bookmarkEnd w:id="0"/>
      <w:r>
        <w:rPr>
          <w:rFonts w:ascii="PT Astra Serif" w:hAnsi="PT Astra Serif"/>
          <w:bCs/>
          <w:color w:val="000000"/>
          <w:sz w:val="24"/>
          <w:szCs w:val="24"/>
        </w:rPr>
        <w:t xml:space="preserve">Максимальное значение цены контракта определено тарифным методом.</w:t>
      </w:r>
      <w:r>
        <w:rPr>
          <w:rFonts w:ascii="PT Astra Serif" w:hAnsi="PT Astra Serif"/>
          <w:bCs/>
          <w:color w:val="000000"/>
          <w:sz w:val="24"/>
          <w:szCs w:val="24"/>
        </w:rPr>
      </w:r>
    </w:p>
    <w:p>
      <w:pPr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>
        <w:rPr>
          <w:rFonts w:ascii="PT Astra Serif" w:hAnsi="PT Astra Serif"/>
          <w:bCs/>
          <w:color w:val="000000"/>
          <w:sz w:val="24"/>
          <w:szCs w:val="24"/>
        </w:rPr>
        <w:t xml:space="preserve">Формула цены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 Контракта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:</w:t>
      </w:r>
      <w:r>
        <w:rPr>
          <w:rFonts w:ascii="PT Astra Serif" w:hAnsi="PT Astra Serif"/>
          <w:bCs/>
          <w:color w:val="000000"/>
          <w:sz w:val="24"/>
          <w:szCs w:val="24"/>
        </w:rPr>
      </w:r>
    </w:p>
    <w:p>
      <w:pPr>
        <w:ind w:firstLine="567"/>
        <w:jc w:val="both"/>
      </w:pPr>
      <w:r>
        <w:rPr>
          <w:rFonts w:ascii="PT Astra Serif" w:hAnsi="PT Astra Serif"/>
          <w:bCs/>
          <w:color w:val="000000"/>
          <w:sz w:val="24"/>
          <w:szCs w:val="24"/>
        </w:rPr>
        <w:t xml:space="preserve">Размер страховой премии рассчитывается на каждое транспортное средство в соответствии с 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Порядком 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применения страховых тарифов по обязательному страхованию гражданской ответственности владельцев транспортных средств страховщиками при определении страховой премии по договору обязательного страхования гражданской ответственности владельцев транспортных ср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едств</w:t>
      </w:r>
      <w:r>
        <w:rPr>
          <w:rFonts w:ascii="PT Astra Serif" w:hAnsi="PT Astra Serif"/>
          <w:bCs/>
          <w:color w:val="000000"/>
          <w:sz w:val="24"/>
          <w:szCs w:val="24"/>
        </w:rPr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 (приложение № 4 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к 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Указание Банка России от 9 октября 2025 г. № 7204-У «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О страховых тарифах по обязательному страхованию гражданской ответственности владельцев транспортных средств»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 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по формуле:</w:t>
      </w:r>
      <w:r>
        <w:rPr>
          <w:rFonts w:ascii="PT Astra Serif" w:hAnsi="PT Astra Serif"/>
          <w:bCs/>
          <w:color w:val="000000"/>
          <w:sz w:val="24"/>
          <w:szCs w:val="24"/>
        </w:rPr>
      </w:r>
      <w:r/>
      <w:r>
        <w:rPr>
          <w:rFonts w:ascii="PT Astra Serif" w:hAnsi="PT Astra Serif"/>
          <w:bCs/>
          <w:color w:val="000000"/>
          <w:sz w:val="24"/>
          <w:szCs w:val="24"/>
        </w:rPr>
      </w:r>
    </w:p>
    <w:p>
      <w:pPr>
        <w:ind w:firstLine="567"/>
        <w:jc w:val="both"/>
        <w:rPr>
          <w:rFonts w:ascii="PT Astra Serif" w:hAnsi="PT Astra Serif"/>
          <w:bCs/>
          <w:i/>
          <w:color w:val="000000"/>
          <w:sz w:val="24"/>
          <w:szCs w:val="24"/>
        </w:rPr>
      </w:pPr>
      <w:r>
        <w:rPr>
          <w:rFonts w:ascii="PT Astra Serif" w:hAnsi="PT Astra Serif"/>
          <w:bCs/>
          <w:i/>
          <w:color w:val="000000"/>
          <w:sz w:val="24"/>
          <w:szCs w:val="24"/>
        </w:rPr>
      </w:r>
      <w:r>
        <w:rPr>
          <w:rFonts w:ascii="PT Astra Serif" w:hAnsi="PT Astra Serif"/>
          <w:bCs/>
          <w:i/>
          <w:color w:val="000000"/>
          <w:sz w:val="24"/>
          <w:szCs w:val="24"/>
        </w:rPr>
        <w:t xml:space="preserve">При обязательном страховании гражданской ответственности владельцев транспортных средств, зарегистрированных в Российской Федерации (за исключением случаев следования к месту регистрации транспортного средства или заключения (изменения) краткосрочного догов</w:t>
      </w:r>
      <w:r>
        <w:rPr>
          <w:rFonts w:ascii="PT Astra Serif" w:hAnsi="PT Astra Serif"/>
          <w:bCs/>
          <w:i/>
          <w:color w:val="000000"/>
          <w:sz w:val="24"/>
          <w:szCs w:val="24"/>
        </w:rPr>
        <w:t xml:space="preserve">ора обязательного страхования)</w:t>
      </w:r>
      <w:r>
        <w:rPr>
          <w:rFonts w:ascii="PT Astra Serif" w:hAnsi="PT Astra Serif"/>
          <w:bCs/>
          <w:i/>
          <w:color w:val="000000"/>
          <w:sz w:val="24"/>
          <w:szCs w:val="24"/>
        </w:rPr>
      </w:r>
      <w:r>
        <w:rPr>
          <w:rFonts w:ascii="PT Astra Serif" w:hAnsi="PT Astra Serif"/>
          <w:bCs/>
          <w:i/>
          <w:color w:val="000000"/>
          <w:sz w:val="24"/>
          <w:szCs w:val="24"/>
        </w:rPr>
      </w:r>
    </w:p>
    <w:p>
      <w:pPr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>
        <w:rPr>
          <w:rFonts w:ascii="PT Astra Serif" w:hAnsi="PT Astra Serif"/>
          <w:bCs/>
          <w:color w:val="000000"/>
          <w:sz w:val="24"/>
          <w:szCs w:val="24"/>
        </w:rPr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Транспортные средства категорий "А", "М", "В", "ВЕ" и подкатегорий "А1", "В1" (в том числе такси)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:</w:t>
      </w:r>
      <w:r>
        <w:rPr>
          <w:rFonts w:ascii="PT Astra Serif" w:hAnsi="PT Astra Serif"/>
          <w:bCs/>
          <w:color w:val="000000"/>
          <w:sz w:val="24"/>
          <w:szCs w:val="24"/>
        </w:rPr>
      </w:r>
    </w:p>
    <w:p>
      <w:pPr>
        <w:ind w:firstLine="567"/>
        <w:jc w:val="both"/>
        <w:widowControl/>
        <w:tabs>
          <w:tab w:val="num" w:pos="0" w:leader="none"/>
        </w:tabs>
        <w:rPr>
          <w:rFonts w:ascii="PT Astra Serif" w:hAnsi="PT Astra Serif" w:eastAsia="Calibri" w:cs="Times New Roman"/>
          <w:color w:val="000000"/>
          <w:sz w:val="24"/>
          <w:szCs w:val="24"/>
          <w:lang w:eastAsia="en-US"/>
        </w:rPr>
        <w:outlineLvl w:val="0"/>
      </w:pPr>
      <w:r>
        <w:rPr>
          <w:rFonts w:ascii="PT Astra Serif" w:hAnsi="PT Astra Serif" w:eastAsia="Calibri" w:cs="Times New Roman"/>
          <w:b/>
          <w:color w:val="000000"/>
          <w:sz w:val="24"/>
          <w:szCs w:val="24"/>
          <w:lang w:eastAsia="en-US"/>
        </w:rPr>
        <w:t xml:space="preserve">Т =</w:t>
      </w:r>
      <w:r>
        <w:rPr>
          <w:rFonts w:ascii="PT Astra Serif" w:hAnsi="PT Astra Serif" w:eastAsia="Calibri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PT Astra Serif" w:hAnsi="PT Astra Serif" w:eastAsia="Calibri" w:cs="PT Astra Serif"/>
          <w:b/>
          <w:bCs/>
          <w:color w:val="000000"/>
          <w:sz w:val="24"/>
          <w:szCs w:val="24"/>
          <w:lang w:eastAsia="en-US"/>
        </w:rPr>
        <w:t xml:space="preserve">ТБ </w:t>
      </w:r>
      <w:r>
        <w:rPr>
          <w:rFonts w:ascii="PT Astra Serif" w:hAnsi="PT Astra Serif" w:eastAsia="Calibri" w:cs="PT Astra Serif"/>
          <w:b/>
          <w:bCs/>
          <w:color w:val="000000"/>
          <w:sz w:val="24"/>
          <w:szCs w:val="24"/>
          <w:lang w:eastAsia="en-US"/>
        </w:rPr>
        <w:t xml:space="preserve">×</w:t>
      </w:r>
      <w:r>
        <w:rPr>
          <w:rFonts w:ascii="PT Astra Serif" w:hAnsi="PT Astra Serif" w:eastAsia="Calibri" w:cs="PT Astra Serif"/>
          <w:b/>
          <w:bCs/>
          <w:color w:val="000000"/>
          <w:sz w:val="24"/>
          <w:szCs w:val="24"/>
          <w:lang w:eastAsia="en-US"/>
        </w:rPr>
        <w:t xml:space="preserve"> КТ </w:t>
      </w:r>
      <w:r>
        <w:rPr>
          <w:rFonts w:ascii="PT Astra Serif" w:hAnsi="PT Astra Serif" w:eastAsia="Calibri" w:cs="PT Astra Serif"/>
          <w:b/>
          <w:bCs/>
          <w:color w:val="000000"/>
          <w:sz w:val="24"/>
          <w:szCs w:val="24"/>
          <w:lang w:eastAsia="en-US"/>
        </w:rPr>
        <w:t xml:space="preserve">×</w:t>
      </w:r>
      <w:r>
        <w:rPr>
          <w:rFonts w:ascii="PT Astra Serif" w:hAnsi="PT Astra Serif" w:eastAsia="Calibri" w:cs="PT Astra Serif"/>
          <w:b/>
          <w:bCs/>
          <w:color w:val="000000"/>
          <w:sz w:val="24"/>
          <w:szCs w:val="24"/>
          <w:lang w:eastAsia="en-US"/>
        </w:rPr>
        <w:t xml:space="preserve">КБМ </w:t>
      </w:r>
      <w:r>
        <w:rPr>
          <w:rFonts w:ascii="PT Astra Serif" w:hAnsi="PT Astra Serif" w:eastAsia="Calibri" w:cs="PT Astra Serif"/>
          <w:b/>
          <w:bCs/>
          <w:color w:val="000000"/>
          <w:sz w:val="24"/>
          <w:szCs w:val="24"/>
          <w:lang w:eastAsia="en-US"/>
        </w:rPr>
        <w:t xml:space="preserve">×</w:t>
      </w:r>
      <w:r>
        <w:rPr>
          <w:rFonts w:ascii="PT Astra Serif" w:hAnsi="PT Astra Serif" w:eastAsia="Calibri" w:cs="PT Astra Serif"/>
          <w:b/>
          <w:bCs/>
          <w:color w:val="000000"/>
          <w:sz w:val="24"/>
          <w:szCs w:val="24"/>
          <w:lang w:eastAsia="en-US"/>
        </w:rPr>
        <w:t xml:space="preserve"> КВС </w:t>
      </w:r>
      <w:r>
        <w:rPr>
          <w:rFonts w:ascii="PT Astra Serif" w:hAnsi="PT Astra Serif" w:eastAsia="Calibri" w:cs="PT Astra Serif"/>
          <w:b/>
          <w:bCs/>
          <w:color w:val="000000"/>
          <w:sz w:val="24"/>
          <w:szCs w:val="24"/>
          <w:lang w:eastAsia="en-US"/>
        </w:rPr>
        <w:t xml:space="preserve">×</w:t>
      </w:r>
      <w:r>
        <w:rPr>
          <w:rFonts w:ascii="PT Astra Serif" w:hAnsi="PT Astra Serif" w:eastAsia="Calibri" w:cs="PT Astra Serif"/>
          <w:b/>
          <w:bCs/>
          <w:color w:val="000000"/>
          <w:sz w:val="24"/>
          <w:szCs w:val="24"/>
          <w:lang w:eastAsia="en-US"/>
        </w:rPr>
        <w:t xml:space="preserve"> КО </w:t>
      </w:r>
      <w:r>
        <w:rPr>
          <w:rFonts w:ascii="PT Astra Serif" w:hAnsi="PT Astra Serif" w:eastAsia="Calibri" w:cs="PT Astra Serif"/>
          <w:b/>
          <w:bCs/>
          <w:color w:val="000000"/>
          <w:sz w:val="24"/>
          <w:szCs w:val="24"/>
          <w:lang w:eastAsia="en-US"/>
        </w:rPr>
        <w:t xml:space="preserve">×</w:t>
      </w:r>
      <w:r>
        <w:rPr>
          <w:rFonts w:ascii="PT Astra Serif" w:hAnsi="PT Astra Serif" w:eastAsia="Calibri" w:cs="PT Astra Serif"/>
          <w:b/>
          <w:bCs/>
          <w:color w:val="000000"/>
          <w:sz w:val="24"/>
          <w:szCs w:val="24"/>
          <w:lang w:eastAsia="en-US"/>
        </w:rPr>
        <w:t xml:space="preserve"> КМ </w:t>
      </w:r>
      <w:r>
        <w:rPr>
          <w:rFonts w:ascii="PT Astra Serif" w:hAnsi="PT Astra Serif" w:eastAsia="Calibri" w:cs="PT Astra Serif"/>
          <w:b/>
          <w:bCs/>
          <w:color w:val="000000"/>
          <w:sz w:val="24"/>
          <w:szCs w:val="24"/>
          <w:lang w:eastAsia="en-US"/>
        </w:rPr>
        <w:t xml:space="preserve">×</w:t>
      </w:r>
      <w:r>
        <w:rPr>
          <w:rFonts w:ascii="PT Astra Serif" w:hAnsi="PT Astra Serif" w:eastAsia="Calibri" w:cs="PT Astra Serif"/>
          <w:b/>
          <w:bCs/>
          <w:color w:val="000000"/>
          <w:sz w:val="24"/>
          <w:szCs w:val="24"/>
          <w:lang w:eastAsia="en-US"/>
        </w:rPr>
        <w:t xml:space="preserve"> КС</w:t>
      </w:r>
      <w:r>
        <w:rPr>
          <w:rFonts w:ascii="PT Astra Serif" w:hAnsi="PT Astra Serif" w:eastAsia="Calibri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PT Astra Serif" w:hAnsi="PT Astra Serif" w:eastAsia="Calibri" w:cs="Times New Roman"/>
          <w:color w:val="000000"/>
          <w:sz w:val="24"/>
          <w:szCs w:val="24"/>
          <w:lang w:eastAsia="en-US"/>
        </w:rPr>
      </w:r>
    </w:p>
    <w:p>
      <w:pPr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>
        <w:rPr>
          <w:rFonts w:ascii="PT Astra Serif" w:hAnsi="PT Astra Serif"/>
          <w:bCs/>
          <w:color w:val="000000"/>
          <w:sz w:val="24"/>
          <w:szCs w:val="24"/>
        </w:rPr>
        <w:t xml:space="preserve">Где:</w:t>
      </w:r>
      <w:r>
        <w:rPr>
          <w:rFonts w:ascii="PT Astra Serif" w:hAnsi="PT Astra Serif"/>
          <w:bCs/>
          <w:color w:val="000000"/>
          <w:sz w:val="24"/>
          <w:szCs w:val="24"/>
        </w:rPr>
      </w:r>
    </w:p>
    <w:p>
      <w:pPr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>
        <w:rPr>
          <w:rFonts w:ascii="PT Astra Serif" w:hAnsi="PT Astra Serif"/>
          <w:bCs/>
          <w:color w:val="000000"/>
          <w:sz w:val="24"/>
          <w:szCs w:val="24"/>
        </w:rPr>
        <w:t xml:space="preserve">Т – размер страховой премии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, подлежащей уплате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;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 </w:t>
      </w:r>
      <w:r>
        <w:rPr>
          <w:rFonts w:ascii="PT Astra Serif" w:hAnsi="PT Astra Serif"/>
          <w:bCs/>
          <w:color w:val="000000"/>
          <w:sz w:val="24"/>
          <w:szCs w:val="24"/>
        </w:rPr>
      </w:r>
    </w:p>
    <w:p>
      <w:pPr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>
        <w:rPr>
          <w:rFonts w:ascii="PT Astra Serif" w:hAnsi="PT Astra Serif"/>
          <w:bCs/>
          <w:color w:val="000000"/>
          <w:sz w:val="24"/>
          <w:szCs w:val="24"/>
        </w:rPr>
        <w:t xml:space="preserve">ТБ - базовая ставка страхового тарифа;</w:t>
      </w:r>
      <w:r>
        <w:rPr>
          <w:rFonts w:ascii="PT Astra Serif" w:hAnsi="PT Astra Serif"/>
          <w:bCs/>
          <w:color w:val="000000"/>
          <w:sz w:val="24"/>
          <w:szCs w:val="24"/>
        </w:rPr>
      </w:r>
    </w:p>
    <w:p>
      <w:pPr>
        <w:ind w:firstLine="567"/>
        <w:jc w:val="both"/>
        <w:widowControl/>
        <w:rPr>
          <w:rFonts w:eastAsiaTheme="minorHAnsi"/>
          <w:sz w:val="20"/>
          <w:szCs w:val="20"/>
          <w:lang w:eastAsia="en-US"/>
        </w:rPr>
      </w:pPr>
      <w:r>
        <w:rPr>
          <w:rFonts w:ascii="PT Astra Serif" w:hAnsi="PT Astra Serif"/>
          <w:bCs/>
          <w:color w:val="000000"/>
          <w:sz w:val="24"/>
          <w:szCs w:val="24"/>
        </w:rPr>
        <w:t xml:space="preserve">КТ - коэффициент страховых тарифов в зависимости от территории преимущественного использования транспортного средства;</w:t>
      </w:r>
      <w:r>
        <w:rPr>
          <w:rFonts w:eastAsiaTheme="minorHAnsi"/>
          <w:sz w:val="20"/>
          <w:szCs w:val="20"/>
          <w:lang w:eastAsia="en-US"/>
        </w:rPr>
      </w:r>
    </w:p>
    <w:p>
      <w:pPr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>
        <w:rPr>
          <w:rFonts w:ascii="PT Astra Serif" w:hAnsi="PT Astra Serif"/>
          <w:bCs/>
          <w:color w:val="000000"/>
          <w:sz w:val="24"/>
          <w:szCs w:val="24"/>
        </w:rPr>
        <w:t xml:space="preserve">КБМ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 – коэффициент страховых тарифов в зависимости от количества произведенных страховщиками страховых возмещений в предшествующие периоды, </w:t>
      </w:r>
      <w:r>
        <w:rPr>
          <w:rFonts w:ascii="PT Astra Serif" w:hAnsi="PT Astra Serif"/>
          <w:bCs/>
          <w:color w:val="000000"/>
          <w:sz w:val="24"/>
          <w:szCs w:val="24"/>
        </w:rPr>
      </w:r>
    </w:p>
    <w:p>
      <w:pPr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>
        <w:rPr>
          <w:rFonts w:ascii="PT Astra Serif" w:hAnsi="PT Astra Serif"/>
          <w:bCs/>
          <w:color w:val="000000"/>
          <w:sz w:val="24"/>
          <w:szCs w:val="24"/>
        </w:rPr>
        <w:t xml:space="preserve">КВС - коэффициент страховых тар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ифов в зависимости от характеристик (навыков) допущенных к управлению транспортным средством водителей (стажа управления транспортными средствами, соответствующими по категории транспортному средству, в отношении которого заключается договор обязательного 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страхования, возраста водителя)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 (КВС=1)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;</w:t>
      </w:r>
      <w:r>
        <w:rPr>
          <w:rFonts w:ascii="PT Astra Serif" w:hAnsi="PT Astra Serif"/>
          <w:bCs/>
          <w:color w:val="000000"/>
          <w:sz w:val="24"/>
          <w:szCs w:val="24"/>
        </w:rPr>
      </w:r>
    </w:p>
    <w:p>
      <w:pPr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>
        <w:rPr>
          <w:rFonts w:ascii="PT Astra Serif" w:hAnsi="PT Astra Serif"/>
          <w:bCs/>
          <w:color w:val="000000"/>
          <w:sz w:val="24"/>
          <w:szCs w:val="24"/>
        </w:rPr>
        <w:t xml:space="preserve">КО – коэффициент страховых тарифов в зависимости от отсутствия условия, предусматривающего управление транспортным средством только указанными страхователем водителями;</w:t>
      </w:r>
      <w:r>
        <w:rPr>
          <w:rFonts w:ascii="PT Astra Serif" w:hAnsi="PT Astra Serif"/>
          <w:bCs/>
          <w:color w:val="000000"/>
          <w:sz w:val="24"/>
          <w:szCs w:val="24"/>
        </w:rPr>
      </w:r>
    </w:p>
    <w:p>
      <w:pPr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>
        <w:rPr>
          <w:rFonts w:ascii="PT Astra Serif" w:hAnsi="PT Astra Serif"/>
          <w:bCs/>
          <w:color w:val="000000"/>
          <w:sz w:val="24"/>
          <w:szCs w:val="24"/>
        </w:rPr>
        <w:t xml:space="preserve">КМ – коэффициент страховых тарифов в зависимости от технических характеристик (мощности двигателя) транспортного средства;</w:t>
      </w:r>
      <w:r>
        <w:rPr>
          <w:rFonts w:ascii="PT Astra Serif" w:hAnsi="PT Astra Serif"/>
          <w:bCs/>
          <w:color w:val="000000"/>
          <w:sz w:val="24"/>
          <w:szCs w:val="24"/>
        </w:rPr>
      </w:r>
    </w:p>
    <w:p>
      <w:pPr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>
        <w:rPr>
          <w:rFonts w:ascii="PT Astra Serif" w:hAnsi="PT Astra Serif"/>
          <w:bCs/>
          <w:color w:val="000000"/>
          <w:sz w:val="24"/>
          <w:szCs w:val="24"/>
        </w:rPr>
        <w:t xml:space="preserve">КС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 – коэффициент страховых тарифов в зависимости от сезонного и иного временного испол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ьзования транспортного средства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 (КС=1)</w:t>
      </w:r>
      <w:r>
        <w:rPr>
          <w:rFonts w:ascii="PT Astra Serif" w:hAnsi="PT Astra Serif"/>
          <w:bCs/>
          <w:color w:val="000000"/>
          <w:sz w:val="24"/>
          <w:szCs w:val="24"/>
        </w:rPr>
        <w:t xml:space="preserve">.</w:t>
      </w:r>
      <w:r>
        <w:rPr>
          <w:rFonts w:ascii="PT Astra Serif" w:hAnsi="PT Astra Serif"/>
          <w:bCs/>
          <w:color w:val="000000"/>
          <w:sz w:val="24"/>
          <w:szCs w:val="24"/>
        </w:rPr>
      </w:r>
    </w:p>
    <w:p>
      <w:pPr>
        <w:ind w:left="540"/>
        <w:jc w:val="both"/>
        <w:keepNext/>
        <w:tabs>
          <w:tab w:val="left" w:pos="15026" w:leader="none"/>
        </w:tabs>
        <w:rPr>
          <w:rFonts w:ascii="PT Astra Serif" w:hAnsi="PT Astra Serif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PT Astra Serif" w:hAnsi="PT Astra Serif" w:cs="Times New Roman"/>
          <w:b/>
          <w:bCs/>
          <w:color w:val="000000"/>
          <w:sz w:val="24"/>
          <w:szCs w:val="24"/>
        </w:rPr>
        <w:t xml:space="preserve">Максимальное значение цены контракта составляет: </w:t>
      </w:r>
      <w:r>
        <w:rPr>
          <w:rFonts w:ascii="PT Astra Serif" w:hAnsi="PT Astra Serif" w:cs="Times New Roman"/>
          <w:b/>
          <w:bCs/>
          <w:color w:val="000000"/>
          <w:sz w:val="24"/>
          <w:szCs w:val="24"/>
        </w:rPr>
      </w:r>
      <w:r>
        <w:rPr>
          <w:rFonts w:ascii="PT Astra Serif" w:hAnsi="PT Astra Serif" w:cs="Times New Roman"/>
          <w:b/>
          <w:bCs/>
          <w:color w:val="000000"/>
          <w:sz w:val="24"/>
          <w:szCs w:val="24"/>
        </w:rPr>
      </w:r>
      <w:r>
        <w:rPr>
          <w:rFonts w:ascii="PT Astra Serif" w:hAnsi="PT Astra Serif" w:cs="Times New Roman"/>
          <w:b/>
          <w:bCs/>
          <w:color w:val="000000"/>
          <w:sz w:val="24"/>
          <w:szCs w:val="24"/>
        </w:rPr>
        <w:t xml:space="preserve">3 154,24</w:t>
      </w:r>
      <w:r>
        <w:rPr>
          <w:rFonts w:ascii="PT Astra Serif" w:hAnsi="PT Astra Serif" w:cs="Times New Roman"/>
          <w:b/>
          <w:bCs/>
          <w:color w:val="000000"/>
          <w:sz w:val="24"/>
          <w:szCs w:val="24"/>
        </w:rPr>
      </w:r>
      <w:r>
        <w:rPr>
          <w:rFonts w:ascii="PT Astra Serif" w:hAnsi="PT Astra Serif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PT Astra Serif" w:hAnsi="PT Astra Serif" w:cs="Times New Roman"/>
          <w:b/>
          <w:bCs/>
          <w:color w:val="000000"/>
          <w:sz w:val="24"/>
          <w:szCs w:val="24"/>
        </w:rPr>
        <w:t xml:space="preserve">(три тысячи сто пятьдесят четыре</w:t>
      </w:r>
      <w:r>
        <w:rPr>
          <w:rFonts w:ascii="PT Astra Serif" w:hAnsi="PT Astra Serif" w:cs="Times New Roman"/>
          <w:b/>
          <w:bCs/>
          <w:color w:val="000000"/>
          <w:sz w:val="24"/>
          <w:szCs w:val="24"/>
        </w:rPr>
        <w:t xml:space="preserve">) </w:t>
      </w:r>
      <w:r>
        <w:rPr>
          <w:rFonts w:ascii="PT Astra Serif" w:hAnsi="PT Astra Serif" w:cs="Times New Roman"/>
          <w:b/>
          <w:bCs/>
          <w:color w:val="000000"/>
          <w:sz w:val="24"/>
          <w:szCs w:val="24"/>
        </w:rPr>
        <w:t xml:space="preserve">руб. 24</w:t>
      </w:r>
      <w:r>
        <w:rPr>
          <w:rFonts w:ascii="PT Astra Serif" w:hAnsi="PT Astra Serif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PT Astra Serif" w:hAnsi="PT Astra Serif" w:cs="Times New Roman"/>
          <w:b/>
          <w:bCs/>
          <w:color w:val="000000"/>
          <w:sz w:val="24"/>
          <w:szCs w:val="24"/>
        </w:rPr>
        <w:t xml:space="preserve">коп.,</w:t>
      </w:r>
      <w:r>
        <w:rPr>
          <w:rFonts w:ascii="PT Astra Serif" w:hAnsi="PT Astra Serif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PT Astra Serif" w:hAnsi="PT Astra Serif" w:cs="Times New Roman"/>
          <w:b/>
          <w:bCs/>
          <w:color w:val="000000"/>
          <w:sz w:val="24"/>
          <w:szCs w:val="24"/>
        </w:rPr>
        <w:t xml:space="preserve">исходя</w:t>
      </w:r>
      <w:r>
        <w:rPr>
          <w:rFonts w:ascii="PT Astra Serif" w:hAnsi="PT Astra Serif" w:cs="Times New Roman"/>
          <w:b/>
          <w:bCs/>
          <w:color w:val="000000"/>
          <w:sz w:val="24"/>
          <w:szCs w:val="24"/>
        </w:rPr>
        <w:t xml:space="preserve">  </w:t>
      </w:r>
      <w:r>
        <w:rPr>
          <w:rFonts w:ascii="PT Astra Serif" w:hAnsi="PT Astra Serif" w:cs="Times New Roman"/>
          <w:b/>
          <w:bCs/>
          <w:color w:val="000000"/>
          <w:sz w:val="24"/>
          <w:szCs w:val="24"/>
        </w:rPr>
        <w:t xml:space="preserve">из</w:t>
      </w:r>
      <w:r>
        <w:rPr>
          <w:rFonts w:ascii="PT Astra Serif" w:hAnsi="PT Astra Serif" w:cs="Times New Roman"/>
          <w:b/>
          <w:bCs/>
          <w:color w:val="000000"/>
          <w:sz w:val="24"/>
          <w:szCs w:val="24"/>
        </w:rPr>
        <w:t xml:space="preserve"> </w:t>
      </w:r>
      <w:r>
        <w:rPr>
          <w:rFonts w:ascii="PT Astra Serif" w:hAnsi="PT Astra Serif" w:cs="Times New Roman"/>
          <w:b/>
          <w:bCs/>
          <w:color w:val="000000"/>
          <w:sz w:val="24"/>
          <w:szCs w:val="24"/>
        </w:rPr>
        <w:t xml:space="preserve">расчета:</w:t>
      </w:r>
      <w:r>
        <w:rPr>
          <w:rFonts w:ascii="PT Astra Serif" w:hAnsi="PT Astra Serif" w:cs="Times New Roman"/>
          <w:b/>
          <w:bCs/>
          <w:color w:val="000000"/>
          <w:sz w:val="24"/>
          <w:szCs w:val="24"/>
          <w:highlight w:val="none"/>
        </w:rPr>
      </w:r>
    </w:p>
    <w:p>
      <w:pPr>
        <w:ind w:left="540"/>
        <w:jc w:val="both"/>
        <w:keepNext/>
        <w:tabs>
          <w:tab w:val="left" w:pos="15026" w:leader="none"/>
        </w:tabs>
        <w:rPr>
          <w:rFonts w:ascii="PT Astra Serif" w:hAnsi="PT Astra Serif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PT Astra Serif" w:hAnsi="PT Astra Serif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PT Astra Serif" w:hAnsi="PT Astra Serif" w:cs="Times New Roman"/>
          <w:b/>
          <w:bCs/>
          <w:color w:val="000000"/>
          <w:sz w:val="24"/>
          <w:szCs w:val="24"/>
          <w:highlight w:val="none"/>
        </w:rPr>
      </w:r>
    </w:p>
    <w:tbl>
      <w:tblPr>
        <w:tblW w:w="15308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947"/>
        <w:gridCol w:w="1982"/>
        <w:gridCol w:w="1183"/>
        <w:gridCol w:w="1818"/>
        <w:gridCol w:w="1069"/>
        <w:gridCol w:w="1481"/>
        <w:gridCol w:w="1628"/>
        <w:gridCol w:w="1030"/>
        <w:gridCol w:w="715"/>
        <w:gridCol w:w="757"/>
        <w:gridCol w:w="715"/>
        <w:gridCol w:w="782"/>
        <w:gridCol w:w="1201"/>
      </w:tblGrid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Марка ТС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Государственный регистрационный знак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Категория ТС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(VIN)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Мощность (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л.с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.)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Дата окончания страховки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Территория использования ТС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Базовая ставка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Кбм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Кт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Км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2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Ко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Страховая премия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</w:tr>
      <w:tr>
        <w:tblPrEx/>
        <w:trPr>
          <w:trHeight w:val="482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LADA 217030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У682РО163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XTA217030E0462607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97,9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28.10.2026 г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Самарская область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bottom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1967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5" w:type="dxa"/>
            <w:vAlign w:val="bottom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0,5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Align w:val="bottom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1,48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5" w:type="dxa"/>
            <w:vAlign w:val="bottom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2" w:type="dxa"/>
            <w:vAlign w:val="bottom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1,97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3 154,24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keepNext/>
        <w:rPr>
          <w:rFonts w:ascii="PT Astra Serif" w:hAnsi="PT Astra Serif" w:cs="Times New Roman"/>
          <w:b/>
          <w:bCs/>
          <w:color w:val="000000"/>
          <w:sz w:val="24"/>
          <w:szCs w:val="24"/>
        </w:rPr>
      </w:pPr>
      <w:r>
        <w:rPr>
          <w:rFonts w:ascii="PT Astra Serif" w:hAnsi="PT Astra Serif" w:cs="Times New Roman"/>
          <w:b/>
          <w:bCs/>
          <w:color w:val="000000"/>
          <w:sz w:val="24"/>
          <w:szCs w:val="24"/>
        </w:rPr>
      </w:r>
      <w:r>
        <w:rPr>
          <w:rFonts w:ascii="PT Astra Serif" w:hAnsi="PT Astra Serif" w:cs="Times New Roman"/>
          <w:b/>
          <w:bCs/>
          <w:color w:val="000000"/>
          <w:sz w:val="24"/>
          <w:szCs w:val="24"/>
        </w:rPr>
      </w:r>
    </w:p>
    <w:sectPr>
      <w:footnotePr/>
      <w:endnotePr/>
      <w:type w:val="nextPage"/>
      <w:pgSz w:w="16838" w:h="11906" w:orient="landscape"/>
      <w:pgMar w:top="850" w:right="678" w:bottom="1701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0" w:line="240" w:lineRule="auto"/>
      <w:widowControl w:val="off"/>
    </w:pPr>
    <w:rPr>
      <w:rFonts w:ascii="Arial" w:hAnsi="Arial" w:eastAsia="Times New Roman" w:cs="Arial"/>
      <w:sz w:val="18"/>
      <w:szCs w:val="18"/>
      <w:lang w:eastAsia="ru-RU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character" w:styleId="621" w:customStyle="1">
    <w:name w:val="Font Style16"/>
    <w:rPr>
      <w:rFonts w:hint="default" w:ascii="Times New Roman" w:hAnsi="Times New Roman" w:cs="Times New Roman"/>
      <w:sz w:val="18"/>
      <w:szCs w:val="18"/>
    </w:rPr>
  </w:style>
  <w:style w:type="paragraph" w:styleId="622" w:customStyle="1">
    <w:name w:val="Абзац списка1"/>
    <w:basedOn w:val="617"/>
    <w:link w:val="623"/>
    <w:uiPriority w:val="34"/>
    <w:pPr>
      <w:ind w:left="720"/>
      <w:spacing w:after="200" w:line="276" w:lineRule="auto"/>
      <w:widowControl/>
    </w:pPr>
    <w:rPr>
      <w:rFonts w:ascii="Calibri" w:hAnsi="Calibri" w:cs="Calibri"/>
      <w:sz w:val="22"/>
      <w:szCs w:val="22"/>
      <w:lang w:eastAsia="en-US"/>
    </w:rPr>
  </w:style>
  <w:style w:type="character" w:styleId="623" w:customStyle="1">
    <w:name w:val="Абзац списка Знак"/>
    <w:link w:val="622"/>
    <w:uiPriority w:val="34"/>
    <w:qFormat/>
    <w:rPr>
      <w:rFonts w:ascii="Calibri" w:hAnsi="Calibri" w:eastAsia="Times New Roman" w:cs="Calibri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4E710-270B-418F-947C-4077447A1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plan6306</dc:creator>
  <cp:keywords/>
  <dc:description/>
  <cp:lastModifiedBy>aplan1</cp:lastModifiedBy>
  <cp:revision>32</cp:revision>
  <dcterms:created xsi:type="dcterms:W3CDTF">2022-12-06T12:21:00Z</dcterms:created>
  <dcterms:modified xsi:type="dcterms:W3CDTF">2026-08-04T11:24:16Z</dcterms:modified>
</cp:coreProperties>
</file>