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line="195" w:lineRule="atLeast"/>
      </w:pPr>
      <w:r>
        <w:t xml:space="preserve">ПРОЕКТ</w:t>
      </w:r>
      <w:r/>
    </w:p>
    <w:p>
      <w:pPr>
        <w:jc w:val="right"/>
        <w:spacing w:after="240"/>
        <w:tabs>
          <w:tab w:val="left" w:pos="5245" w:leader="none"/>
        </w:tabs>
        <w:outlineLvl w:val="0"/>
      </w:pPr>
      <w:r>
        <w:t xml:space="preserve">ИКЗ </w:t>
      </w:r>
      <w:r>
        <w:t xml:space="preserve">261631609884363160100100140000000000</w:t>
      </w:r>
      <w:r>
        <w:rPr>
          <w:color w:val="000000"/>
        </w:rPr>
        <w:t xml:space="preserve"> </w:t>
      </w:r>
      <w:r/>
    </w:p>
    <w:p>
      <w:pPr>
        <w:pStyle w:val="907"/>
        <w:spacing w:before="0" w:after="120"/>
        <w:tabs>
          <w:tab w:val="clear" w:pos="270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Государственный контракт №__</w:t>
      </w:r>
      <w:r>
        <w:rPr>
          <w:rFonts w:ascii="Times New Roman" w:hAnsi="Times New Roman"/>
          <w:sz w:val="24"/>
          <w:szCs w:val="24"/>
        </w:rPr>
      </w:r>
    </w:p>
    <w:p>
      <w:pPr>
        <w:pStyle w:val="909"/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на</w:t>
      </w:r>
      <w:r>
        <w:rPr>
          <w:sz w:val="24"/>
          <w:szCs w:val="24"/>
        </w:rPr>
        <w:t xml:space="preserve"> оказание услуг по обязательному страхованию гражданской ответственности владельцев транспортных средств</w:t>
      </w:r>
      <w:r>
        <w:rPr>
          <w:sz w:val="24"/>
          <w:szCs w:val="24"/>
        </w:rPr>
      </w:r>
    </w:p>
    <w:p>
      <w:pPr>
        <w:jc w:val="center"/>
      </w:pPr>
      <w:r>
        <w:t xml:space="preserve">г. Самара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 xml:space="preserve">   «</w:t>
      </w:r>
      <w:r>
        <w:t xml:space="preserve">___» _______ 2026 г.</w:t>
      </w:r>
      <w:r/>
    </w:p>
    <w:p>
      <w:pPr>
        <w:jc w:val="center"/>
      </w:pPr>
      <w:r/>
      <w:r/>
    </w:p>
    <w:p>
      <w:pPr>
        <w:ind w:firstLine="709"/>
        <w:jc w:val="both"/>
        <w:shd w:val="clear" w:color="auto" w:fill="ffffff"/>
        <w:tabs>
          <w:tab w:val="left" w:pos="0" w:leader="none"/>
        </w:tabs>
        <w:rPr>
          <w:spacing w:val="-1"/>
        </w:rPr>
      </w:pPr>
      <w:r>
        <w:rPr>
          <w:spacing w:val="-1"/>
        </w:rPr>
        <w:t xml:space="preserve">Управление Федеральной службы по надзору в сфере защиты прав потребителей и благополучия человека по Самарской области - Государственный заказчик,  </w:t>
      </w:r>
      <w:r>
        <w:rPr>
          <w:spacing w:val="-4"/>
        </w:rPr>
        <w:t xml:space="preserve">именуемое </w:t>
      </w:r>
      <w:r>
        <w:t xml:space="preserve">в </w:t>
      </w:r>
      <w:r>
        <w:rPr>
          <w:spacing w:val="-3"/>
        </w:rPr>
        <w:t xml:space="preserve">дальнейшем</w:t>
      </w:r>
      <w:r>
        <w:rPr>
          <w:spacing w:val="-1"/>
        </w:rPr>
        <w:t xml:space="preserve"> «Страхователь», в лице руководителя Архиповой </w:t>
      </w:r>
      <w:r>
        <w:t xml:space="preserve">Светланы Валерьевны</w:t>
      </w:r>
      <w:r>
        <w:rPr>
          <w:spacing w:val="-1"/>
        </w:rPr>
        <w:t xml:space="preserve">, действующего на ос</w:t>
      </w:r>
      <w:r>
        <w:rPr>
          <w:spacing w:val="-1"/>
        </w:rPr>
        <w:t xml:space="preserve">новании Положения, с одной стороны, и ___________________________________, именуемое(-</w:t>
      </w:r>
      <w:r>
        <w:rPr>
          <w:spacing w:val="-1"/>
        </w:rPr>
        <w:t xml:space="preserve">ый</w:t>
      </w:r>
      <w:r>
        <w:rPr>
          <w:spacing w:val="-1"/>
        </w:rPr>
        <w:t xml:space="preserve">) в дальнейшем «Страховщик», в лице ________________, действующего на основании ____________, с другой стороны, </w:t>
      </w:r>
      <w:r>
        <w:t xml:space="preserve">на основании п.4 ч.1 ст.93 Федерального закона от 5 апре</w:t>
      </w:r>
      <w:r>
        <w:t xml:space="preserve">ля 2013 года  № 44-ФЗ «О контрактной системе в сфере закупок товаров, работ, услуг для обеспечения государственных и муниципальных нужд» (далее - «Федеральный закон о контрактной системе»), заключили настоящий Государственный Контракт (далее - «Контракт») </w:t>
      </w:r>
      <w:r>
        <w:t xml:space="preserve">о нижеследующем:</w:t>
      </w:r>
      <w:r>
        <w:rPr>
          <w:spacing w:val="-1"/>
        </w:rPr>
      </w:r>
    </w:p>
    <w:p>
      <w:pPr>
        <w:jc w:val="both"/>
      </w:pPr>
      <w:r/>
      <w:r/>
    </w:p>
    <w:p>
      <w:pPr>
        <w:jc w:val="center"/>
        <w:widowControl w:val="off"/>
        <w:rPr>
          <w:b/>
          <w:bCs/>
        </w:rPr>
      </w:pPr>
      <w:r>
        <w:rPr>
          <w:b/>
          <w:bCs/>
        </w:rPr>
        <w:t xml:space="preserve">1. Предмет Контракта </w:t>
      </w:r>
      <w:r>
        <w:rPr>
          <w:b/>
          <w:bCs/>
        </w:rPr>
      </w:r>
    </w:p>
    <w:p>
      <w:pPr>
        <w:ind w:firstLine="709"/>
        <w:jc w:val="both"/>
      </w:pPr>
      <w:r>
        <w:t xml:space="preserve">1.1. Предметом настоящего Контракта является оказание услуг по обязательному страхованию гражданской ответственности владельцев транспортных средств (далее – Услуги), в соответствии с Техническим заданием (Приложение</w:t>
      </w:r>
      <w:r>
        <w:t xml:space="preserve"> №2 к настоящему Контракту) которое является неотъемлемой частью настоящего Контракта.</w:t>
      </w:r>
      <w:r/>
    </w:p>
    <w:p>
      <w:pPr>
        <w:ind w:firstLine="709"/>
        <w:jc w:val="both"/>
      </w:pPr>
      <w:r>
        <w:t xml:space="preserve">1.2.Страхователь обязуется принять и оплатить оказанные услуги в соответствии с условиями Контракта.</w:t>
      </w:r>
      <w:r/>
    </w:p>
    <w:p>
      <w:pPr>
        <w:ind w:firstLine="709"/>
        <w:jc w:val="both"/>
      </w:pPr>
      <w:r>
        <w:t xml:space="preserve">1.3. Срок оказания услуг: в течение 7 (семи) рабочих дней с даты зак</w:t>
      </w:r>
      <w:r>
        <w:t xml:space="preserve">лючения контракта.</w:t>
      </w:r>
      <w:r/>
    </w:p>
    <w:p>
      <w:pPr>
        <w:ind w:firstLine="709"/>
        <w:jc w:val="both"/>
        <w:rPr>
          <w:rFonts w:ascii="Arial" w:hAnsi="Arial" w:cs="Arial" w:eastAsiaTheme="minorHAnsi"/>
          <w:sz w:val="20"/>
          <w:szCs w:val="20"/>
          <w:lang w:eastAsia="en-US"/>
        </w:rPr>
      </w:pPr>
      <w:r>
        <w:t xml:space="preserve">1.4. КБК -  141 0909 0140390020 244.</w:t>
      </w:r>
      <w:r>
        <w:rPr>
          <w:rFonts w:ascii="Arial" w:hAnsi="Arial" w:cs="Arial" w:eastAsiaTheme="minorHAnsi"/>
          <w:sz w:val="20"/>
          <w:szCs w:val="20"/>
          <w:lang w:eastAsia="en-US"/>
        </w:rPr>
      </w:r>
    </w:p>
    <w:p>
      <w:pPr>
        <w:ind w:firstLine="709"/>
        <w:jc w:val="both"/>
      </w:pPr>
      <w:r/>
      <w:r/>
    </w:p>
    <w:p>
      <w:pPr>
        <w:jc w:val="center"/>
        <w:shd w:val="clear" w:color="auto" w:fill="ffffff"/>
        <w:widowControl w:val="off"/>
        <w:rPr>
          <w:b/>
          <w:bCs/>
        </w:rPr>
      </w:pPr>
      <w:r>
        <w:rPr>
          <w:b/>
          <w:bCs/>
        </w:rPr>
        <w:t xml:space="preserve">2. Цена Контракта и порядок расчетов </w:t>
      </w:r>
      <w:r>
        <w:rPr>
          <w:b/>
          <w:bCs/>
        </w:rPr>
      </w:r>
    </w:p>
    <w:p>
      <w:pPr>
        <w:ind w:firstLine="709"/>
        <w:jc w:val="both"/>
        <w:keepLines/>
      </w:pPr>
      <w:r>
        <w:rPr>
          <w:color w:val="000000"/>
        </w:rPr>
        <w:t xml:space="preserve">2.1. </w:t>
      </w:r>
      <w:r>
        <w:t xml:space="preserve">Максимальное значение цены Контракта составляет ________ (____________) руб.__ </w:t>
      </w:r>
      <w:r>
        <w:t xml:space="preserve">коп.,</w:t>
      </w:r>
      <w:r>
        <w:t xml:space="preserve"> </w:t>
      </w:r>
      <w:r>
        <w:rPr>
          <w:rFonts w:eastAsia="Calibri"/>
        </w:rPr>
        <w:t xml:space="preserve">НДС не облагается в соответствии с подпунктом 7 пункта 3 статьи 149 Нал</w:t>
      </w:r>
      <w:r>
        <w:rPr>
          <w:rFonts w:eastAsia="Calibri"/>
        </w:rPr>
        <w:t xml:space="preserve">огового кодекса Российской Федерации</w:t>
      </w:r>
      <w:r>
        <w:t xml:space="preserve"> (далее – Цена контракта).</w:t>
      </w:r>
      <w:r/>
    </w:p>
    <w:p>
      <w:pPr>
        <w:ind w:firstLine="709"/>
        <w:jc w:val="both"/>
      </w:pPr>
      <w:r>
        <w:t xml:space="preserve">2.2. Сумма, подлежащая уплате Страхователем Страховщику, уменьшается на размер </w:t>
      </w:r>
      <w:r>
        <w:t xml:space="preserve">налогов</w:t>
      </w:r>
      <w:r>
        <w:t xml:space="preserve">, сборов и иных обязательных платежей в бюджеты бюджетной системы Российской Федерации, связанных с оплатой</w:t>
      </w:r>
      <w:r>
        <w:t xml:space="preserve">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Страхователем.</w:t>
      </w:r>
      <w:r/>
    </w:p>
    <w:p>
      <w:pPr>
        <w:ind w:firstLine="709"/>
        <w:jc w:val="both"/>
      </w:pPr>
      <w:r>
        <w:t xml:space="preserve">2.3. Цена Контракта включает в себя </w:t>
      </w:r>
      <w:r>
        <w:t xml:space="preserve">стоимость оказания Услуг и расходы, связанные с уплатой налогов, сборов и других обязательных платежей, установленных законодательством Российской Федерации и подлежащие уплате в связи с выполнением Контракта.</w:t>
      </w:r>
      <w:r/>
    </w:p>
    <w:p>
      <w:pPr>
        <w:ind w:firstLine="709"/>
        <w:jc w:val="both"/>
      </w:pPr>
      <w:r>
        <w:t xml:space="preserve">2.4</w:t>
      </w:r>
      <w:r>
        <w:t xml:space="preserve">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14" w:tooltip="consultantplus://offline/ref=531F573D1CD9F53EEEF38295171AA358A2264FEF4B867AE580DCC87178C2B5B57B4ED50AB1664CB926920C86EBwDh2I" w:history="1">
        <w:r>
          <w:t xml:space="preserve">законом</w:t>
        </w:r>
      </w:hyperlink>
      <w:r>
        <w:t xml:space="preserve"> о контрактной системе и Контрактом.</w:t>
      </w:r>
      <w:r/>
    </w:p>
    <w:p>
      <w:pPr>
        <w:ind w:firstLine="709"/>
        <w:jc w:val="both"/>
      </w:pPr>
      <w:r/>
      <w:bookmarkStart w:id="0" w:name="Par48"/>
      <w:r/>
      <w:bookmarkEnd w:id="0"/>
      <w:r>
        <w:t xml:space="preserve">2.5. Источник финансирования Контракта – средства Федерального </w:t>
      </w:r>
      <w:r>
        <w:t xml:space="preserve">бюджета. </w:t>
      </w:r>
      <w:r/>
    </w:p>
    <w:p>
      <w:pPr>
        <w:ind w:firstLine="709"/>
        <w:jc w:val="both"/>
        <w:widowControl w:val="off"/>
      </w:pPr>
      <w:r>
        <w:t xml:space="preserve">2.6. Оплата по Контракту осуществляется по безналичному расчету платежными поручениями путем перечисления Страхователем денежных средств в валюте Российской Федерации (рубль) на расчетный счет Страховщика, указанный в Контракте по факту оказанных</w:t>
      </w:r>
      <w:r>
        <w:t xml:space="preserve"> Страховщиком и принятых Страхователем Услуг в течение 7 (семи) рабочих дней </w:t>
      </w:r>
      <w:r>
        <w:rPr>
          <w:spacing w:val="-1"/>
        </w:rPr>
        <w:t xml:space="preserve">со дня подписания Страхователем документов о приемке</w:t>
      </w:r>
      <w:r>
        <w:t xml:space="preserve">, в порядке, установленном разделом 4 настоящего Контракта. </w:t>
      </w:r>
      <w:r/>
    </w:p>
    <w:p>
      <w:pPr>
        <w:ind w:firstLine="567"/>
        <w:jc w:val="both"/>
        <w:widowControl w:val="off"/>
      </w:pPr>
      <w:r>
        <w:t xml:space="preserve">Днем оплаты считается день списания денежных средств с расчетного </w:t>
      </w:r>
      <w:r>
        <w:t xml:space="preserve">счета Страхователя. </w:t>
      </w:r>
      <w:r/>
    </w:p>
    <w:p>
      <w:pPr>
        <w:ind w:firstLine="567"/>
        <w:jc w:val="both"/>
        <w:widowControl w:val="off"/>
      </w:pPr>
      <w:r>
        <w:t xml:space="preserve">В случае изменения расчетного счета, Страховщик обязан в десятидневный срок с момента изменения расчетного счета в письменной форме сообщить об этом Страхователю, указав новые реквизиты расчетного счета. В противном случае все риски, с</w:t>
      </w:r>
      <w:r>
        <w:t xml:space="preserve">вязанные с перечислением Страхователем денежных средств на указанный в Контракте счет Страховщика, несет Страховщик.</w:t>
      </w:r>
      <w:r/>
    </w:p>
    <w:p>
      <w:pPr>
        <w:ind w:firstLine="708"/>
        <w:jc w:val="both"/>
        <w:widowControl w:val="off"/>
      </w:pPr>
      <w:r>
        <w:t xml:space="preserve">2.7. Выплата авансового платежа не предусмотрена.</w:t>
      </w:r>
      <w:r/>
    </w:p>
    <w:p>
      <w:pPr>
        <w:jc w:val="center"/>
        <w:widowControl w:val="off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center"/>
        <w:shd w:val="clear" w:color="auto" w:fill="ffffff"/>
        <w:widowControl w:val="off"/>
        <w:rPr>
          <w:b/>
          <w:bCs/>
        </w:rPr>
      </w:pPr>
      <w:r>
        <w:rPr>
          <w:b/>
          <w:bCs/>
        </w:rPr>
        <w:t xml:space="preserve">3. Страховая сумма. Страховая премия.</w:t>
      </w:r>
      <w:r>
        <w:rPr>
          <w:b/>
          <w:bCs/>
        </w:rPr>
      </w:r>
    </w:p>
    <w:p>
      <w:pPr>
        <w:ind w:firstLine="709"/>
        <w:jc w:val="both"/>
        <w:tabs>
          <w:tab w:val="left" w:pos="720" w:leader="none"/>
        </w:tabs>
      </w:pPr>
      <w:r>
        <w:tab/>
        <w:t xml:space="preserve">3.1. Расчет страховой премии на транспортное сред</w:t>
      </w:r>
      <w:r>
        <w:t xml:space="preserve">ство и суммарной страховой премии по настоящему Контракту осуществляется Страховщиком </w:t>
      </w:r>
      <w:r>
        <w:rPr>
          <w:color w:val="000000"/>
        </w:rPr>
        <w:t xml:space="preserve">в соответствии с Расчетом страховой премии (</w:t>
      </w:r>
      <w:r>
        <w:t xml:space="preserve">Приложению №1 к настоящему Контракту), которое является неотъемлемой частью Контракта и в соответствии со страховыми тарифами </w:t>
      </w:r>
      <w:r>
        <w:t xml:space="preserve">по обязательному страхованию гражданской ответственности владельцев транспортных средств, их структуры и порядка применения страховщиками при определении страховой премии, утверждёнными Указанием Банка России от 9 октября 2025 г. № 7204-У «О страховых тари</w:t>
      </w:r>
      <w:r>
        <w:t xml:space="preserve">фах по обязательному страхованию гражданской ответственности владельцев транспортных средств».</w:t>
      </w:r>
      <w:r/>
    </w:p>
    <w:p>
      <w:pPr>
        <w:ind w:firstLine="709"/>
        <w:jc w:val="both"/>
        <w:keepLines/>
      </w:pPr>
      <w:r>
        <w:t xml:space="preserve">Размер страховой премии определяется по следующей формуле:</w:t>
      </w:r>
      <w:r/>
    </w:p>
    <w:p>
      <w:pPr>
        <w:ind w:firstLine="709"/>
        <w:jc w:val="both"/>
        <w:tabs>
          <w:tab w:val="num" w:pos="0" w:leader="none"/>
        </w:tabs>
        <w:rPr>
          <w:rFonts w:ascii="PT Astra Serif" w:hAnsi="PT Astra Serif" w:eastAsia="Calibri"/>
          <w:color w:val="000000"/>
          <w:lang w:eastAsia="en-US"/>
        </w:rPr>
        <w:outlineLvl w:val="0"/>
      </w:pPr>
      <w:r>
        <w:rPr>
          <w:rFonts w:ascii="PT Astra Serif" w:hAnsi="PT Astra Serif" w:eastAsia="Calibri"/>
          <w:b/>
          <w:color w:val="000000"/>
          <w:lang w:eastAsia="en-US"/>
        </w:rPr>
        <w:t xml:space="preserve">Т =</w:t>
      </w:r>
      <w:r>
        <w:rPr>
          <w:rFonts w:ascii="PT Astra Serif" w:hAnsi="PT Astra Serif" w:eastAsia="Calibri"/>
          <w:color w:val="000000"/>
          <w:lang w:eastAsia="en-US"/>
        </w:rPr>
        <w:t xml:space="preserve"> </w:t>
      </w:r>
      <w:r>
        <w:rPr>
          <w:rFonts w:ascii="PT Astra Serif" w:hAnsi="PT Astra Serif" w:eastAsia="Calibri" w:cs="PT Astra Serif"/>
          <w:b/>
          <w:bCs/>
          <w:color w:val="000000"/>
          <w:lang w:eastAsia="en-US"/>
        </w:rPr>
        <w:t xml:space="preserve">ТБ × КТ ×КБМ × КВС × КО × КМ × КС</w:t>
      </w:r>
      <w:r>
        <w:rPr>
          <w:rFonts w:ascii="PT Astra Serif" w:hAnsi="PT Astra Serif" w:eastAsia="Calibri"/>
          <w:color w:val="000000"/>
          <w:lang w:eastAsia="en-US"/>
        </w:rPr>
        <w:t xml:space="preserve"> </w:t>
      </w:r>
      <w:r>
        <w:rPr>
          <w:rFonts w:ascii="PT Astra Serif" w:hAnsi="PT Astra Serif" w:eastAsia="Calibri"/>
          <w:color w:val="000000"/>
          <w:lang w:eastAsia="en-US"/>
        </w:rPr>
      </w:r>
    </w:p>
    <w:p>
      <w:pPr>
        <w:ind w:firstLine="709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Где:</w:t>
      </w:r>
      <w:r>
        <w:rPr>
          <w:rFonts w:ascii="PT Astra Serif" w:hAnsi="PT Astra Serif"/>
          <w:bCs/>
          <w:color w:val="000000"/>
        </w:rPr>
      </w:r>
    </w:p>
    <w:p>
      <w:pPr>
        <w:ind w:firstLine="709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Т – размер страховой премии, подлежащей уплате; </w:t>
      </w:r>
      <w:r>
        <w:rPr>
          <w:rFonts w:ascii="PT Astra Serif" w:hAnsi="PT Astra Serif"/>
          <w:bCs/>
          <w:color w:val="000000"/>
        </w:rPr>
      </w:r>
    </w:p>
    <w:p>
      <w:pPr>
        <w:ind w:firstLine="709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ТБ - базо</w:t>
      </w:r>
      <w:r>
        <w:rPr>
          <w:rFonts w:ascii="PT Astra Serif" w:hAnsi="PT Astra Serif"/>
          <w:bCs/>
          <w:color w:val="000000"/>
        </w:rPr>
        <w:t xml:space="preserve">вая ставка страхового тарифа;</w:t>
      </w:r>
      <w:r>
        <w:rPr>
          <w:rFonts w:ascii="PT Astra Serif" w:hAnsi="PT Astra Serif"/>
          <w:bCs/>
          <w:color w:val="000000"/>
        </w:rPr>
      </w:r>
    </w:p>
    <w:p>
      <w:pPr>
        <w:ind w:firstLine="709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ascii="PT Astra Serif" w:hAnsi="PT Astra Serif"/>
          <w:bCs/>
          <w:color w:val="000000"/>
        </w:rPr>
        <w:t xml:space="preserve">КТ - коэффициент страховых тарифов в зависимости от территории преимущественного использования транспортного средства;</w:t>
      </w:r>
      <w:r>
        <w:rPr>
          <w:rFonts w:eastAsiaTheme="minorHAnsi"/>
          <w:sz w:val="20"/>
          <w:szCs w:val="20"/>
          <w:lang w:eastAsia="en-US"/>
        </w:rPr>
      </w:r>
    </w:p>
    <w:p>
      <w:pPr>
        <w:ind w:firstLine="709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КБМ</w:t>
      </w:r>
      <w:r>
        <w:rPr>
          <w:rFonts w:ascii="PT Astra Serif" w:hAnsi="PT Astra Serif"/>
          <w:bCs/>
          <w:color w:val="000000"/>
        </w:rPr>
        <w:t xml:space="preserve"> – коэффициент страховых тарифов в зависимости от количества произведенных страховщиками страховых возмещений в предшествующие периоды, </w:t>
      </w:r>
      <w:r>
        <w:rPr>
          <w:rFonts w:ascii="PT Astra Serif" w:hAnsi="PT Astra Serif"/>
          <w:bCs/>
          <w:color w:val="000000"/>
        </w:rPr>
      </w:r>
    </w:p>
    <w:p>
      <w:pPr>
        <w:ind w:firstLine="709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КВС - коэффициент страховых тарифов в зависимости от характеристик (навыков) допущенных к управлению транспортным средс</w:t>
      </w:r>
      <w:r>
        <w:rPr>
          <w:rFonts w:ascii="PT Astra Serif" w:hAnsi="PT Astra Serif"/>
          <w:bCs/>
          <w:color w:val="000000"/>
        </w:rPr>
        <w:t xml:space="preserve">твом водителей (стажа управления транспортными средствами, соответствующими по категории транспортному средству, в отношении которого заключается договор обязательного страхования, возраста водителя) (КВС=1);</w:t>
      </w:r>
      <w:r>
        <w:rPr>
          <w:rFonts w:ascii="PT Astra Serif" w:hAnsi="PT Astra Serif"/>
          <w:bCs/>
          <w:color w:val="000000"/>
        </w:rPr>
      </w:r>
    </w:p>
    <w:p>
      <w:pPr>
        <w:ind w:firstLine="709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КО – коэффициент страховых тарифов в зависимости от отсутствия условия, предусматривающего управление транспортным средством только указанными страхователем водителями;</w:t>
      </w:r>
      <w:r>
        <w:rPr>
          <w:rFonts w:ascii="PT Astra Serif" w:hAnsi="PT Astra Serif"/>
          <w:bCs/>
          <w:color w:val="000000"/>
        </w:rPr>
      </w:r>
    </w:p>
    <w:p>
      <w:pPr>
        <w:ind w:firstLine="709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КМ – коэффициент страховых тарифов в зависимости от технических характеристик (мощности</w:t>
      </w:r>
      <w:r>
        <w:rPr>
          <w:rFonts w:ascii="PT Astra Serif" w:hAnsi="PT Astra Serif"/>
          <w:bCs/>
          <w:color w:val="000000"/>
        </w:rPr>
        <w:t xml:space="preserve"> двигателя) транспортного средства;</w:t>
      </w:r>
      <w:r>
        <w:rPr>
          <w:rFonts w:ascii="PT Astra Serif" w:hAnsi="PT Astra Serif"/>
          <w:bCs/>
          <w:color w:val="000000"/>
        </w:rPr>
      </w:r>
    </w:p>
    <w:p>
      <w:pPr>
        <w:ind w:firstLine="709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КС – коэффициент страховых тарифов в зависимости от сезонного и иного временного использования транспортного средства (КС=1).</w:t>
      </w:r>
      <w:r>
        <w:rPr>
          <w:rFonts w:ascii="PT Astra Serif" w:hAnsi="PT Astra Serif"/>
          <w:bCs/>
          <w:color w:val="000000"/>
        </w:rPr>
      </w:r>
    </w:p>
    <w:p>
      <w:pPr>
        <w:ind w:firstLine="709"/>
        <w:jc w:val="both"/>
      </w:pPr>
      <w:r>
        <w:t xml:space="preserve">Страховая премия, определённая с использованием настоящей формулы, не может превышать максимал</w:t>
      </w:r>
      <w:r>
        <w:t xml:space="preserve">ьное значение цены контракта.</w:t>
      </w:r>
      <w:r/>
    </w:p>
    <w:p>
      <w:pPr>
        <w:ind w:firstLine="709"/>
        <w:jc w:val="both"/>
      </w:pPr>
      <w:r>
        <w:t xml:space="preserve">Изменение страховых тарифов в течение срока действия контракта обязательного страхования не влечет за собой изменение страховой премии, оплаченной страхователем по действовавшим на момент уплаты страховым тарифам. </w:t>
      </w:r>
      <w:r/>
    </w:p>
    <w:p>
      <w:pPr>
        <w:ind w:firstLine="709"/>
        <w:jc w:val="both"/>
      </w:pPr>
      <w:r>
        <w:rPr>
          <w:bCs/>
        </w:rPr>
        <w:t xml:space="preserve">3.2. Размер</w:t>
      </w:r>
      <w:r>
        <w:rPr>
          <w:bCs/>
        </w:rPr>
        <w:t xml:space="preserve"> страховой суммы, в пределах которой Страховщик при наступлении каждого страхового случая (независимо от их числа в течение срока действия Контракта) обязуется возместить потерпевшим причиненный вред, устанавливается </w:t>
      </w:r>
      <w:r>
        <w:t xml:space="preserve">Федеральны</w:t>
      </w:r>
      <w:r>
        <w:rPr>
          <w:bCs/>
        </w:rPr>
        <w:t xml:space="preserve">м</w:t>
      </w:r>
      <w:r>
        <w:t xml:space="preserve"> закон</w:t>
      </w:r>
      <w:r>
        <w:rPr>
          <w:bCs/>
        </w:rPr>
        <w:t xml:space="preserve">ом</w:t>
      </w:r>
      <w:r>
        <w:t xml:space="preserve"> от 25.04.2002 </w:t>
      </w:r>
      <w:r>
        <w:rPr>
          <w:bCs/>
        </w:rPr>
        <w:t xml:space="preserve">№</w:t>
      </w:r>
      <w:r>
        <w:t xml:space="preserve"> 40-</w:t>
      </w:r>
      <w:r>
        <w:t xml:space="preserve">ФЗ «Об обязательном страховании гражданской ответственности владельцев транспортных средств».</w:t>
      </w:r>
      <w:r/>
    </w:p>
    <w:p>
      <w:pPr>
        <w:ind w:firstLine="567"/>
        <w:jc w:val="center"/>
        <w:rPr>
          <w:b/>
          <w:bCs/>
          <w:caps/>
        </w:rPr>
      </w:pPr>
      <w:r>
        <w:rPr>
          <w:b/>
          <w:bCs/>
          <w:caps/>
        </w:rPr>
      </w:r>
      <w:r>
        <w:rPr>
          <w:b/>
          <w:bCs/>
          <w:caps/>
        </w:rPr>
      </w:r>
    </w:p>
    <w:p>
      <w:pPr>
        <w:ind w:firstLine="567"/>
        <w:jc w:val="center"/>
        <w:rPr>
          <w:b/>
        </w:rPr>
      </w:pPr>
      <w:r>
        <w:rPr>
          <w:b/>
          <w:bCs/>
          <w:caps/>
        </w:rPr>
        <w:t xml:space="preserve">4. </w:t>
      </w:r>
      <w:r>
        <w:rPr>
          <w:b/>
        </w:rPr>
        <w:t xml:space="preserve">Порядок, сроки, условия оказания услуги и приемки оказанной услуги</w:t>
      </w:r>
      <w:r>
        <w:rPr>
          <w:b/>
        </w:rPr>
      </w:r>
    </w:p>
    <w:p>
      <w:pPr>
        <w:ind w:firstLine="709"/>
        <w:jc w:val="both"/>
      </w:pPr>
      <w:r>
        <w:t xml:space="preserve">4.1. Порядок, сроки и условия оказываемых Услуг определяются и оказываются Страховщиком в с</w:t>
      </w:r>
      <w:r>
        <w:t xml:space="preserve">оответствии с условиями настоящего Контракта и с Техническим заданием (Приложение №2 к настоящему Контракту).</w:t>
      </w:r>
      <w:r/>
    </w:p>
    <w:p>
      <w:pPr>
        <w:ind w:firstLine="709"/>
        <w:jc w:val="both"/>
        <w:widowControl w:val="off"/>
      </w:pPr>
      <w:r>
        <w:t xml:space="preserve">4.2. В течение 2 (двух) рабочих дней с даты заключения контракта Страхователь предоставляет Страховщику информацию и документы, необходимые для ок</w:t>
      </w:r>
      <w:r>
        <w:t xml:space="preserve">азания услуги.</w:t>
      </w:r>
      <w:r/>
    </w:p>
    <w:p>
      <w:pPr>
        <w:ind w:firstLine="709"/>
        <w:jc w:val="both"/>
        <w:widowControl w:val="off"/>
        <w:rPr>
          <w:bCs/>
          <w:i/>
        </w:rPr>
      </w:pPr>
      <w:r>
        <w:t xml:space="preserve">В течение 5 (пяти) рабочих дней после предоставления страхователем письменного заявления в отношении транспортного средства (далее – Заявление на страхование) на обязательное страхование гражданской ответственности по установленной форме и с</w:t>
      </w:r>
      <w:r>
        <w:t xml:space="preserve">ведений о транспортном средстве, Страховщик осуществляет расчет и выдачу страхового полиса, который является документом, удостоверяющим осуществление обязательного страхования, оформляемый страховщиком по форме, установленной в Положении Банка России от 1 апреля </w:t>
      </w:r>
      <w:r>
        <w:t xml:space="preserve">2024 г. N 837-П «О правилах обязательного страхования гражданской ответственности владельцев транспортных средств». </w:t>
      </w:r>
      <w:r>
        <w:rPr>
          <w:bCs/>
          <w:i/>
        </w:rPr>
      </w:r>
    </w:p>
    <w:p>
      <w:pPr>
        <w:ind w:firstLine="709"/>
        <w:jc w:val="both"/>
        <w:outlineLvl w:val="0"/>
      </w:pPr>
      <w:r>
        <w:t xml:space="preserve">4.3. Страховщик не позднее 5 (пяти) рабочих дней по факту окончания оказания Услуг (выдачи полиса ОСАГО) обязан предоставить Страхователю д</w:t>
      </w:r>
      <w:r>
        <w:t xml:space="preserve">окументы о приемке: </w:t>
      </w:r>
      <w:r>
        <w:t xml:space="preserve">счет (счет-фактуру), акт оказанных услуг (УПД))</w:t>
      </w:r>
      <w:r>
        <w:t xml:space="preserve">. К документу о приемке могут прилагаться документы, которые считаются его неотъемлемой частью. </w:t>
      </w:r>
      <w:r/>
    </w:p>
    <w:p>
      <w:pPr>
        <w:ind w:right="-1" w:firstLine="709"/>
        <w:jc w:val="both"/>
      </w:pPr>
      <w:r>
        <w:rPr>
          <w:rFonts w:eastAsia="Calibri"/>
        </w:rPr>
        <w:t xml:space="preserve">4.4. </w:t>
      </w:r>
      <w:r>
        <w:t xml:space="preserve">Страхователь в срок не более 15 (пятнадцати) рабочих дней с момента поступления Докумен</w:t>
      </w:r>
      <w:r>
        <w:t xml:space="preserve">та о приемке проводит экспертизу результатов оказанных Услуг, в части их соответствия условиям настоящего Контракта. Результатом экспертизы являются подписанные документы о приемке.</w:t>
      </w:r>
      <w:r/>
    </w:p>
    <w:p>
      <w:pPr>
        <w:ind w:firstLine="709"/>
        <w:jc w:val="both"/>
      </w:pPr>
      <w:r>
        <w:rPr>
          <w:rFonts w:eastAsia="Calibri"/>
        </w:rPr>
        <w:t xml:space="preserve">4.5. </w:t>
      </w:r>
      <w:r>
        <w:t xml:space="preserve">В случае отсутствия оснований, препятствующих приемке оказанных услуг</w:t>
      </w:r>
      <w:r>
        <w:t xml:space="preserve">, либо замечаний к сведениям, содержащимся в документах о приемке, и/или к содержанию (оформлению) приложенных к документу о приемке, документам, которые считаются его неотъемлемой частью, Страхователь в течение 5 (пяти) рабочих дней после проведения экспе</w:t>
      </w:r>
      <w:r>
        <w:t xml:space="preserve">ртизы подписывает документ о приемке.</w:t>
      </w:r>
      <w:r/>
    </w:p>
    <w:p>
      <w:pPr>
        <w:ind w:firstLine="709"/>
        <w:jc w:val="both"/>
      </w:pPr>
      <w:r>
        <w:t xml:space="preserve">При наличии замечаний, претензий к оказанной услуге или неполучения Страхователем каких-либо из перечисленных в настоящем Контракте документов или предоставления документов, оформленных с нарушением законодательства Ро</w:t>
      </w:r>
      <w:r>
        <w:t xml:space="preserve">ссийской Федерации и условий настоящего Контракта, Страхователь в течение 5 (пяти) рабочих дней с момента завершения проведения экспертизы направляет Страховщику мотивированный отказ от подписания документа о приемке с указанием причин такого отказа.</w:t>
      </w:r>
      <w:r/>
    </w:p>
    <w:p>
      <w:pPr>
        <w:ind w:firstLine="709"/>
        <w:jc w:val="both"/>
      </w:pPr>
      <w:r>
        <w:t xml:space="preserve">В слу</w:t>
      </w:r>
      <w:r>
        <w:t xml:space="preserve">чае получения мотивированного отказа от подписания документа о приемке, Страховщик вправе устранить причины, указанные в таком мотивированном отказе, и направить Страхователю документ о приемке в порядке, предусмотренном настоящим Контрактом.</w:t>
      </w:r>
      <w:r/>
    </w:p>
    <w:p>
      <w:pPr>
        <w:ind w:firstLine="709"/>
        <w:jc w:val="both"/>
      </w:pPr>
      <w:r>
        <w:t xml:space="preserve">Замечания и п</w:t>
      </w:r>
      <w:r>
        <w:t xml:space="preserve">ретензии устраняются Страховщиком за свой счет, если они не выходят за пределы условий настоящего Контракта.</w:t>
      </w:r>
      <w:r/>
    </w:p>
    <w:p>
      <w:pPr>
        <w:ind w:firstLine="709"/>
        <w:jc w:val="both"/>
      </w:pPr>
      <w:r>
        <w:t xml:space="preserve">4.6. Страхователь вправе не отказывать в приемке результатов оказанных Услуг в случае выявления несоответствия этих результатов условиям настоящего</w:t>
      </w:r>
      <w:r>
        <w:t xml:space="preserve"> Контракта, если выявленное несоответствие не препятствует приемке этих результатов и устранено Страховщиком.</w:t>
      </w:r>
      <w:r/>
    </w:p>
    <w:p>
      <w:pPr>
        <w:ind w:firstLine="709"/>
        <w:jc w:val="both"/>
      </w:pPr>
      <w:r>
        <w:t xml:space="preserve">4.7. Ответственными со стороны Страхователя за оформление документов о приемке назначены Перминова Н.В., Терехова Е.В. (тел. 8 (846) 310-21-97) ил</w:t>
      </w:r>
      <w:r>
        <w:t xml:space="preserve">и иное уполномоченное лицо Страхователя; за приемку оказанных Услуг, за подписание документа о приемке - Жиганов С.В., (тел. 8(846)267-42-99) или иное уполномоченное лицо Страхователя.</w:t>
      </w:r>
      <w:r/>
    </w:p>
    <w:p>
      <w:pPr>
        <w:ind w:firstLine="709"/>
        <w:jc w:val="both"/>
      </w:pPr>
      <w:r>
        <w:t xml:space="preserve">4.8. В случае согласия сторон, формирование и подписание документов, пр</w:t>
      </w:r>
      <w:r>
        <w:t xml:space="preserve">едставленных в качестве первичных учетных документов, подтверждающих результат оказания услуг (документ о приемке), в том числе корректировочных документов к ним, возможно с использованием электронного документооборота в единой информационной системе в сфе</w:t>
      </w:r>
      <w:r>
        <w:t xml:space="preserve">ре закупок, подписанных усиленной квалифицированной электронной подписью.</w:t>
      </w:r>
      <w:r/>
    </w:p>
    <w:p>
      <w:pPr>
        <w:ind w:firstLine="709"/>
        <w:jc w:val="both"/>
      </w:pPr>
      <w:r>
        <w:t xml:space="preserve">При Электронной приемке приемка Страхователем оказанных услуг осуществляется на основании документа о приемке, в порядке и сроки, определенные настоящим разделом и в соответствии с Ф</w:t>
      </w:r>
      <w:r>
        <w:t xml:space="preserve">едеральным законом о контрактной системе.</w:t>
      </w:r>
      <w:r/>
    </w:p>
    <w:p>
      <w:pPr>
        <w:ind w:firstLine="709"/>
        <w:jc w:val="both"/>
      </w:pPr>
      <w:r>
        <w:t xml:space="preserve">Документы о приемке оказанных услуг, полученные Сторонами друг от друга с использованием ЕИС, не требуют дублирования документами, оформленными на бумажных носителях, принимаются к учету Сторонами в качестве первичных учетных документов и применяются при в</w:t>
      </w:r>
      <w:r>
        <w:t xml:space="preserve">озникновении претензий и судебных споров.</w:t>
      </w:r>
      <w:r/>
    </w:p>
    <w:p>
      <w:pPr>
        <w:ind w:firstLine="567"/>
        <w:jc w:val="both"/>
        <w:rPr>
          <w:caps/>
        </w:rPr>
      </w:pPr>
      <w:r>
        <w:rPr>
          <w:caps/>
        </w:rPr>
      </w:r>
      <w:r>
        <w:rPr>
          <w:caps/>
        </w:rPr>
      </w:r>
    </w:p>
    <w:p>
      <w:pPr>
        <w:jc w:val="center"/>
        <w:widowControl w:val="off"/>
        <w:rPr>
          <w:b/>
          <w:bCs/>
        </w:rPr>
      </w:pPr>
      <w:r>
        <w:rPr>
          <w:b/>
          <w:bCs/>
        </w:rPr>
        <w:t xml:space="preserve">5. Взаимодействие сторон</w:t>
      </w:r>
      <w:r>
        <w:rPr>
          <w:b/>
          <w:bCs/>
        </w:rPr>
      </w:r>
    </w:p>
    <w:p>
      <w:pPr>
        <w:ind w:firstLine="708"/>
        <w:jc w:val="both"/>
        <w:widowControl w:val="off"/>
        <w:rPr>
          <w:b/>
          <w:iCs/>
        </w:rPr>
      </w:pPr>
      <w:r>
        <w:rPr>
          <w:b/>
          <w:iCs/>
        </w:rPr>
        <w:t xml:space="preserve">5.1. Страховщик вправе:</w:t>
      </w:r>
      <w:r>
        <w:rPr>
          <w:b/>
          <w:iCs/>
        </w:rPr>
      </w:r>
    </w:p>
    <w:p>
      <w:pPr>
        <w:ind w:firstLine="708"/>
        <w:jc w:val="both"/>
        <w:widowControl w:val="off"/>
        <w:rPr>
          <w:color w:val="000000"/>
        </w:rPr>
      </w:pPr>
      <w:r>
        <w:rPr>
          <w:iCs/>
        </w:rPr>
        <w:t xml:space="preserve">5.1.1</w:t>
      </w:r>
      <w:r>
        <w:rPr>
          <w:iCs/>
        </w:rPr>
        <w:t xml:space="preserve">. </w:t>
      </w:r>
      <w:r>
        <w:rPr>
          <w:color w:val="000000"/>
        </w:rPr>
        <w:t xml:space="preserve">требовать</w:t>
      </w:r>
      <w:r>
        <w:rPr>
          <w:color w:val="000000"/>
        </w:rPr>
        <w:t xml:space="preserve"> от Страхователя произвести приемку оказанных Услуг в порядке и в сроки, предусмотренные Контрактом;</w:t>
      </w:r>
      <w:r>
        <w:rPr>
          <w:color w:val="000000"/>
        </w:rPr>
      </w:r>
    </w:p>
    <w:p>
      <w:pPr>
        <w:ind w:firstLine="708"/>
        <w:jc w:val="both"/>
        <w:widowControl w:val="off"/>
        <w:rPr>
          <w:color w:val="000000"/>
        </w:rPr>
      </w:pPr>
      <w:r>
        <w:rPr>
          <w:color w:val="000000"/>
        </w:rPr>
        <w:t xml:space="preserve">5.1.2</w:t>
      </w:r>
      <w:r>
        <w:rPr>
          <w:color w:val="000000"/>
        </w:rPr>
        <w:t xml:space="preserve">. </w:t>
      </w:r>
      <w:r>
        <w:rPr>
          <w:color w:val="000000"/>
        </w:rPr>
        <w:t xml:space="preserve">требовать</w:t>
      </w:r>
      <w:r>
        <w:rPr>
          <w:color w:val="000000"/>
        </w:rPr>
        <w:t xml:space="preserve"> своевременной оплаты на условиях, установленных Контрактом, надлежащим образом оказанных Услуг;</w:t>
      </w:r>
      <w:r>
        <w:rPr>
          <w:color w:val="000000"/>
        </w:rPr>
      </w:r>
    </w:p>
    <w:p>
      <w:pPr>
        <w:ind w:firstLine="708"/>
        <w:jc w:val="both"/>
        <w:rPr>
          <w:color w:val="000000"/>
        </w:rPr>
      </w:pPr>
      <w:r>
        <w:t xml:space="preserve">5.1.3</w:t>
      </w:r>
      <w:r>
        <w:t xml:space="preserve">. принять</w:t>
      </w:r>
      <w:r>
        <w:t xml:space="preserve"> решение об одностороннем отказе от исполнения Контракта по основаниям, предусмотренным Гражданским кодексом Российской Федерации для од</w:t>
      </w:r>
      <w:r>
        <w:t xml:space="preserve">ностороннего отказа от исполнения отдельных видов обязательств, в порядке, установленном Федеральным законом о контрактной системе; </w:t>
      </w:r>
      <w:r>
        <w:rPr>
          <w:color w:val="000000"/>
        </w:rPr>
      </w:r>
    </w:p>
    <w:p>
      <w:pPr>
        <w:ind w:firstLine="708"/>
        <w:jc w:val="both"/>
      </w:pPr>
      <w:r>
        <w:t xml:space="preserve">5.1.4</w:t>
      </w:r>
      <w:r>
        <w:t xml:space="preserve">. требовать</w:t>
      </w:r>
      <w:r>
        <w:t xml:space="preserve"> возмещения убытков, уплаты неустоек (штрафов, пеней) в соответствии с разделом 6 Контракта;</w:t>
      </w:r>
      <w:r/>
    </w:p>
    <w:p>
      <w:pPr>
        <w:ind w:firstLine="708"/>
        <w:jc w:val="both"/>
      </w:pPr>
      <w:r>
        <w:t xml:space="preserve">5.1.5</w:t>
      </w:r>
      <w:r>
        <w:t xml:space="preserve">. требова</w:t>
      </w:r>
      <w:r>
        <w:t xml:space="preserve">ть</w:t>
      </w:r>
      <w:r>
        <w:t xml:space="preserve"> от Страхователя предоставления информации, необходимой для оказания Услуг;  </w:t>
      </w:r>
      <w:r/>
    </w:p>
    <w:p>
      <w:pPr>
        <w:ind w:firstLine="708"/>
        <w:jc w:val="both"/>
        <w:widowControl w:val="off"/>
      </w:pPr>
      <w:r>
        <w:t xml:space="preserve">5.1.6. Прочие права и обязанности сторон определены Федеральным Законом «Об обязательном страховании гражданской ответственности владельцев транспортных средств» от 25 апреля 2</w:t>
      </w:r>
      <w:r>
        <w:t xml:space="preserve">002 года № 40-ФЗ, Положением Банка России от 1 апреля 2024 г. N 837-П «О правилах обязательного страхования гражданской ответственности владельцев транспортных средств» и другими действующими нормативными актами.</w:t>
      </w:r>
      <w:r/>
    </w:p>
    <w:p>
      <w:pPr>
        <w:ind w:firstLine="708"/>
        <w:jc w:val="both"/>
        <w:widowControl w:val="off"/>
        <w:rPr>
          <w:b/>
          <w:iCs/>
        </w:rPr>
      </w:pPr>
      <w:r>
        <w:rPr>
          <w:b/>
          <w:iCs/>
        </w:rPr>
        <w:t xml:space="preserve">5.2. Страховщик обязан:</w:t>
      </w:r>
      <w:r>
        <w:rPr>
          <w:b/>
          <w:iCs/>
        </w:rPr>
      </w:r>
    </w:p>
    <w:p>
      <w:pPr>
        <w:ind w:firstLine="708"/>
        <w:jc w:val="both"/>
        <w:widowControl w:val="off"/>
      </w:pPr>
      <w:r>
        <w:t xml:space="preserve">5.2.1</w:t>
      </w:r>
      <w:r>
        <w:t xml:space="preserve">. оказать</w:t>
      </w:r>
      <w:r>
        <w:t xml:space="preserve"> Услуги в по</w:t>
      </w:r>
      <w:r>
        <w:t xml:space="preserve">рядке, объеме, в срок и на условиях, предусмотренных Контрактом и техническим заданием;</w:t>
      </w:r>
      <w:r/>
    </w:p>
    <w:p>
      <w:pPr>
        <w:ind w:firstLine="708"/>
        <w:jc w:val="both"/>
        <w:widowControl w:val="off"/>
      </w:pPr>
      <w:r>
        <w:t xml:space="preserve">5.2.2</w:t>
      </w:r>
      <w:r>
        <w:t xml:space="preserve">. в</w:t>
      </w:r>
      <w:r>
        <w:t xml:space="preserve"> течение 1 (одного) рабочего дня с даты заключения настоящего Контракта предоставить Страхователю сведения о номере телефона, электронной почте, должности и Ф.И</w:t>
      </w:r>
      <w:r>
        <w:t xml:space="preserve">.О. лица, ответственного за надлежащее выполнение обязательств по настоящему Контракту, кому может быть направлен запрос о предоставлении информации о ходе выполнения настоящего Контракта;</w:t>
      </w:r>
      <w:r/>
    </w:p>
    <w:p>
      <w:pPr>
        <w:ind w:firstLine="708"/>
        <w:jc w:val="both"/>
        <w:widowControl w:val="off"/>
      </w:pPr>
      <w:r>
        <w:t xml:space="preserve">5.2.3</w:t>
      </w:r>
      <w:r>
        <w:t xml:space="preserve">. осуществлять</w:t>
      </w:r>
      <w:r>
        <w:t xml:space="preserve"> выплаты страхового возмещения в порядке, предус</w:t>
      </w:r>
      <w:r>
        <w:t xml:space="preserve">мотренном Федеральным Законом «Об обязательном страховании гражданской ответственности владельцев транспортных средств» от 25 апреля 2002 года № 40-ФЗ  и другими действующими нормативно-правовыми актами.</w:t>
      </w:r>
      <w:r/>
    </w:p>
    <w:p>
      <w:pPr>
        <w:ind w:firstLine="708"/>
        <w:jc w:val="both"/>
        <w:widowControl w:val="off"/>
      </w:pPr>
      <w:r/>
      <w:bookmarkStart w:id="1" w:name="P1499"/>
      <w:r/>
      <w:bookmarkEnd w:id="1"/>
      <w:r>
        <w:t xml:space="preserve">5.2.4</w:t>
      </w:r>
      <w:r>
        <w:t xml:space="preserve">. обеспечить</w:t>
      </w:r>
      <w:r>
        <w:t xml:space="preserve"> соответствие оказываемых Услуг тре</w:t>
      </w:r>
      <w:r>
        <w:t xml:space="preserve">бованиям сертификации, лицензирования, установленным законодательством Российской Федерации и Контрактом;</w:t>
      </w:r>
      <w:r/>
    </w:p>
    <w:p>
      <w:pPr>
        <w:ind w:firstLine="708"/>
        <w:jc w:val="both"/>
        <w:widowControl w:val="off"/>
      </w:pPr>
      <w:r>
        <w:t xml:space="preserve">5.2.5</w:t>
      </w:r>
      <w:r>
        <w:t xml:space="preserve">. обеспечить</w:t>
      </w:r>
      <w:r>
        <w:t xml:space="preserve"> за свой счет устранение выявленных недостатков оказываемых Услуг в порядке и на условиях, предусмотренных Контрактом;</w:t>
      </w:r>
      <w:r/>
    </w:p>
    <w:p>
      <w:pPr>
        <w:ind w:firstLine="708"/>
        <w:jc w:val="both"/>
        <w:widowControl w:val="off"/>
      </w:pPr>
      <w:r>
        <w:t xml:space="preserve">5.2.6</w:t>
      </w:r>
      <w:r>
        <w:t xml:space="preserve">. в</w:t>
      </w:r>
      <w:r>
        <w:t xml:space="preserve"> случа</w:t>
      </w:r>
      <w:r>
        <w:t xml:space="preserve">е принятия Страховщиком, предусмотренного частью 19 статьи 95 Федерального закона о контрактной системе, решения об одностороннем отказе от исполнения контракта, такое решение направляется Страхователю в порядке, предусмотренном статьей 95 Федерального зак</w:t>
      </w:r>
      <w:r>
        <w:t xml:space="preserve">она о контрактной системе;</w:t>
      </w:r>
      <w:r/>
    </w:p>
    <w:p>
      <w:pPr>
        <w:ind w:firstLine="708"/>
        <w:jc w:val="both"/>
        <w:widowControl w:val="off"/>
      </w:pPr>
      <w:r/>
      <w:bookmarkStart w:id="2" w:name="P1502"/>
      <w:r/>
      <w:bookmarkStart w:id="3" w:name="P1504"/>
      <w:r/>
      <w:bookmarkStart w:id="4" w:name="P1505"/>
      <w:r/>
      <w:bookmarkEnd w:id="2"/>
      <w:r/>
      <w:bookmarkEnd w:id="3"/>
      <w:r/>
      <w:bookmarkEnd w:id="4"/>
      <w:r>
        <w:t xml:space="preserve">5.2.7.  </w:t>
      </w:r>
      <w:r>
        <w:t xml:space="preserve">предоставлять</w:t>
      </w:r>
      <w:r>
        <w:t xml:space="preserve"> Страхователю по его требованию документы, относящиеся к предмету Контракта, а также своевременно предоставлять Страхователю достоверную информацию о ходе исполнения своих обязательств, в том числе о сложност</w:t>
      </w:r>
      <w:r>
        <w:t xml:space="preserve">ях, возникающих при исполнении Контракта;</w:t>
      </w:r>
      <w:r/>
    </w:p>
    <w:p>
      <w:pPr>
        <w:ind w:firstLine="708"/>
        <w:jc w:val="both"/>
        <w:widowControl w:val="off"/>
        <w:rPr>
          <w:b/>
          <w:iCs/>
        </w:rPr>
      </w:pPr>
      <w:r>
        <w:rPr>
          <w:b/>
          <w:iCs/>
        </w:rPr>
        <w:t xml:space="preserve">5.3. Страхователь вправе:</w:t>
      </w:r>
      <w:r>
        <w:rPr>
          <w:b/>
          <w:iCs/>
        </w:rPr>
      </w:r>
    </w:p>
    <w:p>
      <w:pPr>
        <w:ind w:firstLine="708"/>
        <w:jc w:val="both"/>
        <w:widowControl w:val="off"/>
        <w:rPr>
          <w:iCs/>
        </w:rPr>
      </w:pPr>
      <w:r>
        <w:rPr>
          <w:iCs/>
        </w:rPr>
        <w:t xml:space="preserve">5.3.1</w:t>
      </w:r>
      <w:r>
        <w:rPr>
          <w:iCs/>
        </w:rPr>
        <w:t xml:space="preserve">. требовать</w:t>
      </w:r>
      <w:r>
        <w:rPr>
          <w:iCs/>
        </w:rPr>
        <w:t xml:space="preserve"> от Страховщика надлежащего исполнения обязательств по Контракту;</w:t>
      </w:r>
      <w:r>
        <w:rPr>
          <w:iCs/>
        </w:rPr>
      </w:r>
    </w:p>
    <w:p>
      <w:pPr>
        <w:ind w:firstLine="708"/>
        <w:jc w:val="both"/>
        <w:widowControl w:val="off"/>
        <w:rPr>
          <w:iCs/>
        </w:rPr>
      </w:pPr>
      <w:r>
        <w:rPr>
          <w:iCs/>
        </w:rPr>
        <w:t xml:space="preserve">5.3.2</w:t>
      </w:r>
      <w:r>
        <w:rPr>
          <w:iCs/>
        </w:rPr>
        <w:t xml:space="preserve">. требовать</w:t>
      </w:r>
      <w:r>
        <w:rPr>
          <w:iCs/>
        </w:rPr>
        <w:t xml:space="preserve"> от Страховщика своевременного устранения недостатков, выявленных в ходе приемки;</w:t>
      </w:r>
      <w:r>
        <w:rPr>
          <w:iCs/>
        </w:rPr>
      </w:r>
    </w:p>
    <w:p>
      <w:pPr>
        <w:ind w:firstLine="708"/>
        <w:jc w:val="both"/>
        <w:widowControl w:val="off"/>
        <w:rPr>
          <w:iCs/>
        </w:rPr>
      </w:pPr>
      <w:r>
        <w:rPr>
          <w:iCs/>
        </w:rPr>
        <w:t xml:space="preserve">5.3.3</w:t>
      </w:r>
      <w:r>
        <w:rPr>
          <w:iCs/>
        </w:rPr>
        <w:t xml:space="preserve">. п</w:t>
      </w:r>
      <w:r>
        <w:rPr>
          <w:iCs/>
        </w:rPr>
        <w:t xml:space="preserve">роверять</w:t>
      </w:r>
      <w:r>
        <w:rPr>
          <w:iCs/>
        </w:rPr>
        <w:t xml:space="preserve"> ход и качество выполнения Страховщиком условий Контракта без вмешательства в оперативно-хозяйственную деятельность Страховщика;</w:t>
      </w:r>
      <w:r>
        <w:rPr>
          <w:iCs/>
        </w:rPr>
      </w:r>
    </w:p>
    <w:p>
      <w:pPr>
        <w:ind w:firstLine="708"/>
        <w:jc w:val="both"/>
        <w:widowControl w:val="off"/>
        <w:rPr>
          <w:iCs/>
        </w:rPr>
      </w:pPr>
      <w:r>
        <w:rPr>
          <w:iCs/>
        </w:rPr>
        <w:t xml:space="preserve">5.3.4</w:t>
      </w:r>
      <w:r>
        <w:rPr>
          <w:iCs/>
        </w:rPr>
        <w:t xml:space="preserve">. требовать</w:t>
      </w:r>
      <w:r>
        <w:rPr>
          <w:iCs/>
        </w:rPr>
        <w:t xml:space="preserve"> возмещения убытков в соответствии с разделом 6 Контракта, причиненных по вине Страховщика;</w:t>
      </w:r>
      <w:r>
        <w:rPr>
          <w:iCs/>
        </w:rPr>
      </w:r>
    </w:p>
    <w:p>
      <w:pPr>
        <w:ind w:firstLine="708"/>
        <w:jc w:val="both"/>
        <w:widowControl w:val="off"/>
        <w:rPr>
          <w:iCs/>
        </w:rPr>
      </w:pPr>
      <w:r/>
      <w:bookmarkStart w:id="5" w:name="P1534"/>
      <w:r/>
      <w:bookmarkEnd w:id="5"/>
      <w:r>
        <w:rPr>
          <w:iCs/>
        </w:rPr>
        <w:t xml:space="preserve">5.3.5</w:t>
      </w:r>
      <w:r>
        <w:rPr>
          <w:iCs/>
        </w:rPr>
        <w:t xml:space="preserve">. отка</w:t>
      </w:r>
      <w:r>
        <w:rPr>
          <w:iCs/>
        </w:rPr>
        <w:t xml:space="preserve">заться</w:t>
      </w:r>
      <w:r>
        <w:rPr>
          <w:iCs/>
        </w:rPr>
        <w:t xml:space="preserve"> от приемки и оплаты оказанных Услуг, не соответствующих условиям Контракта;</w:t>
      </w:r>
      <w:r>
        <w:rPr>
          <w:iCs/>
        </w:rPr>
      </w:r>
    </w:p>
    <w:p>
      <w:pPr>
        <w:ind w:firstLine="708"/>
        <w:jc w:val="both"/>
        <w:widowControl w:val="off"/>
        <w:rPr>
          <w:iCs/>
        </w:rPr>
      </w:pPr>
      <w:r/>
      <w:bookmarkStart w:id="6" w:name="P1536"/>
      <w:r/>
      <w:bookmarkEnd w:id="6"/>
      <w:r>
        <w:rPr>
          <w:iCs/>
        </w:rPr>
        <w:t xml:space="preserve">5.3.6</w:t>
      </w:r>
      <w:r>
        <w:rPr>
          <w:iCs/>
        </w:rPr>
        <w:t xml:space="preserve">. принять</w:t>
      </w:r>
      <w:r>
        <w:rPr>
          <w:iCs/>
        </w:rPr>
        <w:t xml:space="preserve">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</w:t>
      </w:r>
      <w:r>
        <w:rPr>
          <w:iCs/>
        </w:rPr>
        <w:t xml:space="preserve">исполнения отдельных видов обязательств, в порядке, установленном Федеральным законом о контрактной системе;</w:t>
      </w:r>
      <w:r>
        <w:rPr>
          <w:iCs/>
        </w:rPr>
      </w:r>
    </w:p>
    <w:p>
      <w:pPr>
        <w:ind w:firstLine="708"/>
        <w:jc w:val="both"/>
        <w:widowControl w:val="off"/>
        <w:rPr>
          <w:iCs/>
        </w:rPr>
      </w:pPr>
      <w:r/>
      <w:bookmarkStart w:id="7" w:name="P1537"/>
      <w:r/>
      <w:bookmarkEnd w:id="7"/>
      <w:r>
        <w:rPr>
          <w:iCs/>
        </w:rPr>
        <w:t xml:space="preserve">5.3.7</w:t>
      </w:r>
      <w:r>
        <w:rPr>
          <w:iCs/>
        </w:rPr>
        <w:t xml:space="preserve">. до</w:t>
      </w:r>
      <w:r>
        <w:rPr>
          <w:iCs/>
        </w:rPr>
        <w:t xml:space="preserve"> принятия решения об одностороннем отказе от исполнения Контракта провести экспертизу оказанных Услуг с привлечением экспертов, экспертных</w:t>
      </w:r>
      <w:r>
        <w:rPr>
          <w:iCs/>
        </w:rPr>
        <w:t xml:space="preserve"> организаций. </w:t>
      </w:r>
      <w:bookmarkStart w:id="8" w:name="P1539"/>
      <w:r/>
      <w:bookmarkEnd w:id="8"/>
      <w:r/>
      <w:r>
        <w:rPr>
          <w:iCs/>
        </w:rPr>
      </w:r>
    </w:p>
    <w:p>
      <w:pPr>
        <w:ind w:firstLine="708"/>
        <w:jc w:val="both"/>
        <w:widowControl w:val="off"/>
        <w:rPr>
          <w:b/>
          <w:iCs/>
        </w:rPr>
      </w:pPr>
      <w:r>
        <w:rPr>
          <w:b/>
          <w:iCs/>
        </w:rPr>
        <w:t xml:space="preserve">5.4. Страхователь обязан:</w:t>
      </w:r>
      <w:r>
        <w:rPr>
          <w:b/>
          <w:iCs/>
        </w:rPr>
      </w:r>
    </w:p>
    <w:p>
      <w:pPr>
        <w:ind w:firstLine="709"/>
        <w:jc w:val="both"/>
      </w:pPr>
      <w:r>
        <w:t xml:space="preserve">5.4.1</w:t>
      </w:r>
      <w:r>
        <w:t xml:space="preserve">. обеспечить</w:t>
      </w:r>
      <w:r>
        <w:t xml:space="preserve"> своевременную приемку и оплату оказанных Услуг (уплата страховой премии), надлежащего качества в порядке и сроки, предусмотренные Контрактом; </w:t>
      </w:r>
      <w:r/>
    </w:p>
    <w:p>
      <w:pPr>
        <w:ind w:firstLine="709"/>
        <w:jc w:val="both"/>
      </w:pPr>
      <w:r>
        <w:t xml:space="preserve">5.4.2</w:t>
      </w:r>
      <w:r>
        <w:t xml:space="preserve">.</w:t>
      </w:r>
      <w:r>
        <w:t xml:space="preserve"> при</w:t>
      </w:r>
      <w:r>
        <w:t xml:space="preserve"> наступлении страхового случая действовать в соответствии с Федеральным Законом «Об обязательном страховании гражданской ответственности владельцев транспортных средств» от 25 апреля 2002 года № 40-ФЗ, и другими действующими нормативно-правовыми актами</w:t>
      </w:r>
      <w:r>
        <w:t xml:space="preserve">, а также следовать указаниям Страховщика. </w:t>
      </w:r>
      <w:r/>
    </w:p>
    <w:p>
      <w:pPr>
        <w:ind w:firstLine="709"/>
        <w:jc w:val="both"/>
      </w:pPr>
      <w:r>
        <w:t xml:space="preserve">5.4.3</w:t>
      </w:r>
      <w:r>
        <w:t xml:space="preserve">. принять</w:t>
      </w:r>
      <w:r>
        <w:t xml:space="preserve"> решение об одностороннем отказе от исполнения Контракта в случаях, предусмотренных пунктом 1 части 15 статьи 95 Федерального закона о контрактной системе.</w:t>
      </w:r>
      <w:r/>
    </w:p>
    <w:p>
      <w:pPr>
        <w:ind w:firstLine="709"/>
        <w:jc w:val="both"/>
      </w:pPr>
      <w:r>
        <w:t xml:space="preserve">5.4.4</w:t>
      </w:r>
      <w:r>
        <w:t xml:space="preserve">. в</w:t>
      </w:r>
      <w:r>
        <w:t xml:space="preserve"> случае принятия Страхователем реш</w:t>
      </w:r>
      <w:r>
        <w:t xml:space="preserve">ения об одностороннем отказе от исполнения контракта, Страхователь формирует решение об одностороннем отказе от исполнения контракта, порядке, предусмотренном ст. 95 Федерального закона о контрактной системе; </w:t>
      </w:r>
      <w:r/>
    </w:p>
    <w:p>
      <w:pPr>
        <w:ind w:firstLine="709"/>
        <w:jc w:val="both"/>
      </w:pPr>
      <w:r>
        <w:t xml:space="preserve">5.4.5</w:t>
      </w:r>
      <w:r>
        <w:t xml:space="preserve">. требовать</w:t>
      </w:r>
      <w:r>
        <w:t xml:space="preserve"> уплаты неустоек (штрафов, пен</w:t>
      </w:r>
      <w:r>
        <w:t xml:space="preserve">ей) в соответствии с разделом 6 Контракта;</w:t>
      </w:r>
      <w:r/>
    </w:p>
    <w:p>
      <w:pPr>
        <w:ind w:firstLine="709"/>
        <w:jc w:val="both"/>
      </w:pPr>
      <w:r>
        <w:t xml:space="preserve">5.4.6</w:t>
      </w:r>
      <w:r>
        <w:t xml:space="preserve">. провести</w:t>
      </w:r>
      <w:r>
        <w:t xml:space="preserve"> экспертизу оказанной Услуги для проверки его соответствия условиям Контракта в соответствии с Федеральным законом о контрактной системе.</w:t>
      </w:r>
      <w:r/>
    </w:p>
    <w:p>
      <w:pPr>
        <w:ind w:firstLine="709"/>
        <w:jc w:val="both"/>
      </w:pPr>
      <w:r/>
      <w:r/>
    </w:p>
    <w:p>
      <w:pPr>
        <w:ind w:firstLine="708"/>
        <w:jc w:val="center"/>
        <w:widowControl w:val="off"/>
        <w:rPr>
          <w:b/>
        </w:rPr>
      </w:pPr>
      <w:r>
        <w:rPr>
          <w:b/>
        </w:rPr>
        <w:t xml:space="preserve">6. Ответственность сторон.</w:t>
      </w:r>
      <w:r>
        <w:rPr>
          <w:b/>
        </w:rPr>
      </w:r>
    </w:p>
    <w:p>
      <w:pPr>
        <w:ind w:firstLine="708"/>
        <w:jc w:val="both"/>
        <w:widowControl w:val="off"/>
      </w:pPr>
      <w:r>
        <w:t xml:space="preserve">6.1. За неисполнение или ненадле</w:t>
      </w:r>
      <w:r>
        <w:t xml:space="preserve">жащее исполнение Страховщиком своих обязательств по настоящему Контракту, Страховщик несет ответственность в соответствии с Федеральным законом от 25.04.2002 № 40-ФЗ «Об обязательном страховании гражданской ответственности владельцев транспортных средств».</w:t>
      </w:r>
      <w:r>
        <w:t xml:space="preserve"> </w:t>
      </w:r>
      <w:r/>
    </w:p>
    <w:p>
      <w:pPr>
        <w:ind w:firstLine="708"/>
        <w:jc w:val="both"/>
        <w:widowControl w:val="off"/>
      </w:pPr>
      <w:r>
        <w:t xml:space="preserve">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(пеню) в размере 1% (одного) процента от определенного</w:t>
      </w:r>
      <w:r>
        <w:t xml:space="preserve"> в соответствии с Федеральным законом от 25.04.2002 № 40-ФЗ размера страхового возмещения по виду причиненного вреда каждому потерпевшему. При возмещении вреда на основании пунктов 15.1 - 15.3 статьи 12 Федерального закона от 25.04.2002 № 40-ФЗ, в случае н</w:t>
      </w:r>
      <w:r>
        <w:t xml:space="preserve">арушения установленного абзацем вторым пункта 15.2 статьи 12 Федерального закона от 25.04.2002 № 40-ФЗ срока проведения восстановительного ремонта поврежденного транспортного средства или срока, согласованного Страховщиком и потерпевшим и превышающего уста</w:t>
      </w:r>
      <w:r>
        <w:t xml:space="preserve">новленный абзацем вторым пункта 15.2 статьи 12  Федерального закона от 25.04.2002 № 40-ФЗ срок проведения восстановительного ремонта поврежденного транспортного средства, Страховщик за каждый день просрочки уплачивает потерпевшему неустойку (пеню) в размер</w:t>
      </w:r>
      <w:r>
        <w:t xml:space="preserve">е 0,5 процента от определенной в соответствии с Федеральным законом от 25.04.2002 № 40-ФЗ суммы страхового возмещения, но не более суммы такого возмещения. </w:t>
      </w:r>
      <w:r/>
    </w:p>
    <w:p>
      <w:pPr>
        <w:ind w:firstLine="708"/>
        <w:jc w:val="both"/>
        <w:widowControl w:val="off"/>
      </w:pPr>
      <w:r>
        <w:t xml:space="preserve">При несоблюдении срока направления потерпевшему мотивированного отказа в страховом возмещении страх</w:t>
      </w:r>
      <w:r>
        <w:t xml:space="preserve">овщик за каждый день просрочки уплачивает потерпевшему денежные средства в виде финансовой санкции в размере 0,05 процента от установленной Федеральным законом от 25.04.2002 № 40-ФЗ страховой суммы по виду причиненного вреда каждому потерпевшему.</w:t>
      </w:r>
      <w:r/>
    </w:p>
    <w:p>
      <w:pPr>
        <w:ind w:firstLine="708"/>
        <w:jc w:val="both"/>
        <w:widowControl w:val="off"/>
      </w:pPr>
      <w:r>
        <w:t xml:space="preserve">6</w:t>
      </w:r>
      <w:r>
        <w:t xml:space="preserve">.2. За неисполнение или ненадлежащее исполнение Страховщиком своих обязательств по настоящему Контракту, ответственность за неисполнение или ненадлежащее исполнение которых не предусмотрена Федеральным законом от 25.04.2002 № 40-ФЗ «Об обязательном страхов</w:t>
      </w:r>
      <w:r>
        <w:t xml:space="preserve">ании гражданской ответственности владельцев транспортных средств», Страховщик несет ответственность в соответствии настоящим разделом.</w:t>
      </w:r>
      <w:r/>
    </w:p>
    <w:p>
      <w:pPr>
        <w:ind w:firstLine="709"/>
        <w:jc w:val="both"/>
      </w:pPr>
      <w:r>
        <w:t xml:space="preserve">6.3. В случае полного (частичного) неисполнения условий Контракта одной из Сторон эта Сторона обязана возместить другой С</w:t>
      </w:r>
      <w:r>
        <w:t xml:space="preserve">тороне причиненные убытки в части, непокрытой неустойкой.</w:t>
      </w:r>
      <w:r/>
    </w:p>
    <w:p>
      <w:pPr>
        <w:ind w:firstLine="709"/>
        <w:jc w:val="both"/>
      </w:pPr>
      <w:r>
        <w:t xml:space="preserve">6.4. В случае просрочки исполнения Страховщиком обязательств, предусмотренных Контрактом, Страховщик уплачивает Страхователю пени. Пеня начисляется за каждый день просрочки исполнения Страховщиком о</w:t>
      </w:r>
      <w:r>
        <w:t xml:space="preserve">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составляет одна трехсотая действующей на дату уплаты пени ключевой ставки Центрального банка Рос</w:t>
      </w:r>
      <w:r>
        <w:t xml:space="preserve">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Страховщико</w:t>
      </w:r>
      <w:r>
        <w:t xml:space="preserve">м.</w:t>
      </w:r>
      <w:r/>
    </w:p>
    <w:p>
      <w:pPr>
        <w:ind w:firstLine="709"/>
        <w:jc w:val="both"/>
        <w:rPr>
          <w:b/>
        </w:rPr>
      </w:pPr>
      <w:r>
        <w:t xml:space="preserve">6.5. В случае неисполнения или ненадлежащего исполнения Страховщиком обязательств, предусмотренных Контрактом, за исключением просрочки исполнения Страховщиком обязательств, предусмотренных Контрактом, Страховщик уплачивает Страхователю штраф в размере </w:t>
      </w:r>
      <w:r>
        <w:t xml:space="preserve">10% от цены Контракта (этапа исполнения Контракта).</w:t>
      </w:r>
      <w:r>
        <w:rPr>
          <w:b/>
        </w:rPr>
      </w:r>
    </w:p>
    <w:p>
      <w:pPr>
        <w:ind w:firstLine="709"/>
        <w:jc w:val="both"/>
      </w:pPr>
      <w:r/>
      <w:r/>
    </w:p>
    <w:p>
      <w:pPr>
        <w:ind w:firstLine="709"/>
        <w:jc w:val="both"/>
        <w:rPr>
          <w:b/>
        </w:rPr>
      </w:pPr>
      <w:r>
        <w:rPr>
          <w:b/>
        </w:rPr>
        <w:t xml:space="preserve">Реквизиты для уплаты неустойки (штрафа, пени) (Страхователь):</w:t>
      </w:r>
      <w:r>
        <w:rPr>
          <w:b/>
        </w:rPr>
      </w:r>
    </w:p>
    <w:p>
      <w:pPr>
        <w:ind w:firstLine="709"/>
        <w:jc w:val="both"/>
      </w:pPr>
      <w:r>
        <w:rPr>
          <w:i/>
        </w:rPr>
        <w:t xml:space="preserve">Управление Роспотребнадзора по Самарской области</w:t>
      </w:r>
      <w:r/>
    </w:p>
    <w:p>
      <w:pPr>
        <w:ind w:firstLine="709"/>
        <w:jc w:val="both"/>
      </w:pPr>
      <w:r>
        <w:rPr>
          <w:i/>
        </w:rPr>
        <w:t xml:space="preserve">ИНН 6316098843 КПП 631601001</w:t>
      </w:r>
      <w:r/>
    </w:p>
    <w:p>
      <w:pPr>
        <w:ind w:firstLine="709"/>
        <w:jc w:val="both"/>
      </w:pPr>
      <w:r>
        <w:rPr>
          <w:i/>
        </w:rPr>
        <w:t xml:space="preserve">Лицевой счет: 04421788140 в УФК по Самарской области</w:t>
      </w:r>
      <w:r/>
    </w:p>
    <w:p>
      <w:pPr>
        <w:ind w:firstLine="709"/>
        <w:jc w:val="both"/>
      </w:pPr>
      <w:r>
        <w:rPr>
          <w:i/>
        </w:rPr>
        <w:t xml:space="preserve">Номер банк</w:t>
      </w:r>
      <w:r>
        <w:rPr>
          <w:i/>
        </w:rPr>
        <w:t xml:space="preserve">овского счета, входящего в состав единого казначейского счета (ЕКС): </w:t>
      </w:r>
      <w:r/>
    </w:p>
    <w:p>
      <w:pPr>
        <w:ind w:firstLine="709"/>
        <w:jc w:val="both"/>
      </w:pPr>
      <w:r>
        <w:rPr>
          <w:i/>
        </w:rPr>
        <w:t xml:space="preserve">40102810545370000036</w:t>
      </w:r>
      <w:r/>
    </w:p>
    <w:p>
      <w:pPr>
        <w:ind w:firstLine="709"/>
        <w:jc w:val="both"/>
      </w:pPr>
      <w:r>
        <w:rPr>
          <w:i/>
        </w:rPr>
        <w:t xml:space="preserve">ОКЦ № 2 ВВГУ Банка России//УФК по Самарской области, г Самара</w:t>
      </w:r>
      <w:r/>
    </w:p>
    <w:p>
      <w:pPr>
        <w:ind w:firstLine="709"/>
        <w:jc w:val="both"/>
      </w:pPr>
      <w:r>
        <w:rPr>
          <w:i/>
        </w:rPr>
        <w:t xml:space="preserve">БИК банка получателя средств (БИК ТОФК): 013601205 </w:t>
      </w:r>
      <w:r/>
    </w:p>
    <w:p>
      <w:pPr>
        <w:ind w:firstLine="709"/>
        <w:jc w:val="both"/>
      </w:pPr>
      <w:r>
        <w:rPr>
          <w:i/>
        </w:rPr>
        <w:t xml:space="preserve">Номер счета получателя (номер казначейского счета):</w:t>
      </w:r>
      <w:r>
        <w:rPr>
          <w:i/>
        </w:rPr>
        <w:t xml:space="preserve"> 03100643000000014200</w:t>
      </w:r>
      <w:r/>
    </w:p>
    <w:p>
      <w:pPr>
        <w:ind w:firstLine="709"/>
        <w:jc w:val="both"/>
      </w:pPr>
      <w:r>
        <w:rPr>
          <w:i/>
        </w:rPr>
        <w:t xml:space="preserve">КБК: 14111607010019000140  </w:t>
      </w:r>
      <w:r/>
    </w:p>
    <w:p>
      <w:pPr>
        <w:ind w:firstLine="709"/>
        <w:jc w:val="both"/>
        <w:rPr>
          <w:i/>
        </w:rPr>
      </w:pPr>
      <w:r>
        <w:rPr>
          <w:i/>
        </w:rPr>
        <w:t xml:space="preserve">Код территории муниципального образования: 36701000 – Самара</w:t>
      </w:r>
      <w:r>
        <w:rPr>
          <w:i/>
        </w:rPr>
      </w:r>
    </w:p>
    <w:p>
      <w:pPr>
        <w:ind w:firstLine="709"/>
        <w:jc w:val="both"/>
        <w:spacing w:after="120"/>
        <w:rPr>
          <w:i/>
        </w:rPr>
      </w:pPr>
      <w:r>
        <w:rPr>
          <w:i/>
        </w:rPr>
        <w:tab/>
      </w:r>
      <w:r>
        <w:rPr>
          <w:i/>
        </w:rPr>
      </w:r>
    </w:p>
    <w:p>
      <w:pPr>
        <w:contextualSpacing/>
        <w:ind w:firstLine="709"/>
        <w:jc w:val="both"/>
        <w:spacing w:after="120"/>
      </w:pPr>
      <w:r>
        <w:t xml:space="preserve">6.6. За каждый факт неисполнения или ненадлежащего исполнения Страховщиком обязательства, предусмотренного Контрактом, которое не имеет стоимостного выражения, Страховщик уплачивает Страхователю штраф. Размер штрафа определяется в соответствии с </w:t>
      </w:r>
      <w:hyperlink r:id="rId15" w:tooltip="consultantplus://offline/ref=531F573D1CD9F53EEEF38295171AA358A22D46E64E847AE580DCC87178C2B5B5694E8D04B83603FD71810C82F7D03E9D093993w5h8I" w:history="1">
        <w:r>
          <w:t xml:space="preserve">Правилами</w:t>
        </w:r>
      </w:hyperlink>
      <w:r>
        <w:t xml:space="preserve"> и составляет 1000 рублей.</w:t>
      </w:r>
      <w:r/>
    </w:p>
    <w:p>
      <w:pPr>
        <w:ind w:firstLine="709"/>
        <w:jc w:val="both"/>
      </w:pPr>
      <w:r>
        <w:t xml:space="preserve">6.7. В случае просрочки исполнения Страхователем обязательств, предусмотренных Контрактом, Страховщик вправе потребовать уплату пени в размере одной трехсотой действующей на дату уплаты пеней</w:t>
      </w:r>
      <w:r>
        <w:t xml:space="preserve">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</w:t>
      </w:r>
      <w:r>
        <w:t xml:space="preserve">м срока исполнения обязательства.</w:t>
      </w:r>
      <w:r/>
    </w:p>
    <w:p>
      <w:pPr>
        <w:ind w:firstLine="709"/>
        <w:jc w:val="both"/>
      </w:pPr>
      <w:r>
        <w:t xml:space="preserve">6.8. За кажды</w:t>
      </w:r>
      <w:r>
        <w:t xml:space="preserve">й факт неисполнения Страхователем</w:t>
      </w:r>
      <w:r>
        <w:t xml:space="preserve"> обязательств, предусмотренных Контрактом, за исключением просрочки исполнения обязательств, предусмотренных Контрактом, Страховщик вправе потребовать уплату штрафа. Размер штра</w:t>
      </w:r>
      <w:r>
        <w:t xml:space="preserve">фа определяется в соответствии с </w:t>
      </w:r>
      <w:hyperlink r:id="rId16" w:tooltip="consultantplus://offline/ref=531F573D1CD9F53EEEF38295171AA358A22D46E64E847AE580DCC87178C2B5B5694E8D04B83603FD71810C82F7D03E9D093993w5h8I" w:history="1">
        <w:r>
          <w:t xml:space="preserve">Правилами</w:t>
        </w:r>
      </w:hyperlink>
      <w:r>
        <w:t xml:space="preserve"> и устанавливается в размере 1000 рублей.</w:t>
      </w:r>
      <w:r/>
    </w:p>
    <w:p>
      <w:pPr>
        <w:ind w:firstLine="709"/>
        <w:jc w:val="both"/>
      </w:pPr>
      <w:r>
        <w:t xml:space="preserve">6.9. Применение неустойки (штрафа, пени) не освобождает Стороны от исполнения обязательств по Контракту.</w:t>
      </w:r>
      <w:r/>
    </w:p>
    <w:p>
      <w:pPr>
        <w:ind w:firstLine="709"/>
        <w:jc w:val="both"/>
      </w:pPr>
      <w:r>
        <w:t xml:space="preserve">6.10. Общая сумма начисленны</w:t>
      </w:r>
      <w:r>
        <w:t xml:space="preserve">х штрафов за неисполнение или ненадлежащее исполнение Страховщиком обязательств, предусмотренных Контрактом, не может превышать цену Контракта.</w:t>
      </w:r>
      <w:r/>
    </w:p>
    <w:p>
      <w:pPr>
        <w:ind w:firstLine="709"/>
        <w:jc w:val="both"/>
      </w:pPr>
      <w:r>
        <w:t xml:space="preserve">6.11. Общая сумма начисленных штрафов за ненадлежащее исполнение Страхователем обязательств, предусмотренных Кон</w:t>
      </w:r>
      <w:r>
        <w:t xml:space="preserve">трактом, не может превышать цену Контракта.</w:t>
      </w:r>
      <w:r/>
    </w:p>
    <w:p>
      <w:pPr>
        <w:ind w:firstLine="709"/>
        <w:jc w:val="both"/>
      </w:pPr>
      <w:r>
        <w:t xml:space="preserve">6.12.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</w:t>
      </w:r>
      <w:r>
        <w:t xml:space="preserve">го обстоятельствами, являющимися основанием для принятия решения об одностороннем отказе от исполнения Контракта.</w:t>
      </w:r>
      <w:r/>
    </w:p>
    <w:p>
      <w:pPr>
        <w:ind w:firstLine="709"/>
        <w:jc w:val="both"/>
      </w:pPr>
      <w:r>
        <w:t xml:space="preserve">6.13. Правительство Российской Федерации вправе установить случаи и порядок списания начисленных Страховщику, но не списанных Страхователем су</w:t>
      </w:r>
      <w:r>
        <w:t xml:space="preserve">мм неустоек (штрафов, пеней) в связи с неисполнением или ненадлежащим исполнением обязательств, предусмотренных контрактом.</w:t>
      </w:r>
      <w:r/>
    </w:p>
    <w:p>
      <w:pPr>
        <w:ind w:firstLine="709"/>
        <w:jc w:val="both"/>
      </w:pPr>
      <w:r>
        <w:t xml:space="preserve">6.14. Сторона освобождается от уплаты неустойки (штрафа, пени), если докажет, что неисполнение или ненадлежащее исполнение обязатель</w:t>
      </w:r>
      <w:r>
        <w:t xml:space="preserve">ства, предусмотренного контрактом, произошло вследствие непреодолимой силы или по вине другой стороны.</w:t>
      </w:r>
      <w:r/>
    </w:p>
    <w:p>
      <w:pPr>
        <w:jc w:val="center"/>
        <w:keepNext/>
        <w:rPr>
          <w:b/>
          <w:bCs/>
        </w:rPr>
        <w:outlineLvl w:val="0"/>
      </w:pPr>
      <w:r>
        <w:rPr>
          <w:b/>
          <w:bCs/>
        </w:rPr>
      </w:r>
      <w:r>
        <w:rPr>
          <w:b/>
          <w:bCs/>
        </w:rPr>
      </w:r>
    </w:p>
    <w:p>
      <w:pPr>
        <w:jc w:val="center"/>
        <w:keepNext/>
        <w:rPr>
          <w:b/>
          <w:bCs/>
        </w:rPr>
        <w:outlineLvl w:val="0"/>
      </w:pPr>
      <w:r>
        <w:rPr>
          <w:b/>
          <w:bCs/>
        </w:rPr>
        <w:t xml:space="preserve">7. Обеспечение исполнения Контракта</w:t>
      </w:r>
      <w:r>
        <w:rPr>
          <w:b/>
          <w:bCs/>
        </w:rPr>
      </w:r>
    </w:p>
    <w:p>
      <w:pPr>
        <w:ind w:firstLine="567"/>
        <w:keepNext/>
        <w:outlineLvl w:val="0"/>
      </w:pPr>
      <w:r>
        <w:t xml:space="preserve">7.1. Обеспечение исполнения Контракта не устанавливается.</w:t>
      </w:r>
      <w:r/>
    </w:p>
    <w:p>
      <w:pPr>
        <w:jc w:val="center"/>
        <w:widowControl w:val="off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jc w:val="center"/>
        <w:keepNext/>
        <w:rPr>
          <w:b/>
          <w:bCs/>
        </w:rPr>
        <w:outlineLvl w:val="1"/>
      </w:pPr>
      <w:r/>
      <w:bookmarkStart w:id="9" w:name="undefined"/>
      <w:r/>
      <w:bookmarkEnd w:id="9"/>
      <w:r>
        <w:rPr>
          <w:b/>
          <w:bCs/>
        </w:rPr>
        <w:t xml:space="preserve">8. Обеспечение гарантийных обязательств</w:t>
      </w:r>
      <w:r>
        <w:rPr>
          <w:b/>
          <w:bCs/>
        </w:rPr>
      </w:r>
    </w:p>
    <w:p>
      <w:pPr>
        <w:ind w:firstLine="567"/>
        <w:keepNext/>
      </w:pPr>
      <w:r>
        <w:t xml:space="preserve">8.1. Обеспечение гарантийных обязательств не устанавливается.</w:t>
      </w:r>
      <w:r/>
    </w:p>
    <w:p>
      <w:pPr>
        <w:jc w:val="center"/>
        <w:widowControl w:val="off"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ind w:right="-20"/>
        <w:jc w:val="center"/>
        <w:widowControl w:val="off"/>
        <w:rPr>
          <w:b/>
          <w:bCs/>
        </w:rPr>
      </w:pPr>
      <w:r>
        <w:rPr>
          <w:b/>
          <w:bCs/>
        </w:rPr>
        <w:t xml:space="preserve">9. Обстоятельства непреодолимой силы</w:t>
      </w:r>
      <w:r>
        <w:rPr>
          <w:b/>
          <w:bCs/>
        </w:rPr>
      </w:r>
    </w:p>
    <w:p>
      <w:pPr>
        <w:ind w:firstLine="709"/>
        <w:jc w:val="both"/>
        <w:tabs>
          <w:tab w:val="left" w:pos="567" w:leader="none"/>
          <w:tab w:val="left" w:pos="1560" w:leader="none"/>
        </w:tabs>
      </w:pPr>
      <w:r>
        <w:t xml:space="preserve">9</w:t>
      </w:r>
      <w:r>
        <w:t xml:space="preserve"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/>
    </w:p>
    <w:p>
      <w:pPr>
        <w:ind w:firstLine="709"/>
        <w:jc w:val="both"/>
        <w:tabs>
          <w:tab w:val="left" w:pos="567" w:leader="none"/>
          <w:tab w:val="left" w:pos="1560" w:leader="none"/>
        </w:tabs>
      </w:pPr>
      <w:r>
        <w:t xml:space="preserve">9.2. В случае если надлежащее исполнение Стороной предусмотренных Конт</w:t>
      </w:r>
      <w:r>
        <w:t xml:space="preserve">рактом обязательств оказалось невозможным вследствие обстоятельств непреодолимой силы, такая Сторона не позднее 10 (десяти) дней с момента их наступления в письменной форме извещает другую Сторону с приложением документов, удостоверяющих факт наступления у</w:t>
      </w:r>
      <w:r>
        <w:t xml:space="preserve">казанных обстоятельств.</w:t>
      </w:r>
      <w:r/>
    </w:p>
    <w:p>
      <w:pPr>
        <w:ind w:firstLine="709"/>
        <w:jc w:val="both"/>
        <w:tabs>
          <w:tab w:val="left" w:pos="567" w:leader="none"/>
          <w:tab w:val="left" w:pos="1560" w:leader="none"/>
        </w:tabs>
      </w:pPr>
      <w:r>
        <w:t xml:space="preserve">9.3.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/>
    </w:p>
    <w:p>
      <w:pPr>
        <w:ind w:firstLine="709"/>
        <w:jc w:val="both"/>
        <w:tabs>
          <w:tab w:val="left" w:pos="567" w:leader="none"/>
          <w:tab w:val="left" w:pos="1560" w:leader="none"/>
        </w:tabs>
      </w:pPr>
      <w:r>
        <w:t xml:space="preserve">9.4. Подтверждением наличия обстоятельств непреодолимой силы</w:t>
      </w:r>
      <w:r>
        <w:t xml:space="preserve"> и их продолжительности является письменное свидетельство уполномоченных органов или уполномоченных организаций.</w:t>
      </w:r>
      <w:r/>
    </w:p>
    <w:p>
      <w:pPr>
        <w:jc w:val="center"/>
        <w:widowControl w:val="off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center"/>
        <w:widowControl w:val="off"/>
        <w:rPr>
          <w:b/>
          <w:bCs/>
        </w:rPr>
      </w:pPr>
      <w:r>
        <w:rPr>
          <w:b/>
          <w:bCs/>
        </w:rPr>
        <w:t xml:space="preserve">10. Порядок разрешения споров</w:t>
      </w:r>
      <w:r>
        <w:rPr>
          <w:b/>
          <w:bCs/>
        </w:rPr>
      </w:r>
    </w:p>
    <w:p>
      <w:pPr>
        <w:ind w:firstLine="567"/>
        <w:jc w:val="both"/>
      </w:pPr>
      <w:r>
        <w:t xml:space="preserve">10.1. Все споры и разногласия, которые могут возникнуть из Контракта между Сторонами, будут разрешаться путем пе</w:t>
      </w:r>
      <w:r>
        <w:t xml:space="preserve">реговоров, в том числе в претензионном порядке.</w:t>
      </w:r>
      <w:r/>
    </w:p>
    <w:p>
      <w:pPr>
        <w:ind w:firstLine="567"/>
        <w:jc w:val="both"/>
      </w:pPr>
      <w:r>
        <w:t xml:space="preserve">10.2.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отражается стоимос</w:t>
      </w:r>
      <w:r>
        <w:t xml:space="preserve">тная оценка ответственности (неустойки), а также действия, которые должны быть произведены Стороной для устранения нарушений.</w:t>
      </w:r>
      <w:r/>
    </w:p>
    <w:p>
      <w:pPr>
        <w:ind w:firstLine="567"/>
        <w:jc w:val="both"/>
      </w:pPr>
      <w:r>
        <w:t xml:space="preserve">10.3. Срок рассмотрения претензии - 10 (десять) рабочих дней с момента получения претензии.  Переписка Сторон может осуществляться</w:t>
      </w:r>
      <w:r>
        <w:t xml:space="preserve">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/>
    </w:p>
    <w:p>
      <w:pPr>
        <w:ind w:firstLine="567"/>
        <w:jc w:val="both"/>
      </w:pPr>
      <w:r>
        <w:t xml:space="preserve">10.4. При </w:t>
      </w:r>
      <w:r>
        <w:t xml:space="preserve">неурегулировании</w:t>
      </w:r>
      <w:r>
        <w:t xml:space="preserve"> Сторонами спора в досудебном порядке, спор разрешается в судебном порядке в Ар</w:t>
      </w:r>
      <w:r>
        <w:t xml:space="preserve">битражном суде Самарской области.</w:t>
      </w:r>
      <w:r/>
    </w:p>
    <w:p>
      <w:pPr>
        <w:ind w:firstLine="567"/>
        <w:jc w:val="both"/>
      </w:pPr>
      <w:r/>
      <w:r/>
    </w:p>
    <w:p>
      <w:pPr>
        <w:ind w:firstLine="709"/>
        <w:jc w:val="center"/>
        <w:rPr>
          <w:b/>
          <w:spacing w:val="-1"/>
        </w:rPr>
      </w:pPr>
      <w:r>
        <w:rPr>
          <w:b/>
          <w:spacing w:val="-1"/>
        </w:rPr>
        <w:t xml:space="preserve">11. Порядок изменения Контракта</w:t>
      </w:r>
      <w:r>
        <w:rPr>
          <w:b/>
          <w:spacing w:val="-1"/>
        </w:rPr>
      </w:r>
    </w:p>
    <w:p>
      <w:pPr>
        <w:ind w:firstLine="709"/>
        <w:jc w:val="both"/>
      </w:pPr>
      <w:r>
        <w:rPr>
          <w:spacing w:val="-1"/>
        </w:rPr>
        <w:t xml:space="preserve">11.1</w:t>
      </w:r>
      <w:r>
        <w:t xml:space="preserve"> </w:t>
      </w:r>
      <w:r>
        <w:rPr>
          <w:spacing w:val="-1"/>
        </w:rPr>
        <w:t xml:space="preserve">При исполнении контракта изменение его существенных условий не допускается, за исключением случаев, предусмотренных Федеральным законом о контрактной системе.</w:t>
      </w:r>
      <w:r>
        <w:t xml:space="preserve"> </w:t>
      </w:r>
      <w:r/>
    </w:p>
    <w:p>
      <w:pPr>
        <w:ind w:firstLine="708"/>
        <w:jc w:val="both"/>
      </w:pPr>
      <w:r>
        <w:t xml:space="preserve">Все изменения и дополнен</w:t>
      </w:r>
      <w:r>
        <w:t xml:space="preserve">ия к настоящему Контракту действительны и становятся его неотъемлемыми Приложениями при условии, что они соответствуют требованиям законодательства Российской Федерации, осуществляется путем заключения Сторонами дополнительных соглашений к Контракту, котор</w:t>
      </w:r>
      <w:r>
        <w:t xml:space="preserve">ые являются его неотъемлемой частью.</w:t>
      </w:r>
      <w:r/>
    </w:p>
    <w:p>
      <w:pPr>
        <w:ind w:firstLine="708"/>
        <w:jc w:val="both"/>
        <w:rPr>
          <w:spacing w:val="-1"/>
        </w:rPr>
      </w:pPr>
      <w:r>
        <w:rPr>
          <w:spacing w:val="-1"/>
        </w:rPr>
        <w:t xml:space="preserve">11.2.</w:t>
      </w:r>
      <w:r>
        <w:t xml:space="preserve"> </w:t>
      </w:r>
      <w:r>
        <w:rPr>
          <w:spacing w:val="-1"/>
        </w:rPr>
        <w:t xml:space="preserve">Стороны обязуются сообщать друг другу об изменении своих адресов, наименования, банковских реквизитов, КПП и других реквизитов, указанных в Контракте, путем направления письменного уведомления в срок не более деся</w:t>
      </w:r>
      <w:r>
        <w:rPr>
          <w:spacing w:val="-1"/>
        </w:rPr>
        <w:t xml:space="preserve">ти дней с даты произошедших изменений. </w:t>
      </w:r>
      <w:r>
        <w:rPr>
          <w:spacing w:val="-1"/>
        </w:rPr>
      </w:r>
    </w:p>
    <w:p>
      <w:pPr>
        <w:ind w:firstLine="708"/>
        <w:jc w:val="both"/>
        <w:rPr>
          <w:spacing w:val="-1"/>
        </w:rPr>
      </w:pPr>
      <w:r>
        <w:rPr>
          <w:spacing w:val="-1"/>
        </w:rPr>
        <w:t xml:space="preserve">11.3. При исполнении Контракта не допускается перемена Страховщика, за исключением случая, если новый Страховщик является правопреемником Страховщика вследствие реорганизации юридического лица в форме преобразования,</w:t>
      </w:r>
      <w:r>
        <w:rPr>
          <w:spacing w:val="-1"/>
        </w:rPr>
        <w:t xml:space="preserve"> слияния или присоединения.</w:t>
      </w:r>
      <w:r>
        <w:rPr>
          <w:spacing w:val="-1"/>
        </w:rPr>
      </w:r>
    </w:p>
    <w:p>
      <w:pPr>
        <w:ind w:firstLine="708"/>
        <w:jc w:val="both"/>
        <w:rPr>
          <w:spacing w:val="-1"/>
        </w:rPr>
      </w:pPr>
      <w:r>
        <w:rPr>
          <w:spacing w:val="-1"/>
        </w:rPr>
        <w:t xml:space="preserve">Передача прав и обязанностей по Контракту правопреемнику Страховщика осуществляется путем заключения соответствующего дополнительного соглашения к Контракту.</w:t>
      </w:r>
      <w:r>
        <w:rPr>
          <w:spacing w:val="-1"/>
        </w:rPr>
      </w:r>
    </w:p>
    <w:p>
      <w:pPr>
        <w:ind w:firstLine="540"/>
        <w:jc w:val="both"/>
        <w:rPr>
          <w:spacing w:val="-1"/>
        </w:rPr>
      </w:pPr>
      <w:r>
        <w:rPr>
          <w:spacing w:val="-1"/>
        </w:rPr>
      </w:r>
      <w:r>
        <w:rPr>
          <w:spacing w:val="-1"/>
        </w:rPr>
      </w:r>
    </w:p>
    <w:p>
      <w:pPr>
        <w:ind w:firstLine="540"/>
        <w:jc w:val="center"/>
        <w:rPr>
          <w:b/>
        </w:rPr>
      </w:pPr>
      <w:r>
        <w:rPr>
          <w:b/>
        </w:rPr>
        <w:t xml:space="preserve">12. Срок действия и порядок расторжения Контракта</w:t>
      </w:r>
      <w:r>
        <w:rPr>
          <w:b/>
        </w:rPr>
      </w:r>
    </w:p>
    <w:p>
      <w:pPr>
        <w:ind w:firstLine="540"/>
        <w:jc w:val="both"/>
      </w:pPr>
      <w:r>
        <w:t xml:space="preserve">12.1. </w:t>
      </w:r>
      <w:r>
        <w:t xml:space="preserve">Контракт всту</w:t>
      </w:r>
      <w:r>
        <w:t xml:space="preserve">пает в силу с даты его подписания обеими Сторонами и действует по 31 октября 2026 г. Окончание срока действия Контракта не влечет прекращения неисполненных обязательст</w:t>
      </w:r>
      <w:r>
        <w:rPr>
          <w:highlight w:val="white"/>
        </w:rPr>
        <w:t xml:space="preserve">в</w:t>
      </w:r>
      <w:r>
        <w:rPr>
          <w:highlight w:val="white"/>
        </w:rPr>
        <w:t xml:space="preserve"> </w:t>
      </w:r>
      <w:r>
        <w:rPr>
          <w:highlight w:val="white"/>
        </w:rPr>
        <w:t xml:space="preserve">Сторон</w:t>
      </w:r>
      <w:r>
        <w:rPr>
          <w:highlight w:val="white"/>
        </w:rPr>
        <w:t xml:space="preserve">,</w:t>
      </w:r>
      <w:r>
        <w:rPr>
          <w:highlight w:val="white"/>
        </w:rPr>
        <w:t xml:space="preserve"> в том числе</w:t>
      </w:r>
      <w:r>
        <w:rPr>
          <w:highlight w:val="white"/>
        </w:rPr>
        <w:t xml:space="preserve"> не и</w:t>
      </w:r>
      <w:r>
        <w:t xml:space="preserve">меющих стоимостного выражения, а в части оплаты – до полного исполнения своих обяз</w:t>
      </w:r>
      <w:r>
        <w:t xml:space="preserve">ательств Страхователем.</w:t>
      </w:r>
      <w:r/>
    </w:p>
    <w:p>
      <w:pPr>
        <w:ind w:firstLine="567"/>
        <w:jc w:val="both"/>
      </w:pPr>
      <w:r>
        <w:t xml:space="preserve">12.2.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</w:t>
      </w:r>
      <w:r>
        <w:t xml:space="preserve">отренном статьей 95 Федерального закона о контрактной системе.</w:t>
      </w:r>
      <w:r/>
    </w:p>
    <w:p>
      <w:pPr>
        <w:ind w:firstLine="567"/>
        <w:jc w:val="both"/>
      </w:pPr>
      <w:r>
        <w:t xml:space="preserve">12.3. </w:t>
      </w:r>
      <w:r>
        <w:rPr>
          <w:highlight w:val="white"/>
          <w:shd w:val="clear" w:color="ffffff" w:themeColor="background1" w:fill="ffffff" w:themeFill="background1"/>
        </w:rPr>
        <w:t xml:space="preserve">Стороны</w:t>
      </w:r>
      <w:r>
        <w:rPr>
          <w:highlight w:val="white"/>
          <w:shd w:val="clear" w:color="ffffff" w:themeColor="background1" w:fill="ffffff" w:themeFill="background1"/>
        </w:rPr>
        <w:t xml:space="preserve"> </w:t>
      </w:r>
      <w:r>
        <w:rPr>
          <w:highlight w:val="white"/>
          <w:shd w:val="clear" w:color="ffffff" w:themeColor="background1" w:fill="ffffff" w:themeFill="background1"/>
        </w:rPr>
        <w:t xml:space="preserve">вправе принять решение об одностороннем отказе от исполнения контракта по основаниям, предусмотренным Гражданским кодексом Российской Фе</w:t>
      </w:r>
      <w:r>
        <w:rPr>
          <w:highlight w:val="white"/>
          <w:shd w:val="clear" w:color="ffffff" w:themeColor="background1" w:fill="ffffff" w:themeFill="background1"/>
        </w:rPr>
        <w:t xml:space="preserve">дерации для одностороннего отказа от исполнения </w:t>
      </w:r>
      <w:r>
        <w:t xml:space="preserve">отдельных видов обязательств.</w:t>
      </w:r>
      <w:r/>
    </w:p>
    <w:p>
      <w:pPr>
        <w:ind w:firstLine="567"/>
        <w:jc w:val="both"/>
      </w:pPr>
      <w:r>
        <w:t xml:space="preserve">12.4. В случае принятия Страхователем решения об одностороннем отказе от исполнения контракта заключенного при осуществлении закупки, предусмотренной статьей 93 Федерального зако</w:t>
      </w:r>
      <w:r>
        <w:t xml:space="preserve">на о контрактной системе (за исключением закупки, осуществляемой в соответствии с частью 12 статьи 93 Федерального закона о контрактной системе), такое решение передается лицу, имеющему право действовать от имени Страховщика, лично под расписку или направл</w:t>
      </w:r>
      <w:r>
        <w:t xml:space="preserve">яется Страхователем с соблюдением требований законодательства Российской Федерации о государственной тайне по адресу Страховщика, указанному в контракте. Выполнение Страхователем требований настоящей части считается надлежащим уведомлением Страховщика об о</w:t>
      </w:r>
      <w:r>
        <w:t xml:space="preserve">дностороннем отказе от исполнения контракта. Датой такого надлежащего уведомления считается:</w:t>
      </w:r>
      <w:r/>
    </w:p>
    <w:p>
      <w:pPr>
        <w:ind w:firstLine="567"/>
        <w:jc w:val="both"/>
      </w:pPr>
      <w:r>
        <w:t xml:space="preserve">1) дата, указанная лицом, имеющим право действовать от имени Страховщика, в расписке о получении решения об одностороннем отказе от исполнения контракта (в случае </w:t>
      </w:r>
      <w:r>
        <w:t xml:space="preserve">передачи такого решения лицу, имеющему право действовать от имени Страховщика, лично под расписку);</w:t>
      </w:r>
      <w:r/>
    </w:p>
    <w:p>
      <w:pPr>
        <w:ind w:firstLine="567"/>
        <w:jc w:val="both"/>
      </w:pPr>
      <w:r>
        <w:t xml:space="preserve">2) дата получения Страхователем подтверждения о вручении Страховщику заказного письма, предусмотренного настоящим пунктом, либо дата получения Страхователем</w:t>
      </w:r>
      <w:r>
        <w:t xml:space="preserve"> информации об отсутствии Страховщика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  <w:r/>
    </w:p>
    <w:p>
      <w:pPr>
        <w:ind w:firstLine="567"/>
        <w:jc w:val="both"/>
      </w:pPr>
      <w:r>
        <w:t xml:space="preserve">Решение Страхователя о</w:t>
      </w:r>
      <w:r>
        <w:t xml:space="preserve">б одностороннем отказе от исполнения контракта вступает в силу и контракт считается расторгнутым через десять дней с даты надлежащего уведомления Страхователем Страховщика об одностороннем отказе от исполнения контракта.</w:t>
      </w:r>
      <w:r/>
    </w:p>
    <w:p>
      <w:pPr>
        <w:ind w:firstLine="540"/>
        <w:jc w:val="both"/>
      </w:pPr>
      <w:r>
        <w:t xml:space="preserve">12.5. Страхователь вправе провести </w:t>
      </w:r>
      <w:r>
        <w:t xml:space="preserve">экспертизу оказанных Услуг с привлечением экспертов, экспертных организаций до принятия решения об одностороннем отказе от исполнения Контракта.</w:t>
      </w:r>
      <w:r/>
    </w:p>
    <w:p>
      <w:pPr>
        <w:ind w:firstLine="540"/>
        <w:jc w:val="both"/>
      </w:pPr>
      <w:r>
        <w:t xml:space="preserve">12.6. Если Страхователем проведена экспертиза оказанных Услуг с привлечением экспертов, экспертных организаций,</w:t>
      </w:r>
      <w:r>
        <w:t xml:space="preserve"> решение об одностороннем отказе от исполнения Контракта может быть принято Страхователем только при условии, что по результатам экспертизы оказанных Услуг в заключении эксперта, экспертной организации будут подтверждены нарушения условий Контракта, послуж</w:t>
      </w:r>
      <w:r>
        <w:t xml:space="preserve">ившие основанием для одностороннего отказа Страхователем от исполнения Контракта.</w:t>
      </w:r>
      <w:r/>
    </w:p>
    <w:p>
      <w:pPr>
        <w:ind w:firstLine="540"/>
        <w:jc w:val="both"/>
        <w:rPr>
          <w:spacing w:val="-1"/>
        </w:rPr>
      </w:pPr>
      <w:r>
        <w:rPr>
          <w:spacing w:val="-1"/>
        </w:rPr>
      </w:r>
      <w:r>
        <w:rPr>
          <w:spacing w:val="-1"/>
        </w:rPr>
      </w:r>
    </w:p>
    <w:p>
      <w:pPr>
        <w:jc w:val="center"/>
        <w:rPr>
          <w:rFonts w:ascii="Arial" w:hAnsi="Arial" w:cs="Arial" w:eastAsiaTheme="minorHAnsi"/>
          <w:b/>
          <w:sz w:val="20"/>
          <w:szCs w:val="20"/>
          <w:lang w:eastAsia="en-US"/>
        </w:rPr>
        <w:outlineLvl w:val="1"/>
      </w:pPr>
      <w:r>
        <w:rPr>
          <w:b/>
        </w:rPr>
        <w:t xml:space="preserve">13. Прочие положения </w:t>
      </w:r>
      <w:r>
        <w:rPr>
          <w:rFonts w:ascii="Arial" w:hAnsi="Arial" w:cs="Arial" w:eastAsiaTheme="minorHAnsi"/>
          <w:b/>
          <w:sz w:val="20"/>
          <w:szCs w:val="20"/>
          <w:lang w:eastAsia="en-US"/>
        </w:rPr>
      </w:r>
    </w:p>
    <w:p>
      <w:pPr>
        <w:ind w:firstLine="567"/>
        <w:jc w:val="both"/>
        <w:rPr>
          <w:rFonts w:eastAsia="Calibri"/>
          <w:spacing w:val="-1"/>
        </w:rPr>
      </w:pPr>
      <w:r>
        <w:rPr>
          <w:rFonts w:eastAsia="Calibri"/>
        </w:rPr>
        <w:t xml:space="preserve">13.1.</w:t>
      </w:r>
      <w:r>
        <w:rPr>
          <w:rFonts w:eastAsia="Calibri"/>
          <w:spacing w:val="-1"/>
        </w:rPr>
        <w:t xml:space="preserve"> По вопросам, не урегулированным в Контракте, стороны руководствуются действующим законодательством Российской Федерации.</w:t>
      </w:r>
      <w:r>
        <w:rPr>
          <w:rFonts w:eastAsia="Calibri"/>
          <w:spacing w:val="-1"/>
        </w:rPr>
      </w:r>
    </w:p>
    <w:p>
      <w:pPr>
        <w:ind w:firstLine="567"/>
        <w:jc w:val="both"/>
        <w:rPr>
          <w:rFonts w:eastAsia="Calibri"/>
          <w:spacing w:val="-1"/>
        </w:rPr>
      </w:pPr>
      <w:r>
        <w:rPr>
          <w:rFonts w:eastAsia="Calibri"/>
          <w:spacing w:val="-1"/>
        </w:rPr>
        <w:t xml:space="preserve">13.2. </w:t>
      </w:r>
      <w:r>
        <w:rPr>
          <w:rFonts w:eastAsia="Calibri"/>
          <w:spacing w:val="-1"/>
        </w:rPr>
        <w:t xml:space="preserve">Переписка между Сторонами, ведется по адресам, указанным в разделе 15 настоящего Контракта и высылается с обязательным подтверждением получения в виде письма, электронного письма с запросом подтверждения получения, телеграммы или факса. </w:t>
      </w:r>
      <w:r>
        <w:rPr>
          <w:rFonts w:eastAsia="Calibri"/>
          <w:spacing w:val="-1"/>
        </w:rPr>
      </w:r>
    </w:p>
    <w:p>
      <w:pPr>
        <w:ind w:firstLine="567"/>
        <w:jc w:val="both"/>
        <w:rPr>
          <w:rFonts w:eastAsia="Calibri"/>
          <w:spacing w:val="-1"/>
        </w:rPr>
      </w:pPr>
      <w:r>
        <w:rPr>
          <w:rFonts w:eastAsia="Calibri"/>
          <w:spacing w:val="-1"/>
        </w:rPr>
        <w:t xml:space="preserve">13.3. Стороны обяз</w:t>
      </w:r>
      <w:r>
        <w:rPr>
          <w:rFonts w:eastAsia="Calibri"/>
          <w:spacing w:val="-1"/>
        </w:rPr>
        <w:t xml:space="preserve">уются обеспечить конфиденциальность сведений, относящихся к предмету Контракта, и ставших им известными в ходе исполнения Контракта.</w:t>
      </w:r>
      <w:r>
        <w:rPr>
          <w:rFonts w:eastAsia="Calibri"/>
          <w:spacing w:val="-1"/>
        </w:rPr>
      </w:r>
    </w:p>
    <w:p>
      <w:pPr>
        <w:ind w:right="-1" w:firstLine="567"/>
        <w:jc w:val="both"/>
        <w:spacing w:line="0" w:lineRule="atLeast"/>
        <w:rPr>
          <w:highlight w:val="yellow"/>
        </w:rPr>
      </w:pPr>
      <w:r>
        <w:rPr>
          <w:szCs w:val="28"/>
          <w:highlight w:val="yellow"/>
        </w:rPr>
        <w:t xml:space="preserve">Вариант 1</w:t>
      </w:r>
      <w:r>
        <w:rPr>
          <w:highlight w:val="yellow"/>
        </w:rPr>
      </w:r>
    </w:p>
    <w:p>
      <w:pPr>
        <w:ind w:right="-1" w:firstLine="567"/>
        <w:jc w:val="both"/>
        <w:spacing w:line="0" w:lineRule="atLeast"/>
        <w:rPr>
          <w:highlight w:val="yellow"/>
        </w:rPr>
      </w:pPr>
      <w:r>
        <w:rPr>
          <w:szCs w:val="28"/>
          <w:highlight w:val="yellow"/>
        </w:rPr>
        <w:t xml:space="preserve">13.4. Контракт составлен в форме электронного документа, подписанного усиленными электронными подписями Сторон.</w:t>
      </w:r>
      <w:r>
        <w:rPr>
          <w:highlight w:val="yellow"/>
        </w:rPr>
      </w:r>
    </w:p>
    <w:p>
      <w:pPr>
        <w:ind w:right="-1" w:firstLine="567"/>
        <w:jc w:val="both"/>
        <w:spacing w:line="0" w:lineRule="atLeast"/>
        <w:rPr>
          <w:highlight w:val="cyan"/>
        </w:rPr>
      </w:pPr>
      <w:r>
        <w:rPr>
          <w:szCs w:val="28"/>
          <w:highlight w:val="cyan"/>
        </w:rPr>
        <w:t xml:space="preserve">В</w:t>
      </w:r>
      <w:r>
        <w:rPr>
          <w:szCs w:val="28"/>
          <w:highlight w:val="cyan"/>
        </w:rPr>
        <w:t xml:space="preserve">ариант 2</w:t>
      </w:r>
      <w:r>
        <w:rPr>
          <w:highlight w:val="cyan"/>
        </w:rPr>
      </w:r>
    </w:p>
    <w:p>
      <w:pPr>
        <w:ind w:right="-1" w:firstLine="567"/>
        <w:jc w:val="both"/>
        <w:spacing w:line="0" w:lineRule="atLeast"/>
        <w:rPr>
          <w:szCs w:val="28"/>
          <w:highlight w:val="cyan"/>
        </w:rPr>
      </w:pPr>
      <w:r>
        <w:rPr>
          <w:szCs w:val="28"/>
          <w:highlight w:val="cyan"/>
        </w:rPr>
        <w:t xml:space="preserve">13.4. Контракт составлен в простой письменной форме в 2 (двух) экземплярах, имеющих равную юридическую силу, по одному экземпляру для каждой из Сторон.</w:t>
      </w:r>
      <w:r>
        <w:rPr>
          <w:szCs w:val="28"/>
          <w:highlight w:val="cyan"/>
        </w:rPr>
      </w:r>
    </w:p>
    <w:p>
      <w:pPr>
        <w:ind w:firstLine="567"/>
        <w:jc w:val="both"/>
        <w:rPr>
          <w:rFonts w:eastAsia="Calibri"/>
          <w:spacing w:val="-1"/>
        </w:rPr>
      </w:pPr>
      <w:r>
        <w:rPr>
          <w:rFonts w:eastAsia="Calibri"/>
          <w:spacing w:val="-1"/>
        </w:rPr>
      </w:r>
      <w:r>
        <w:rPr>
          <w:rFonts w:eastAsia="Calibri"/>
          <w:spacing w:val="-1"/>
        </w:rPr>
      </w:r>
    </w:p>
    <w:p>
      <w:pPr>
        <w:jc w:val="center"/>
        <w:outlineLvl w:val="1"/>
      </w:pPr>
      <w:r/>
      <w:r/>
    </w:p>
    <w:p>
      <w:pPr>
        <w:jc w:val="center"/>
        <w:rPr>
          <w:b/>
        </w:rPr>
        <w:outlineLvl w:val="1"/>
      </w:pPr>
      <w:r>
        <w:rPr>
          <w:b/>
        </w:rPr>
        <w:t xml:space="preserve">14. Перечень приложений</w:t>
      </w:r>
      <w:r>
        <w:rPr>
          <w:b/>
        </w:rPr>
      </w:r>
    </w:p>
    <w:p>
      <w:pPr>
        <w:ind w:firstLine="567"/>
        <w:jc w:val="both"/>
        <w:shd w:val="clear" w:color="auto" w:fill="ffffff"/>
        <w:tabs>
          <w:tab w:val="left" w:pos="567" w:leader="none"/>
        </w:tabs>
        <w:rPr>
          <w:spacing w:val="-1"/>
        </w:rPr>
      </w:pPr>
      <w:r>
        <w:rPr>
          <w:spacing w:val="-5"/>
        </w:rPr>
        <w:t xml:space="preserve">14.1. Неотъемлемой частью Контракта являются следующие приложения:</w:t>
      </w:r>
      <w:r>
        <w:rPr>
          <w:spacing w:val="-1"/>
        </w:rPr>
      </w:r>
    </w:p>
    <w:tbl>
      <w:tblPr>
        <w:tblW w:w="10188" w:type="dxa"/>
        <w:tblInd w:w="-34" w:type="dxa"/>
        <w:tblLook w:val="01E0" w:firstRow="1" w:lastRow="1" w:firstColumn="1" w:lastColumn="1" w:noHBand="0" w:noVBand="0"/>
      </w:tblPr>
      <w:tblGrid>
        <w:gridCol w:w="10188"/>
      </w:tblGrid>
      <w:tr>
        <w:tblPrEx/>
        <w:trPr/>
        <w:tc>
          <w:tcPr>
            <w:tcW w:w="10188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</w:tabs>
            </w:pPr>
            <w:r>
              <w:t xml:space="preserve">          Приложение №1 – Расчет страховой премии.</w:t>
            </w:r>
            <w:r/>
          </w:p>
          <w:p>
            <w:pPr>
              <w:jc w:val="both"/>
              <w:shd w:val="clear" w:color="auto" w:fill="ffffff"/>
              <w:tabs>
                <w:tab w:val="left" w:pos="567" w:leader="none"/>
              </w:tabs>
              <w:rPr>
                <w:spacing w:val="-1"/>
              </w:rPr>
            </w:pPr>
            <w:r>
              <w:t xml:space="preserve">          Приложение №2 – Техническое задание.</w:t>
            </w:r>
            <w:r>
              <w:rPr>
                <w:spacing w:val="-1"/>
              </w:rPr>
            </w:r>
          </w:p>
        </w:tc>
      </w:tr>
    </w:tbl>
    <w:p>
      <w:pPr>
        <w:rPr>
          <w:b/>
          <w:spacing w:val="-1"/>
        </w:rPr>
      </w:pPr>
      <w:r>
        <w:rPr>
          <w:b/>
          <w:spacing w:val="-1"/>
        </w:rPr>
      </w:r>
      <w:r>
        <w:rPr>
          <w:b/>
          <w:spacing w:val="-1"/>
        </w:rPr>
      </w:r>
    </w:p>
    <w:p>
      <w:pPr>
        <w:jc w:val="center"/>
        <w:rPr>
          <w:b/>
          <w:spacing w:val="-1"/>
        </w:rPr>
      </w:pPr>
      <w:r>
        <w:rPr>
          <w:b/>
          <w:spacing w:val="-1"/>
        </w:rPr>
        <w:t xml:space="preserve">15. Адреса и банковские реквизиты Сторон</w:t>
      </w:r>
      <w:r>
        <w:rPr>
          <w:b/>
          <w:spacing w:val="-1"/>
        </w:rPr>
      </w:r>
    </w:p>
    <w:tbl>
      <w:tblPr>
        <w:tblW w:w="15132" w:type="dxa"/>
        <w:tblLook w:val="01E0" w:firstRow="1" w:lastRow="1" w:firstColumn="1" w:lastColumn="1" w:noHBand="0" w:noVBand="0"/>
      </w:tblPr>
      <w:tblGrid>
        <w:gridCol w:w="5098"/>
        <w:gridCol w:w="5108"/>
        <w:gridCol w:w="4926"/>
      </w:tblGrid>
      <w:tr>
        <w:tblPrEx/>
        <w:trPr>
          <w:trHeight w:val="983"/>
        </w:trPr>
        <w:tc>
          <w:tcPr>
            <w:tcW w:w="5098" w:type="dxa"/>
            <w:textDirection w:val="lrTb"/>
            <w:noWrap w:val="false"/>
          </w:tcPr>
          <w:p>
            <w:pPr>
              <w:rPr>
                <w:spacing w:val="-1"/>
              </w:rPr>
            </w:pPr>
            <w:r>
              <w:rPr>
                <w:spacing w:val="-1"/>
              </w:rPr>
              <w:t xml:space="preserve">Страховщик:</w:t>
            </w:r>
            <w:r>
              <w:rPr>
                <w:spacing w:val="-1"/>
              </w:rPr>
            </w:r>
          </w:p>
          <w:p>
            <w:pPr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</w:p>
          <w:p>
            <w:pPr>
              <w:rPr>
                <w:spacing w:val="-1"/>
              </w:rPr>
            </w:pPr>
            <w:r>
              <w:rPr>
                <w:spacing w:val="-1"/>
              </w:rPr>
              <w:t xml:space="preserve">В соответствии с ЕГРЮЛ (ЕГРИП)</w:t>
            </w:r>
            <w:r>
              <w:rPr>
                <w:spacing w:val="-1"/>
              </w:rPr>
            </w:r>
          </w:p>
          <w:p>
            <w:pPr>
              <w:rPr>
                <w:i/>
                <w:spacing w:val="-1"/>
              </w:rPr>
            </w:pPr>
            <w:r>
              <w:rPr>
                <w:i/>
                <w:spacing w:val="-1"/>
              </w:rPr>
              <w:t xml:space="preserve">(</w:t>
            </w:r>
            <w:r>
              <w:rPr>
                <w:i/>
                <w:spacing w:val="-1"/>
              </w:rPr>
              <w:t xml:space="preserve"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1"/>
              </w:rPr>
              <w:t xml:space="preserve">т.ч</w:t>
            </w:r>
            <w:r>
              <w:rPr>
                <w:i/>
                <w:spacing w:val="-1"/>
              </w:rPr>
              <w:t xml:space="preserve">. ОГРН, ОКОПФ, ОКПО, ОКПД2, ОКАТО, ОКТМО)</w:t>
            </w:r>
            <w:r>
              <w:rPr>
                <w:i/>
                <w:spacing w:val="-1"/>
              </w:rPr>
            </w:r>
          </w:p>
          <w:p>
            <w:pPr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</w:p>
          <w:p>
            <w:pPr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</w:p>
        </w:tc>
        <w:tc>
          <w:tcPr>
            <w:tcW w:w="5108" w:type="dxa"/>
            <w:vAlign w:val="center"/>
            <w:textDirection w:val="lrTb"/>
            <w:noWrap w:val="false"/>
          </w:tcPr>
          <w:p>
            <w:pPr>
              <w:rPr>
                <w:spacing w:val="-1"/>
              </w:rPr>
            </w:pPr>
            <w:r>
              <w:rPr>
                <w:spacing w:val="-1"/>
              </w:rPr>
              <w:t xml:space="preserve">Страхователь:</w:t>
            </w:r>
            <w:r>
              <w:rPr>
                <w:spacing w:val="-1"/>
              </w:rPr>
            </w:r>
          </w:p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Управл</w:t>
            </w:r>
            <w:r>
              <w:t xml:space="preserve">ение Федеральной службы </w:t>
            </w:r>
            <w:r/>
          </w:p>
          <w:p>
            <w:pPr>
              <w:jc w:val="both"/>
            </w:pPr>
            <w:r>
              <w:t xml:space="preserve">по</w:t>
            </w:r>
            <w:r>
              <w:t xml:space="preserve"> надзору в сфере защиты прав потребителей</w:t>
            </w:r>
            <w:r/>
          </w:p>
          <w:p>
            <w:pPr>
              <w:jc w:val="both"/>
            </w:pPr>
            <w:r>
              <w:t xml:space="preserve"> </w:t>
            </w:r>
            <w:r>
              <w:t xml:space="preserve">и</w:t>
            </w:r>
            <w:r>
              <w:t xml:space="preserve"> благополучия человека по Самарской области</w:t>
            </w:r>
            <w:r/>
          </w:p>
          <w:p>
            <w:pPr>
              <w:jc w:val="both"/>
            </w:pPr>
            <w:r>
              <w:t xml:space="preserve">443079, г. Самара, Проезд Георгия Митирева, 1</w:t>
            </w:r>
            <w:r/>
          </w:p>
          <w:p>
            <w:pPr>
              <w:jc w:val="both"/>
            </w:pPr>
            <w:r>
              <w:t xml:space="preserve">Тел. (факс) 8 (846) 260-38-25, 8 (846) 310-22-57, 8 (846) 310-21-97 - бухгалтерия,</w:t>
            </w:r>
            <w:r/>
          </w:p>
          <w:p>
            <w:pPr>
              <w:jc w:val="both"/>
            </w:pPr>
            <w:r>
              <w:rPr>
                <w:lang w:val="en-US"/>
              </w:rPr>
              <w:t xml:space="preserve">E</w:t>
            </w:r>
            <w:r>
              <w:t xml:space="preserve">-</w:t>
            </w:r>
            <w:r>
              <w:rPr>
                <w:lang w:val="en-US"/>
              </w:rPr>
              <w:t xml:space="preserve">mail</w:t>
            </w:r>
            <w:r>
              <w:t xml:space="preserve"> – </w:t>
            </w:r>
            <w:r>
              <w:rPr>
                <w:lang w:val="en-US"/>
              </w:rPr>
              <w:t xml:space="preserve">sancntr</w:t>
            </w:r>
            <w:r>
              <w:t xml:space="preserve">@</w:t>
            </w:r>
            <w:r>
              <w:rPr>
                <w:lang w:val="en-US"/>
              </w:rPr>
              <w:t xml:space="preserve">fsnsamara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>
              <w:t xml:space="preserve">; </w:t>
            </w:r>
            <w:r/>
          </w:p>
          <w:p>
            <w:pPr>
              <w:jc w:val="both"/>
            </w:pPr>
            <w:r>
              <w:t xml:space="preserve">tender@fsnsamara.ru; </w:t>
            </w:r>
            <w:r/>
          </w:p>
          <w:p>
            <w:pPr>
              <w:jc w:val="both"/>
            </w:pPr>
            <w:r>
              <w:t xml:space="preserve">potrebnadzor@fsnsamara.ru - бухгалтерия</w:t>
            </w:r>
            <w:r/>
          </w:p>
          <w:p>
            <w:pPr>
              <w:jc w:val="both"/>
            </w:pPr>
            <w:r>
              <w:t xml:space="preserve">ИНН 6316098843 КПП 631601001</w:t>
            </w:r>
            <w:r/>
          </w:p>
          <w:p>
            <w:pPr>
              <w:jc w:val="both"/>
            </w:pPr>
            <w:r>
              <w:t xml:space="preserve">ОГРН 1056316019935 ОКПО 76777168</w:t>
            </w:r>
            <w:r/>
          </w:p>
          <w:p>
            <w:pPr>
              <w:jc w:val="both"/>
              <w:rPr>
                <w:i/>
              </w:rPr>
            </w:pPr>
            <w:r>
              <w:rPr>
                <w:i/>
              </w:rPr>
              <w:t xml:space="preserve">Банковские реквизиты:</w:t>
            </w:r>
            <w:r>
              <w:rPr>
                <w:i/>
              </w:rPr>
            </w:r>
          </w:p>
          <w:p>
            <w:pPr>
              <w:jc w:val="both"/>
              <w:rPr>
                <w:i/>
              </w:rPr>
            </w:pPr>
            <w:r>
              <w:rPr>
                <w:i/>
              </w:rPr>
              <w:t xml:space="preserve">Лицевой счет: 03421788140</w:t>
            </w:r>
            <w:r>
              <w:rPr>
                <w:i/>
              </w:rPr>
            </w:r>
          </w:p>
          <w:p>
            <w:pPr>
              <w:jc w:val="both"/>
              <w:rPr>
                <w:i/>
              </w:rPr>
            </w:pPr>
            <w:r>
              <w:rPr>
                <w:i/>
              </w:rPr>
              <w:t xml:space="preserve">Номер банковского (казначейского) счета: 03211643000000013249</w:t>
            </w:r>
            <w:r>
              <w:rPr>
                <w:i/>
              </w:rPr>
            </w:r>
          </w:p>
          <w:p>
            <w:pPr>
              <w:jc w:val="both"/>
              <w:rPr>
                <w:i/>
              </w:rPr>
            </w:pPr>
            <w:r>
              <w:rPr>
                <w:i/>
              </w:rPr>
              <w:t xml:space="preserve">Реквизиты банка, ТОФК: ОКЦ № 1 ВВГУ Банка России // УФК по Нижегородской области, г. Нижний Новгород</w:t>
            </w:r>
            <w:r>
              <w:rPr>
                <w:i/>
              </w:rPr>
            </w:r>
          </w:p>
          <w:p>
            <w:pPr>
              <w:jc w:val="both"/>
              <w:rPr>
                <w:i/>
              </w:rPr>
            </w:pPr>
            <w:r>
              <w:rPr>
                <w:i/>
              </w:rPr>
              <w:t xml:space="preserve">БИК банка получателя средств (БИК): 012202102 </w:t>
            </w:r>
            <w:r>
              <w:rPr>
                <w:i/>
              </w:rPr>
            </w:r>
          </w:p>
          <w:p>
            <w:pPr>
              <w:rPr>
                <w:spacing w:val="-1"/>
              </w:rPr>
            </w:pPr>
            <w:r>
              <w:rPr>
                <w:i/>
              </w:rPr>
              <w:t xml:space="preserve">Номер счета банка получателя средств (номер банковского счета, входящего в состав единого казначейского сче</w:t>
            </w:r>
            <w:r>
              <w:rPr>
                <w:i/>
              </w:rPr>
              <w:t xml:space="preserve">та (ЕКС): 40102810745370000024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spacing w:val="-1"/>
              </w:rPr>
            </w:r>
          </w:p>
        </w:tc>
        <w:tc>
          <w:tcPr>
            <w:tcBorders>
              <w:left w:val="none" w:color="000000" w:sz="4" w:space="0"/>
            </w:tcBorders>
            <w:tcW w:w="49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</w:r>
            <w:r>
              <w:rPr>
                <w:b/>
                <w:spacing w:val="-1"/>
              </w:rPr>
            </w:r>
          </w:p>
        </w:tc>
      </w:tr>
    </w:tbl>
    <w:p>
      <w:pPr>
        <w:jc w:val="center"/>
        <w:rPr>
          <w:b/>
          <w:spacing w:val="-1"/>
        </w:rPr>
      </w:pPr>
      <w:r>
        <w:rPr>
          <w:b/>
          <w:spacing w:val="-1"/>
        </w:rPr>
      </w:r>
      <w:r>
        <w:rPr>
          <w:b/>
          <w:spacing w:val="-1"/>
        </w:rPr>
      </w:r>
    </w:p>
    <w:p>
      <w:pPr>
        <w:jc w:val="center"/>
        <w:rPr>
          <w:b/>
          <w:spacing w:val="-1"/>
        </w:rPr>
      </w:pPr>
      <w:r>
        <w:rPr>
          <w:b/>
          <w:spacing w:val="-1"/>
        </w:rPr>
        <w:t xml:space="preserve">Подписи сторон:</w:t>
      </w:r>
      <w:r>
        <w:rPr>
          <w:b/>
          <w:spacing w:val="-1"/>
        </w:rPr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68"/>
        <w:gridCol w:w="4608"/>
      </w:tblGrid>
      <w:tr>
        <w:tblPrEx/>
        <w:trPr>
          <w:trHeight w:val="344"/>
        </w:trPr>
        <w:tc>
          <w:tcPr>
            <w:shd w:val="clear" w:color="auto" w:fill="auto"/>
            <w:tcW w:w="5868" w:type="dxa"/>
            <w:textDirection w:val="lrTb"/>
            <w:noWrap w:val="false"/>
          </w:tcPr>
          <w:p>
            <w:pPr>
              <w:rPr>
                <w:spacing w:val="-1"/>
              </w:rPr>
            </w:pPr>
            <w:r>
              <w:rPr>
                <w:spacing w:val="-1"/>
              </w:rPr>
              <w:t xml:space="preserve">Страховщик</w:t>
            </w:r>
            <w:r>
              <w:rPr>
                <w:spacing w:val="-1"/>
              </w:rPr>
            </w:r>
          </w:p>
        </w:tc>
        <w:tc>
          <w:tcPr>
            <w:shd w:val="clear" w:color="auto" w:fill="auto"/>
            <w:tcW w:w="4608" w:type="dxa"/>
            <w:textDirection w:val="lrTb"/>
            <w:noWrap w:val="false"/>
          </w:tcPr>
          <w:p>
            <w:pPr>
              <w:rPr>
                <w:spacing w:val="-1"/>
              </w:rPr>
            </w:pPr>
            <w:r>
              <w:rPr>
                <w:spacing w:val="-1"/>
              </w:rPr>
              <w:t xml:space="preserve">Страхователь</w:t>
            </w:r>
            <w:r>
              <w:rPr>
                <w:spacing w:val="-1"/>
              </w:rPr>
            </w:r>
          </w:p>
          <w:p>
            <w:pPr>
              <w:rPr>
                <w:spacing w:val="-1"/>
              </w:rPr>
            </w:pPr>
            <w:r>
              <w:rPr>
                <w:spacing w:val="-1"/>
              </w:rPr>
              <w:t xml:space="preserve">Руководитель </w:t>
            </w:r>
            <w:r>
              <w:rPr>
                <w:spacing w:val="-1"/>
              </w:rPr>
            </w:r>
          </w:p>
          <w:p>
            <w:pPr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</w:p>
        </w:tc>
      </w:tr>
      <w:tr>
        <w:tblPrEx/>
        <w:trPr/>
        <w:tc>
          <w:tcPr>
            <w:shd w:val="clear" w:color="auto" w:fill="auto"/>
            <w:tcW w:w="5868" w:type="dxa"/>
            <w:textDirection w:val="lrTb"/>
            <w:noWrap w:val="false"/>
          </w:tcPr>
          <w:p>
            <w:pPr>
              <w:rPr>
                <w:spacing w:val="-1"/>
              </w:rPr>
            </w:pPr>
            <w:r>
              <w:rPr>
                <w:spacing w:val="-1"/>
              </w:rPr>
              <w:t xml:space="preserve">___________________/_____________/</w:t>
            </w:r>
            <w:r>
              <w:rPr>
                <w:spacing w:val="-1"/>
              </w:rPr>
            </w:r>
          </w:p>
        </w:tc>
        <w:tc>
          <w:tcPr>
            <w:shd w:val="clear" w:color="auto" w:fill="auto"/>
            <w:tcW w:w="4608" w:type="dxa"/>
            <w:textDirection w:val="lrTb"/>
            <w:noWrap w:val="false"/>
          </w:tcPr>
          <w:p>
            <w:pPr>
              <w:rPr>
                <w:spacing w:val="-1"/>
              </w:rPr>
            </w:pPr>
            <w:r>
              <w:rPr>
                <w:spacing w:val="-1"/>
              </w:rPr>
              <w:t xml:space="preserve">___________________ Архипова С.В.</w:t>
            </w:r>
            <w:r>
              <w:rPr>
                <w:spacing w:val="-1"/>
              </w:rPr>
            </w:r>
          </w:p>
        </w:tc>
      </w:tr>
      <w:tr>
        <w:tblPrEx/>
        <w:trPr/>
        <w:tc>
          <w:tcPr>
            <w:shd w:val="clear" w:color="auto" w:fill="auto"/>
            <w:tcW w:w="5868" w:type="dxa"/>
            <w:textDirection w:val="lrTb"/>
            <w:noWrap w:val="false"/>
          </w:tcPr>
          <w:p>
            <w:pPr>
              <w:rPr>
                <w:spacing w:val="-1"/>
              </w:rPr>
            </w:pPr>
            <w:r>
              <w:rPr>
                <w:spacing w:val="-1"/>
              </w:rPr>
              <w:t xml:space="preserve">М.П.</w:t>
            </w:r>
            <w:r>
              <w:rPr>
                <w:spacing w:val="-1"/>
              </w:rPr>
            </w:r>
          </w:p>
        </w:tc>
        <w:tc>
          <w:tcPr>
            <w:shd w:val="clear" w:color="auto" w:fill="auto"/>
            <w:tcW w:w="4608" w:type="dxa"/>
            <w:textDirection w:val="lrTb"/>
            <w:noWrap w:val="false"/>
          </w:tcPr>
          <w:p>
            <w:pPr>
              <w:rPr>
                <w:spacing w:val="-1"/>
              </w:rPr>
            </w:pPr>
            <w:r>
              <w:rPr>
                <w:spacing w:val="-1"/>
              </w:rPr>
              <w:t xml:space="preserve">М.П.</w:t>
            </w:r>
            <w:r>
              <w:rPr>
                <w:spacing w:val="-1"/>
              </w:rPr>
            </w:r>
          </w:p>
        </w:tc>
      </w:tr>
    </w:tbl>
    <w:p>
      <w:pPr>
        <w:jc w:val="center"/>
        <w:rPr>
          <w:b/>
          <w:spacing w:val="-1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sectPr>
          <w:footerReference w:type="default" r:id="rId9"/>
          <w:footerReference w:type="even" r:id="rId10"/>
          <w:footnotePr/>
          <w:endnotePr/>
          <w:type w:val="nextPage"/>
          <w:pgSz w:w="11906" w:h="16838" w:orient="portrait"/>
          <w:pgMar w:top="719" w:right="566" w:bottom="709" w:left="1080" w:header="708" w:footer="708" w:gutter="0"/>
          <w:cols w:num="1" w:sep="0" w:space="708" w:equalWidth="1"/>
          <w:docGrid w:linePitch="360"/>
          <w:titlePg/>
        </w:sectPr>
      </w:pPr>
      <w:r>
        <w:rPr>
          <w:b/>
          <w:spacing w:val="-1"/>
        </w:rPr>
      </w:r>
      <w:r>
        <w:rPr>
          <w:b/>
          <w:spacing w:val="-1"/>
        </w:rPr>
      </w:r>
    </w:p>
    <w:p>
      <w:pPr>
        <w:jc w:val="center"/>
        <w:rPr>
          <w:spacing w:val="-1"/>
        </w:rPr>
      </w:pPr>
      <w:r>
        <w:rPr>
          <w:spacing w:val="-1"/>
        </w:rPr>
      </w:r>
      <w:r>
        <w:rPr>
          <w:spacing w:val="-1"/>
        </w:rPr>
      </w:r>
    </w:p>
    <w:p>
      <w:pPr>
        <w:jc w:val="center"/>
        <w:rPr>
          <w:b/>
          <w:spacing w:val="-1"/>
        </w:rPr>
      </w:pPr>
      <w:r>
        <w:rPr>
          <w:b/>
          <w:spacing w:val="-1"/>
        </w:rPr>
      </w:r>
      <w:r>
        <w:rPr>
          <w:b/>
          <w:spacing w:val="-1"/>
        </w:rPr>
      </w:r>
    </w:p>
    <w:p>
      <w:pPr>
        <w:jc w:val="right"/>
      </w:pPr>
      <w:r>
        <w:t xml:space="preserve">Приложение №1</w:t>
      </w:r>
      <w:r/>
    </w:p>
    <w:p>
      <w:pPr>
        <w:jc w:val="right"/>
      </w:pPr>
      <w:r>
        <w:t xml:space="preserve">к</w:t>
      </w:r>
      <w:r>
        <w:t xml:space="preserve"> Государственному контракту </w:t>
      </w:r>
      <w:r/>
    </w:p>
    <w:p>
      <w:pPr>
        <w:jc w:val="right"/>
      </w:pPr>
      <w:r>
        <w:t xml:space="preserve">№____ от «___» ______________ 2026 г.</w:t>
      </w:r>
      <w:r/>
    </w:p>
    <w:p>
      <w:pPr>
        <w:spacing w:after="60"/>
        <w:rPr>
          <w:bCs/>
          <w:color w:val="000000"/>
          <w:spacing w:val="-1"/>
        </w:rPr>
      </w:pPr>
      <w:r>
        <w:rPr>
          <w:bCs/>
          <w:color w:val="000000"/>
          <w:spacing w:val="-1"/>
        </w:rPr>
      </w:r>
      <w:r>
        <w:rPr>
          <w:bCs/>
          <w:color w:val="000000"/>
          <w:spacing w:val="-1"/>
        </w:rPr>
      </w:r>
    </w:p>
    <w:p>
      <w:pPr>
        <w:jc w:val="center"/>
        <w:spacing w:after="60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 xml:space="preserve">РАСЧЕТ СТРАХОВОЙ ПРЕМИИ</w:t>
      </w:r>
      <w:r>
        <w:rPr>
          <w:b/>
          <w:bCs/>
          <w:color w:val="000000"/>
          <w:spacing w:val="-1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/>
          <w:bCs/>
          <w:color w:val="000000"/>
        </w:rPr>
        <w:t xml:space="preserve">Наименование объекта закупки:</w:t>
      </w:r>
      <w:r>
        <w:rPr>
          <w:rFonts w:ascii="PT Astra Serif" w:hAnsi="PT Astra Serif"/>
          <w:bCs/>
          <w:color w:val="000000"/>
        </w:rPr>
        <w:t xml:space="preserve"> </w:t>
      </w:r>
      <w:r>
        <w:rPr>
          <w:rFonts w:ascii="PT Astra Serif" w:hAnsi="PT Astra Serif"/>
          <w:bCs/>
          <w:color w:val="000000"/>
        </w:rPr>
        <w:t xml:space="preserve">оказание услуг по обязательному страхованию гражданской ответственности владельцев транспортных средств</w:t>
      </w:r>
      <w:r>
        <w:rPr>
          <w:rFonts w:ascii="PT Astra Serif" w:hAnsi="PT Astra Serif"/>
          <w:bCs/>
          <w:color w:val="000000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Максимальное значение цены контракта определено тарифным методом.</w:t>
      </w:r>
      <w:r>
        <w:rPr>
          <w:rFonts w:ascii="PT Astra Serif" w:hAnsi="PT Astra Serif"/>
          <w:bCs/>
          <w:color w:val="000000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Формула цены Контракта:</w:t>
      </w:r>
      <w:r>
        <w:rPr>
          <w:rFonts w:ascii="PT Astra Serif" w:hAnsi="PT Astra Serif"/>
          <w:bCs/>
          <w:color w:val="000000"/>
        </w:rPr>
      </w:r>
    </w:p>
    <w:p>
      <w:pPr>
        <w:ind w:firstLine="567"/>
        <w:jc w:val="both"/>
      </w:pPr>
      <w:r>
        <w:rPr>
          <w:rFonts w:ascii="PT Astra Serif" w:hAnsi="PT Astra Serif"/>
          <w:bCs/>
          <w:color w:val="000000"/>
        </w:rPr>
        <w:t xml:space="preserve">Размер страховой премии рассчитывается на каждое транспортное </w:t>
      </w:r>
      <w:r>
        <w:rPr>
          <w:rFonts w:ascii="PT Astra Serif" w:hAnsi="PT Astra Serif"/>
          <w:bCs/>
          <w:color w:val="000000"/>
        </w:rPr>
        <w:t xml:space="preserve">средство в соответствии с Порядком применения страховых тарифов по обязательному страхованию гражданской ответственности владельцев транспортных средств страховщиками при определении страховой премии по договору обязательного страхования гражданской ответс</w:t>
      </w:r>
      <w:r>
        <w:rPr>
          <w:rFonts w:ascii="PT Astra Serif" w:hAnsi="PT Astra Serif"/>
          <w:bCs/>
          <w:color w:val="000000"/>
        </w:rPr>
        <w:t xml:space="preserve">твенности владельцев транспортных средств (приложение № 4 к Указание Банка России от 9 октября 2025 г. № 7204-У «О страховых тарифах по обязательному страхованию гражданской ответственности владельцев транспортных средств» по формуле:</w:t>
      </w:r>
      <w:r/>
    </w:p>
    <w:p>
      <w:pPr>
        <w:ind w:firstLine="567"/>
        <w:jc w:val="both"/>
        <w:rPr>
          <w:rFonts w:ascii="PT Astra Serif" w:hAnsi="PT Astra Serif"/>
          <w:bCs/>
          <w:i/>
          <w:color w:val="000000"/>
        </w:rPr>
      </w:pPr>
      <w:r>
        <w:rPr>
          <w:rFonts w:ascii="PT Astra Serif" w:hAnsi="PT Astra Serif"/>
          <w:bCs/>
          <w:i/>
          <w:color w:val="000000"/>
        </w:rPr>
        <w:t xml:space="preserve">При обязательном стра</w:t>
      </w:r>
      <w:r>
        <w:rPr>
          <w:rFonts w:ascii="PT Astra Serif" w:hAnsi="PT Astra Serif"/>
          <w:bCs/>
          <w:i/>
          <w:color w:val="000000"/>
        </w:rPr>
        <w:t xml:space="preserve">ховании гражданской ответственности владельцев транспортных средств, зарегистрированных в Российской Федерации (за исключением случаев следования к месту регистрации транспортного средства или заключения (изменения) краткосрочного договора обязательного ст</w:t>
      </w:r>
      <w:r>
        <w:rPr>
          <w:rFonts w:ascii="PT Astra Serif" w:hAnsi="PT Astra Serif"/>
          <w:bCs/>
          <w:i/>
          <w:color w:val="000000"/>
        </w:rPr>
        <w:t xml:space="preserve">рахования)</w:t>
      </w:r>
      <w:r>
        <w:rPr>
          <w:rFonts w:ascii="PT Astra Serif" w:hAnsi="PT Astra Serif"/>
          <w:bCs/>
          <w:i/>
          <w:color w:val="000000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Транспортные средства категорий "А", "М", "В", "ВЕ" и подкатегорий "А1", "В1" (в том числе такси):</w:t>
      </w:r>
      <w:r>
        <w:rPr>
          <w:rFonts w:ascii="PT Astra Serif" w:hAnsi="PT Astra Serif"/>
          <w:bCs/>
          <w:color w:val="000000"/>
        </w:rPr>
      </w:r>
    </w:p>
    <w:p>
      <w:pPr>
        <w:ind w:firstLine="567"/>
        <w:jc w:val="both"/>
        <w:tabs>
          <w:tab w:val="num" w:pos="0" w:leader="none"/>
        </w:tabs>
        <w:rPr>
          <w:rFonts w:ascii="PT Astra Serif" w:hAnsi="PT Astra Serif" w:eastAsia="Calibri"/>
          <w:color w:val="000000"/>
          <w:lang w:eastAsia="en-US"/>
        </w:rPr>
        <w:outlineLvl w:val="0"/>
      </w:pPr>
      <w:r>
        <w:rPr>
          <w:rFonts w:ascii="PT Astra Serif" w:hAnsi="PT Astra Serif" w:eastAsia="Calibri"/>
          <w:b/>
          <w:color w:val="000000"/>
          <w:lang w:eastAsia="en-US"/>
        </w:rPr>
        <w:t xml:space="preserve">Т =</w:t>
      </w:r>
      <w:r>
        <w:rPr>
          <w:rFonts w:ascii="PT Astra Serif" w:hAnsi="PT Astra Serif" w:eastAsia="Calibri"/>
          <w:color w:val="000000"/>
          <w:lang w:eastAsia="en-US"/>
        </w:rPr>
        <w:t xml:space="preserve"> </w:t>
      </w:r>
      <w:r>
        <w:rPr>
          <w:rFonts w:ascii="PT Astra Serif" w:hAnsi="PT Astra Serif" w:eastAsia="Calibri" w:cs="PT Astra Serif"/>
          <w:b/>
          <w:bCs/>
          <w:color w:val="000000"/>
          <w:lang w:eastAsia="en-US"/>
        </w:rPr>
        <w:t xml:space="preserve">ТБ × КТ ×КБМ × КВС × КО × КМ × КС</w:t>
      </w:r>
      <w:r>
        <w:rPr>
          <w:rFonts w:ascii="PT Astra Serif" w:hAnsi="PT Astra Serif" w:eastAsia="Calibri"/>
          <w:color w:val="000000"/>
          <w:lang w:eastAsia="en-US"/>
        </w:rPr>
        <w:t xml:space="preserve"> </w:t>
      </w:r>
      <w:r>
        <w:rPr>
          <w:rFonts w:ascii="PT Astra Serif" w:hAnsi="PT Astra Serif" w:eastAsia="Calibri"/>
          <w:color w:val="000000"/>
          <w:lang w:eastAsia="en-US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Где:</w:t>
      </w:r>
      <w:r>
        <w:rPr>
          <w:rFonts w:ascii="PT Astra Serif" w:hAnsi="PT Astra Serif"/>
          <w:bCs/>
          <w:color w:val="000000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Т – размер страховой премии, подлежащей уплате; </w:t>
      </w:r>
      <w:r>
        <w:rPr>
          <w:rFonts w:ascii="PT Astra Serif" w:hAnsi="PT Astra Serif"/>
          <w:bCs/>
          <w:color w:val="000000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ТБ - базовая ставка страхового тарифа;</w:t>
      </w:r>
      <w:r>
        <w:rPr>
          <w:rFonts w:ascii="PT Astra Serif" w:hAnsi="PT Astra Serif"/>
          <w:bCs/>
          <w:color w:val="000000"/>
        </w:rPr>
      </w:r>
    </w:p>
    <w:p>
      <w:pPr>
        <w:ind w:firstLine="567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ascii="PT Astra Serif" w:hAnsi="PT Astra Serif"/>
          <w:bCs/>
          <w:color w:val="000000"/>
        </w:rPr>
        <w:t xml:space="preserve">КТ - коэффициент страховых тарифов в зависимости от территории преимущественного использования транспортного средства;</w:t>
      </w:r>
      <w:r>
        <w:rPr>
          <w:rFonts w:eastAsiaTheme="minorHAnsi"/>
          <w:sz w:val="20"/>
          <w:szCs w:val="20"/>
          <w:lang w:eastAsia="en-US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КБМ – коэффициент страховых тарифов в зависимости от количества произведенных страховщиками страховых возмещений в предшествующие периоды</w:t>
      </w:r>
      <w:r>
        <w:rPr>
          <w:rFonts w:ascii="PT Astra Serif" w:hAnsi="PT Astra Serif"/>
          <w:bCs/>
          <w:color w:val="000000"/>
        </w:rPr>
        <w:t xml:space="preserve">, </w:t>
      </w:r>
      <w:r>
        <w:rPr>
          <w:rFonts w:ascii="PT Astra Serif" w:hAnsi="PT Astra Serif"/>
          <w:bCs/>
          <w:color w:val="000000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КВС - коэффициент страховых тарифов в зависимости от характеристик (навыков) допущенных к управлению транспортным средством водителей (стажа управления транспортными средствами, соответствующими по категории транспортному средству, в отношении которого </w:t>
      </w:r>
      <w:r>
        <w:rPr>
          <w:rFonts w:ascii="PT Astra Serif" w:hAnsi="PT Astra Serif"/>
          <w:bCs/>
          <w:color w:val="000000"/>
        </w:rPr>
        <w:t xml:space="preserve">заключается договор обязательного страхования, возраста водителя) (КВС=1);</w:t>
      </w:r>
      <w:r>
        <w:rPr>
          <w:rFonts w:ascii="PT Astra Serif" w:hAnsi="PT Astra Serif"/>
          <w:bCs/>
          <w:color w:val="000000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КО – коэффициент страховых тарифов в зависимости от отсутствия условия, предусматривающего управление транспортным средством только указанными страхователем водителями;</w:t>
      </w:r>
      <w:r>
        <w:rPr>
          <w:rFonts w:ascii="PT Astra Serif" w:hAnsi="PT Astra Serif"/>
          <w:bCs/>
          <w:color w:val="000000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КМ – коэффиц</w:t>
      </w:r>
      <w:r>
        <w:rPr>
          <w:rFonts w:ascii="PT Astra Serif" w:hAnsi="PT Astra Serif"/>
          <w:bCs/>
          <w:color w:val="000000"/>
        </w:rPr>
        <w:t xml:space="preserve">иент страховых тарифов в зависимости от технических характеристик (мощности двигателя) транспортного средства;</w:t>
      </w:r>
      <w:r>
        <w:rPr>
          <w:rFonts w:ascii="PT Astra Serif" w:hAnsi="PT Astra Serif"/>
          <w:bCs/>
          <w:color w:val="000000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 xml:space="preserve">КС – коэффициент страховых тарифов в зависимости от сезонного и иного временного использования транспортного средства (КС=1).</w:t>
      </w:r>
      <w:r>
        <w:rPr>
          <w:rFonts w:ascii="PT Astra Serif" w:hAnsi="PT Astra Serif"/>
          <w:bCs/>
          <w:color w:val="000000"/>
        </w:rPr>
      </w:r>
    </w:p>
    <w:p>
      <w:pPr>
        <w:ind w:left="540"/>
        <w:jc w:val="both"/>
        <w:keepNext/>
        <w:tabs>
          <w:tab w:val="left" w:pos="15026" w:leader="none"/>
        </w:tabs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color w:val="000000"/>
        </w:rPr>
        <w:t xml:space="preserve">Максимальное значен</w:t>
      </w:r>
      <w:r>
        <w:rPr>
          <w:rFonts w:ascii="PT Astra Serif" w:hAnsi="PT Astra Serif"/>
          <w:b/>
          <w:bCs/>
          <w:color w:val="000000"/>
        </w:rPr>
        <w:t xml:space="preserve">ие цены контракта составляет: __________ руб.</w:t>
      </w:r>
      <w:r>
        <w:rPr>
          <w:rFonts w:ascii="PT Astra Serif" w:hAnsi="PT Astra Serif"/>
          <w:b/>
          <w:bCs/>
          <w:color w:val="000000"/>
        </w:rPr>
        <w:t xml:space="preserve"> (</w:t>
      </w:r>
      <w:r>
        <w:rPr>
          <w:rFonts w:ascii="PT Astra Serif" w:hAnsi="PT Astra Serif"/>
          <w:b/>
          <w:bCs/>
          <w:color w:val="000000"/>
        </w:rPr>
        <w:t xml:space="preserve">______ руб. _____ коп.</w:t>
      </w:r>
      <w:r>
        <w:rPr>
          <w:rFonts w:ascii="PT Astra Serif" w:hAnsi="PT Astra Serif"/>
          <w:b/>
          <w:bCs/>
          <w:color w:val="000000"/>
        </w:rPr>
        <w:t xml:space="preserve">)</w:t>
      </w:r>
      <w:r>
        <w:rPr>
          <w:rFonts w:ascii="PT Astra Serif" w:hAnsi="PT Astra Serif"/>
          <w:b/>
          <w:bCs/>
          <w:color w:val="000000"/>
        </w:rPr>
        <w:t xml:space="preserve"> </w:t>
      </w:r>
      <w:r>
        <w:rPr>
          <w:rFonts w:ascii="PT Astra Serif" w:hAnsi="PT Astra Serif"/>
          <w:b/>
          <w:bCs/>
          <w:color w:val="000000"/>
        </w:rPr>
        <w:t xml:space="preserve">исходя  из</w:t>
      </w:r>
      <w:r>
        <w:rPr>
          <w:rFonts w:ascii="PT Astra Serif" w:hAnsi="PT Astra Serif"/>
          <w:b/>
          <w:bCs/>
          <w:color w:val="000000"/>
        </w:rPr>
        <w:t xml:space="preserve"> расчета:</w:t>
      </w:r>
      <w:r>
        <w:rPr>
          <w:rFonts w:ascii="PT Astra Serif" w:hAnsi="PT Astra Serif"/>
          <w:b/>
          <w:bCs/>
          <w:color w:val="000000"/>
        </w:rPr>
      </w:r>
    </w:p>
    <w:p>
      <w:pPr>
        <w:ind w:left="540"/>
        <w:jc w:val="both"/>
        <w:keepNext/>
        <w:tabs>
          <w:tab w:val="left" w:pos="15026" w:leader="none"/>
        </w:tabs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color w:val="000000"/>
        </w:rPr>
      </w:r>
      <w:r>
        <w:rPr>
          <w:rFonts w:ascii="PT Astra Serif" w:hAnsi="PT Astra Serif"/>
          <w:b/>
          <w:bCs/>
          <w:color w:val="000000"/>
        </w:rPr>
      </w:r>
    </w:p>
    <w:p>
      <w:pPr>
        <w:ind w:left="540"/>
        <w:jc w:val="both"/>
        <w:keepNext/>
        <w:tabs>
          <w:tab w:val="left" w:pos="15026" w:leader="none"/>
        </w:tabs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color w:val="000000"/>
        </w:rPr>
      </w:r>
      <w:r>
        <w:rPr>
          <w:rFonts w:ascii="PT Astra Serif" w:hAnsi="PT Astra Serif"/>
          <w:b/>
          <w:bCs/>
          <w:color w:val="000000"/>
        </w:rPr>
      </w:r>
    </w:p>
    <w:tbl>
      <w:tblPr>
        <w:tblW w:w="1530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47"/>
        <w:gridCol w:w="1982"/>
        <w:gridCol w:w="1183"/>
        <w:gridCol w:w="1818"/>
        <w:gridCol w:w="1026"/>
        <w:gridCol w:w="1524"/>
        <w:gridCol w:w="1628"/>
        <w:gridCol w:w="1030"/>
        <w:gridCol w:w="715"/>
        <w:gridCol w:w="757"/>
        <w:gridCol w:w="715"/>
        <w:gridCol w:w="782"/>
        <w:gridCol w:w="1201"/>
      </w:tblGrid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Марка ТС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Государственный регистрационный знак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8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Категория ТС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(VIN)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Мощность (</w:t>
            </w:r>
            <w:r>
              <w:rPr>
                <w:b/>
                <w:bCs/>
                <w:color w:val="000000"/>
              </w:rPr>
              <w:t xml:space="preserve">л.с</w:t>
            </w:r>
            <w:r>
              <w:rPr>
                <w:b/>
                <w:bCs/>
                <w:color w:val="000000"/>
              </w:rPr>
              <w:t xml:space="preserve">.)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Дата окончания страховки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2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Территория использования ТС 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Базовая став</w:t>
            </w:r>
            <w:r>
              <w:rPr>
                <w:b/>
                <w:bCs/>
                <w:color w:val="000000"/>
              </w:rPr>
              <w:t xml:space="preserve">ка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5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Кбм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Кт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5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Км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2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Ко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Страховая премия 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trHeight w:val="482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LADA 217030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У682РО163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8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В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XTA217030E0462607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97,9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28.10.2026 г</w:t>
            </w:r>
            <w:r>
              <w:rPr>
                <w:color w:val="000000"/>
              </w:rPr>
              <w:t xml:space="preserve">.</w:t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2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Самарская область</w:t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bottom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5" w:type="dxa"/>
            <w:vAlign w:val="bottom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Align w:val="bottom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5" w:type="dxa"/>
            <w:vAlign w:val="bottom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2" w:type="dxa"/>
            <w:vAlign w:val="bottom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01" w:type="dxa"/>
            <w:vAlign w:val="bottom"/>
            <w:textDirection w:val="lrTb"/>
            <w:noWrap w:val="false"/>
          </w:tcPr>
          <w:p>
            <w:r/>
            <w:r/>
          </w:p>
        </w:tc>
      </w:tr>
    </w:tbl>
    <w:p>
      <w:pPr>
        <w:spacing w:after="60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tbl>
      <w:tblPr>
        <w:tblW w:w="9674" w:type="dxa"/>
        <w:jc w:val="center"/>
        <w:tblLayout w:type="fixed"/>
        <w:tblLook w:val="0000" w:firstRow="0" w:lastRow="0" w:firstColumn="0" w:lastColumn="0" w:noHBand="0" w:noVBand="0"/>
      </w:tblPr>
      <w:tblGrid>
        <w:gridCol w:w="4837"/>
        <w:gridCol w:w="4837"/>
      </w:tblGrid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37" w:type="dxa"/>
            <w:textDirection w:val="lrTb"/>
            <w:noWrap w:val="false"/>
          </w:tcPr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Страховщик: </w:t>
            </w:r>
            <w:r>
              <w:rPr>
                <w:spacing w:val="-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37" w:type="dxa"/>
            <w:textDirection w:val="lrTb"/>
            <w:noWrap w:val="false"/>
          </w:tcPr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Страхователь:</w:t>
            </w:r>
            <w:r>
              <w:rPr>
                <w:spacing w:val="-1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37" w:type="dxa"/>
            <w:textDirection w:val="lrTb"/>
            <w:noWrap w:val="false"/>
          </w:tcPr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</w:p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</w:p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</w:p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________________ /__________/</w:t>
            </w:r>
            <w:r>
              <w:rPr>
                <w:spacing w:val="-1"/>
              </w:rPr>
            </w:r>
          </w:p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М.П.</w:t>
            </w:r>
            <w:r>
              <w:rPr>
                <w:spacing w:val="-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37" w:type="dxa"/>
            <w:textDirection w:val="lrTb"/>
            <w:noWrap w:val="false"/>
          </w:tcPr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Руководитель</w:t>
            </w:r>
            <w:r>
              <w:rPr>
                <w:spacing w:val="-1"/>
              </w:rPr>
            </w:r>
          </w:p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</w:p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</w:p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_______________ Архипова С.В.</w:t>
            </w:r>
            <w:r>
              <w:rPr>
                <w:spacing w:val="-1"/>
              </w:rPr>
            </w:r>
          </w:p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М.П.</w:t>
            </w:r>
            <w:r>
              <w:rPr>
                <w:spacing w:val="-1"/>
              </w:rPr>
            </w:r>
          </w:p>
        </w:tc>
      </w:tr>
    </w:tbl>
    <w:p>
      <w:pPr>
        <w:jc w:val="center"/>
        <w:spacing w:after="60"/>
        <w:rPr>
          <w:bCs/>
          <w:color w:val="000000"/>
          <w:spacing w:val="-1"/>
        </w:rPr>
        <w:sectPr>
          <w:footnotePr/>
          <w:endnotePr/>
          <w:type w:val="nextPage"/>
          <w:pgSz w:w="16838" w:h="11906" w:orient="landscape"/>
          <w:pgMar w:top="567" w:right="1134" w:bottom="851" w:left="1134" w:header="709" w:footer="709" w:gutter="0"/>
          <w:cols w:num="1" w:sep="0" w:space="708" w:equalWidth="1"/>
          <w:docGrid w:linePitch="360"/>
        </w:sectPr>
      </w:pPr>
      <w:r>
        <w:rPr>
          <w:bCs/>
          <w:color w:val="000000"/>
          <w:spacing w:val="-1"/>
        </w:rPr>
      </w:r>
      <w:r>
        <w:rPr>
          <w:bCs/>
          <w:color w:val="000000"/>
          <w:spacing w:val="-1"/>
        </w:rPr>
      </w:r>
    </w:p>
    <w:p>
      <w:pPr>
        <w:jc w:val="right"/>
      </w:pPr>
      <w:r>
        <w:t xml:space="preserve">Приложение №2</w:t>
      </w:r>
      <w:r/>
    </w:p>
    <w:p>
      <w:pPr>
        <w:jc w:val="right"/>
      </w:pPr>
      <w:r>
        <w:t xml:space="preserve">к</w:t>
      </w:r>
      <w:r>
        <w:t xml:space="preserve"> Государственному контракту </w:t>
      </w:r>
      <w:r/>
    </w:p>
    <w:p>
      <w:pPr>
        <w:jc w:val="right"/>
      </w:pPr>
      <w:r>
        <w:t xml:space="preserve">№____ от «___» ____________ 2026 г.</w:t>
      </w:r>
      <w:r/>
    </w:p>
    <w:p>
      <w:pPr>
        <w:jc w:val="right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Техническое задание</w:t>
      </w:r>
      <w:r>
        <w:rPr>
          <w:b/>
        </w:rPr>
      </w:r>
    </w:p>
    <w:p>
      <w:pPr>
        <w:jc w:val="center"/>
        <w:rPr>
          <w:bCs/>
        </w:rPr>
      </w:pPr>
      <w:r>
        <w:rPr>
          <w:bCs/>
        </w:rPr>
        <w:t xml:space="preserve">на</w:t>
      </w:r>
      <w:r>
        <w:rPr>
          <w:bCs/>
        </w:rPr>
        <w:t xml:space="preserve"> оказание услуг по обязательному страхованию гражданской ответственности владельцев транспортных средств</w:t>
      </w:r>
      <w:r>
        <w:rPr>
          <w:bCs/>
        </w:rPr>
      </w:r>
    </w:p>
    <w:p>
      <w:pPr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tbl>
      <w:tblPr>
        <w:tblW w:w="10173" w:type="dxa"/>
        <w:tblInd w:w="-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11"/>
        <w:gridCol w:w="851"/>
        <w:gridCol w:w="3401"/>
        <w:gridCol w:w="1984"/>
      </w:tblGrid>
      <w:tr>
        <w:tblPrEx/>
        <w:trPr>
          <w:trHeight w:val="600"/>
        </w:trPr>
        <w:tc>
          <w:tcPr>
            <w:shd w:val="clear" w:color="auto" w:fill="d0cece" w:themeFill="background2" w:themeFillShade="E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vAlign w:val="center"/>
            <w:textDirection w:val="lrTb"/>
            <w:noWrap/>
          </w:tcPr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№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пп</w:t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11" w:type="dxa"/>
            <w:vAlign w:val="center"/>
            <w:textDirection w:val="lrTb"/>
            <w:noWrap/>
          </w:tcPr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Наименование товара, работы, услуги</w:t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Ед.измерения</w:t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Наименование характеристики</w:t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Значение характеристики</w:t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</w:tr>
      <w:tr>
        <w:tblPrEx/>
        <w:trPr>
          <w:trHeight w:val="96"/>
        </w:trPr>
        <w:tc>
          <w:tcPr>
            <w:gridSpan w:val="5"/>
            <w:shd w:val="clear" w:color="auto" w:fill="e7e6e6" w:themeFill="background2"/>
            <w:tcBorders>
              <w:left w:val="single" w:color="auto" w:sz="4" w:space="0"/>
              <w:right w:val="single" w:color="auto" w:sz="4" w:space="0"/>
            </w:tcBorders>
            <w:tcW w:w="10173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</w:tr>
      <w:tr>
        <w:tblPrEx/>
        <w:trPr>
          <w:trHeight w:val="559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1</w:t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5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Услуги по обязательному страхованию гражданской ответственности владельцев транспортных средств, LADA 217030, г/н</w:t>
            </w:r>
            <w:r>
              <w:rPr>
                <w:sz w:val="18"/>
                <w:szCs w:val="18"/>
              </w:rPr>
              <w:t xml:space="preserve"> У682РО163</w:t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(ОКПД2 </w:t>
            </w:r>
            <w:r>
              <w:rPr>
                <w:sz w:val="18"/>
                <w:szCs w:val="18"/>
                <w:shd w:val="clear" w:color="auto" w:fill="ffffff"/>
              </w:rPr>
              <w:t xml:space="preserve">65.12.21.000</w:t>
            </w:r>
            <w:r>
              <w:rPr>
                <w:color w:val="334059"/>
                <w:sz w:val="18"/>
                <w:szCs w:val="18"/>
                <w:shd w:val="clear" w:color="auto" w:fill="ffffff"/>
              </w:rPr>
              <w:t xml:space="preserve">)</w:t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шт.</w:t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Категория ТС, прав</w:t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Легковые, В</w:t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</w:tr>
      <w:tr>
        <w:tblPrEx/>
        <w:trPr>
          <w:trHeight w:val="39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5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Идентификационный номер транспортного средства (VIN)</w:t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XTA217030E0462607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8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5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Мощность</w:t>
            </w:r>
            <w:r>
              <w:rPr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97,9 </w:t>
            </w:r>
            <w:r>
              <w:rPr>
                <w:sz w:val="18"/>
                <w:szCs w:val="18"/>
              </w:rPr>
              <w:t xml:space="preserve">л.с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</w:p>
        </w:tc>
      </w:tr>
    </w:tbl>
    <w:p>
      <w:pPr>
        <w:jc w:val="center"/>
        <w:rPr>
          <w:bCs/>
        </w:rPr>
      </w:pPr>
      <w:r>
        <w:rPr>
          <w:bCs/>
        </w:rPr>
      </w:r>
      <w:r>
        <w:rPr>
          <w:bCs/>
        </w:rPr>
      </w:r>
    </w:p>
    <w:p>
      <w:pPr>
        <w:ind w:firstLine="709"/>
        <w:jc w:val="both"/>
        <w:tabs>
          <w:tab w:val="left" w:pos="204" w:leader="none"/>
        </w:tabs>
        <w:rPr>
          <w:b/>
          <w:bCs/>
        </w:rPr>
      </w:pPr>
      <w:r>
        <w:rPr>
          <w:b/>
          <w:bCs/>
        </w:rPr>
        <w:t xml:space="preserve">Место оказания услуг:</w:t>
      </w:r>
      <w:r>
        <w:rPr>
          <w:b/>
          <w:bCs/>
        </w:rPr>
      </w:r>
    </w:p>
    <w:p>
      <w:pPr>
        <w:ind w:firstLine="709"/>
        <w:jc w:val="both"/>
        <w:tabs>
          <w:tab w:val="left" w:pos="204" w:leader="none"/>
        </w:tabs>
        <w:rPr>
          <w:bCs/>
        </w:rPr>
      </w:pPr>
      <w:r>
        <w:rPr>
          <w:bCs/>
        </w:rPr>
        <w:t xml:space="preserve">Территория Российской Федерации в соответствии с Федеральным законом № 40-ФЗ.</w:t>
      </w:r>
      <w:r>
        <w:rPr>
          <w:bCs/>
        </w:rPr>
      </w:r>
    </w:p>
    <w:p>
      <w:pPr>
        <w:contextualSpacing/>
        <w:ind w:firstLine="709"/>
        <w:jc w:val="both"/>
      </w:pPr>
      <w:r>
        <w:rPr>
          <w:b/>
        </w:rPr>
        <w:t xml:space="preserve">Место предоставления результатов услуг:</w:t>
      </w:r>
      <w:r/>
    </w:p>
    <w:p>
      <w:pPr>
        <w:contextualSpacing/>
        <w:ind w:firstLine="709"/>
        <w:jc w:val="both"/>
      </w:pPr>
      <w:r>
        <w:rPr>
          <w:color w:val="000000"/>
        </w:rPr>
        <w:t xml:space="preserve">Страховщик высылает страховые полиса ОСАГО в виде электронных документов, подписанных усиленной квалифицированной электронной подписью Страховщика, по адресу электронной почты, указанному в разделе 15 настоящего конт</w:t>
      </w:r>
      <w:r>
        <w:rPr>
          <w:color w:val="000000"/>
        </w:rPr>
        <w:t xml:space="preserve">ракта - </w:t>
      </w:r>
      <w:r>
        <w:t xml:space="preserve">tender@fsnsamara.ru</w:t>
      </w:r>
      <w:r>
        <w:rPr>
          <w:color w:val="000000"/>
        </w:rPr>
        <w:t xml:space="preserve">, а также посредством размещения в личном кабинете страхователя ОСАГО. Доставка копий страховых полисов ОСАГО может осуществляться по адресу:</w:t>
      </w:r>
      <w:r>
        <w:t xml:space="preserve"> г. Самара, проезд Г. Митирева, д. 1. Доставка осуществляется за счет Страховщика.</w:t>
      </w:r>
      <w:r/>
    </w:p>
    <w:p>
      <w:pPr>
        <w:ind w:firstLine="709"/>
        <w:jc w:val="both"/>
        <w:spacing w:after="60"/>
        <w:rPr>
          <w:b/>
        </w:rPr>
      </w:pPr>
      <w:r>
        <w:rPr>
          <w:b/>
        </w:rPr>
        <w:t xml:space="preserve">Страх</w:t>
      </w:r>
      <w:r>
        <w:rPr>
          <w:b/>
        </w:rPr>
        <w:t xml:space="preserve">ование автотранспортных средств осуществляется согласно следующим условиям:</w:t>
      </w:r>
      <w:r>
        <w:rPr>
          <w:b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1. Услуги по страхованию, включающие в себя страхование гражданской ответственности владельцев автотранспортных средств, должны оказываться в соответствии с действующим законодател</w:t>
      </w:r>
      <w:r>
        <w:rPr>
          <w:bCs/>
        </w:rPr>
        <w:t xml:space="preserve">ьством Российской Федерации и нормативными правовыми актами: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- Федеральным законом от 25.04.2002 № 40-ФЗ «Об обязательном страховании гражданской ответственности владельцев транспортных средств»; </w:t>
      </w:r>
      <w:r>
        <w:rPr>
          <w:bCs/>
        </w:rPr>
      </w:r>
    </w:p>
    <w:p>
      <w:pPr>
        <w:ind w:firstLine="709"/>
        <w:jc w:val="both"/>
      </w:pPr>
      <w:r>
        <w:rPr>
          <w:b/>
        </w:rPr>
        <w:t xml:space="preserve">- </w:t>
      </w:r>
      <w:r>
        <w:t xml:space="preserve">Положением Банка России от 1 апреля 2024 г. N 837-П «О правилах</w:t>
      </w:r>
      <w:r>
        <w:t xml:space="preserve"> обязательного страхования гражданской ответственности владельцев транспортных средств»</w:t>
      </w:r>
      <w:r>
        <w:rPr>
          <w:b/>
        </w:rPr>
        <w:t xml:space="preserve">;</w:t>
      </w:r>
      <w:r/>
    </w:p>
    <w:p>
      <w:pPr>
        <w:ind w:firstLine="709"/>
        <w:jc w:val="both"/>
      </w:pPr>
      <w:r>
        <w:t xml:space="preserve">- Указанием Банка России от 9 октября 2025 г. № 7204-У «О страховых тарифах по обязательному страхованию гражданской ответственности владельцев транспортных средств»;</w:t>
      </w:r>
      <w:r/>
    </w:p>
    <w:p>
      <w:pPr>
        <w:ind w:firstLine="709"/>
        <w:jc w:val="both"/>
        <w:tabs>
          <w:tab w:val="center" w:pos="0" w:leader="none"/>
        </w:tabs>
        <w:rPr>
          <w:bCs/>
        </w:rPr>
      </w:pPr>
      <w:r>
        <w:t xml:space="preserve">- иными нормативно-правовыми актами.</w:t>
      </w:r>
      <w:r>
        <w:rPr>
          <w:bCs/>
        </w:rPr>
      </w:r>
    </w:p>
    <w:p>
      <w:pPr>
        <w:ind w:firstLine="709"/>
        <w:jc w:val="both"/>
        <w:spacing w:line="0" w:lineRule="atLeast"/>
      </w:pPr>
      <w:r>
        <w:t xml:space="preserve">2. Объект обязательного страхования -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</w:t>
      </w:r>
      <w:r>
        <w:t xml:space="preserve">и имуществу потерпевших при использовании указанного транспортного средства на территории Российской Федерации.</w:t>
      </w:r>
      <w:r/>
    </w:p>
    <w:p>
      <w:pPr>
        <w:ind w:firstLine="709"/>
        <w:jc w:val="both"/>
        <w:spacing w:line="0" w:lineRule="atLeast"/>
      </w:pPr>
      <w:r>
        <w:t xml:space="preserve">3. Страховой случай - наступление гражданской ответственности владельца транспортного средства за причинение вреда жизни, здоровью или имуществу</w:t>
      </w:r>
      <w:r>
        <w:t xml:space="preserve"> потерпевших при использовании транспортного средства, влекущее за собой в соответствии с договором обязательного страхования обязанность страховщика осуществить страховое возмещение.</w:t>
      </w:r>
      <w:r/>
    </w:p>
    <w:p>
      <w:pPr>
        <w:ind w:firstLine="709"/>
        <w:jc w:val="both"/>
        <w:spacing w:line="0" w:lineRule="atLeast"/>
      </w:pPr>
      <w:r>
        <w:t xml:space="preserve">4. Владелец транспортных средств (Страхователь) - Управление Федеральной</w:t>
      </w:r>
      <w:r>
        <w:t xml:space="preserve"> службы по надзору в сфере защиты прав потребителей и благополучия человека по Самарской области</w:t>
      </w:r>
      <w:r/>
    </w:p>
    <w:p>
      <w:pPr>
        <w:ind w:firstLine="709"/>
        <w:jc w:val="both"/>
        <w:spacing w:line="0" w:lineRule="atLeast"/>
      </w:pPr>
      <w:r>
        <w:t xml:space="preserve">Лица, допущенные к управлению транспортными средствами и их водительский стаж - без ограничения.</w:t>
      </w:r>
      <w:r/>
    </w:p>
    <w:p>
      <w:pPr>
        <w:ind w:firstLine="709"/>
        <w:jc w:val="both"/>
        <w:spacing w:line="0" w:lineRule="atLeast"/>
      </w:pPr>
      <w:r>
        <w:t xml:space="preserve">Транспортные средства используются в течение года. </w:t>
      </w:r>
      <w:r/>
    </w:p>
    <w:p>
      <w:pPr>
        <w:ind w:firstLine="709"/>
        <w:jc w:val="both"/>
        <w:spacing w:line="0" w:lineRule="atLeast"/>
      </w:pPr>
      <w:r>
        <w:t xml:space="preserve">Т</w:t>
      </w:r>
      <w:r>
        <w:t xml:space="preserve">ерритория преимущественного использования транспортного средства –Самарская область, г. Самара</w:t>
      </w:r>
      <w:r/>
    </w:p>
    <w:p>
      <w:pPr>
        <w:ind w:firstLine="709"/>
        <w:jc w:val="both"/>
        <w:spacing w:line="0" w:lineRule="atLeast"/>
      </w:pPr>
      <w:r>
        <w:t xml:space="preserve">Транспортные средства в качестве такси не используются.</w:t>
      </w:r>
      <w:r/>
    </w:p>
    <w:p>
      <w:pPr>
        <w:ind w:firstLine="709"/>
        <w:jc w:val="both"/>
        <w:spacing w:line="0" w:lineRule="atLeast"/>
      </w:pPr>
      <w:r>
        <w:t xml:space="preserve">5. Территория страхового покрытия – Российская Федерация </w:t>
      </w:r>
      <w:r/>
    </w:p>
    <w:p>
      <w:pPr>
        <w:ind w:firstLine="709"/>
        <w:jc w:val="both"/>
        <w:spacing w:line="0" w:lineRule="atLeast"/>
      </w:pPr>
      <w:r>
        <w:t xml:space="preserve">6. Срок действия страховых полисов: 1 год (12 месяцев) с начала и</w:t>
      </w:r>
      <w:r>
        <w:t xml:space="preserve">х действия в отношении каждой единицы автотранспорта соответственно.</w:t>
      </w:r>
      <w:r/>
    </w:p>
    <w:p>
      <w:pPr>
        <w:ind w:firstLine="709"/>
        <w:jc w:val="both"/>
        <w:spacing w:line="0" w:lineRule="atLeast"/>
      </w:pPr>
      <w:r>
        <w:t xml:space="preserve">7. Порядок и условия оказания услуг:</w:t>
      </w:r>
      <w:r/>
    </w:p>
    <w:p>
      <w:pPr>
        <w:ind w:firstLine="709"/>
        <w:jc w:val="both"/>
        <w:spacing w:line="0" w:lineRule="atLeast"/>
      </w:pPr>
      <w:r>
        <w:t xml:space="preserve">Страховщик оформляет и выдает полис ОСАГО в отношении транспортного средства, указанного в Техническом задании, при наличии документов, предусмотренны</w:t>
      </w:r>
      <w:r>
        <w:t xml:space="preserve">х Федеральным законом от 25.04.2002 № 40-</w:t>
      </w:r>
      <w:bookmarkStart w:id="10" w:name="_GoBack"/>
      <w:r/>
      <w:bookmarkEnd w:id="10"/>
      <w:r>
        <w:t xml:space="preserve">ФЗ.</w:t>
      </w:r>
      <w:r/>
    </w:p>
    <w:p>
      <w:pPr>
        <w:ind w:firstLine="709"/>
        <w:jc w:val="both"/>
        <w:spacing w:line="0" w:lineRule="atLeast"/>
      </w:pPr>
      <w:r>
        <w:t xml:space="preserve">8. Страховщик должен иметь действующую лицензию на страхование автотранспортных средств, подлежащих обязательному страхованию автогражданской ответственности (ОСАГО), должен иметь свидетельство о членстве в Рос</w:t>
      </w:r>
      <w:r>
        <w:t xml:space="preserve">сийском Союзе автостраховщиков (РСА), должен иметь доступ к автоматизированной информационной системе страхования (</w:t>
      </w:r>
      <w:r>
        <w:rPr>
          <w:color w:val="22272f"/>
          <w:shd w:val="clear" w:color="auto" w:fill="ffffff"/>
        </w:rPr>
        <w:t xml:space="preserve">АИС страхования)</w:t>
      </w:r>
      <w:r>
        <w:t xml:space="preserve">.</w:t>
      </w:r>
      <w:r/>
    </w:p>
    <w:p>
      <w:pPr>
        <w:ind w:firstLine="567"/>
        <w:jc w:val="both"/>
        <w:spacing w:line="0" w:lineRule="atLeast"/>
      </w:pPr>
      <w:r/>
      <w:r/>
    </w:p>
    <w:p>
      <w:pPr>
        <w:ind w:firstLine="567"/>
        <w:jc w:val="both"/>
        <w:spacing w:line="0" w:lineRule="atLeast"/>
      </w:pPr>
      <w:r/>
      <w:r/>
    </w:p>
    <w:p>
      <w:pPr>
        <w:ind w:firstLine="567"/>
        <w:jc w:val="both"/>
        <w:spacing w:line="0" w:lineRule="atLeast"/>
      </w:pPr>
      <w:r/>
      <w:r/>
    </w:p>
    <w:tbl>
      <w:tblPr>
        <w:tblW w:w="14460" w:type="dxa"/>
        <w:tblInd w:w="587" w:type="dxa"/>
        <w:tblLayout w:type="fixed"/>
        <w:tblLook w:val="0000" w:firstRow="0" w:lastRow="0" w:firstColumn="0" w:lastColumn="0" w:noHBand="0" w:noVBand="0"/>
      </w:tblPr>
      <w:tblGrid>
        <w:gridCol w:w="4786"/>
        <w:gridCol w:w="4837"/>
        <w:gridCol w:w="48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6" w:type="dxa"/>
            <w:textDirection w:val="lrTb"/>
            <w:noWrap w:val="false"/>
          </w:tcPr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Страховщик: </w:t>
            </w:r>
            <w:r>
              <w:rPr>
                <w:spacing w:val="-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37" w:type="dxa"/>
            <w:textDirection w:val="lrTb"/>
            <w:noWrap w:val="false"/>
          </w:tcPr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Страхователь:</w:t>
            </w:r>
            <w:r>
              <w:rPr>
                <w:spacing w:val="-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37" w:type="dxa"/>
            <w:textDirection w:val="lrTb"/>
            <w:noWrap w:val="false"/>
          </w:tcPr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6" w:type="dxa"/>
            <w:textDirection w:val="lrTb"/>
            <w:noWrap w:val="false"/>
          </w:tcPr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</w:p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</w:p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_______________ /__________/</w:t>
            </w:r>
            <w:r>
              <w:rPr>
                <w:spacing w:val="-1"/>
              </w:rPr>
            </w:r>
          </w:p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М.П.</w:t>
            </w:r>
            <w:r>
              <w:rPr>
                <w:spacing w:val="-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37" w:type="dxa"/>
            <w:textDirection w:val="lrTb"/>
            <w:noWrap w:val="false"/>
          </w:tcPr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Руководитель</w:t>
            </w:r>
            <w:r>
              <w:rPr>
                <w:spacing w:val="-1"/>
              </w:rPr>
            </w:r>
          </w:p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</w:p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_______________ Архипова С.В.</w:t>
            </w:r>
            <w:r>
              <w:rPr>
                <w:spacing w:val="-1"/>
              </w:rPr>
            </w:r>
          </w:p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М.П.</w:t>
            </w:r>
            <w:r>
              <w:rPr>
                <w:spacing w:val="-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37" w:type="dxa"/>
            <w:textDirection w:val="lrTb"/>
            <w:noWrap w:val="false"/>
          </w:tcPr>
          <w:p>
            <w:pPr>
              <w:jc w:val="both"/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</w:p>
        </w:tc>
      </w:tr>
    </w:tbl>
    <w:p>
      <w:r/>
      <w:r/>
    </w:p>
    <w:sectPr>
      <w:footerReference w:type="default" r:id="rId11"/>
      <w:footerReference w:type="even" r:id="rId12"/>
      <w:footnotePr/>
      <w:endnotePr/>
      <w:type w:val="nextPage"/>
      <w:pgSz w:w="11906" w:h="16838" w:orient="portrait"/>
      <w:pgMar w:top="709" w:right="567" w:bottom="568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rPr>
        <w:rStyle w:val="904"/>
      </w:rPr>
      <w:framePr w:wrap="around" w:vAnchor="text" w:hAnchor="margin" w:xAlign="right" w:y="1"/>
    </w:pPr>
    <w:r>
      <w:rPr>
        <w:rStyle w:val="904"/>
      </w:rPr>
      <w:fldChar w:fldCharType="begin"/>
    </w:r>
    <w:r>
      <w:rPr>
        <w:rStyle w:val="904"/>
      </w:rPr>
      <w:instrText xml:space="preserve">PAGE  </w:instrText>
    </w:r>
    <w:r>
      <w:rPr>
        <w:rStyle w:val="904"/>
      </w:rPr>
      <w:fldChar w:fldCharType="separate"/>
    </w:r>
    <w:r>
      <w:rPr>
        <w:rStyle w:val="904"/>
      </w:rPr>
      <w:t xml:space="preserve">11</w:t>
    </w:r>
    <w:r>
      <w:rPr>
        <w:rStyle w:val="904"/>
      </w:rPr>
      <w:fldChar w:fldCharType="end"/>
    </w:r>
    <w:r>
      <w:rPr>
        <w:rStyle w:val="904"/>
      </w:rPr>
    </w:r>
  </w:p>
  <w:p>
    <w:pPr>
      <w:pStyle w:val="905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rPr>
        <w:rStyle w:val="904"/>
      </w:rPr>
      <w:framePr w:wrap="around" w:vAnchor="text" w:hAnchor="margin" w:xAlign="right" w:y="1"/>
    </w:pPr>
    <w:r>
      <w:rPr>
        <w:rStyle w:val="904"/>
      </w:rPr>
      <w:fldChar w:fldCharType="begin"/>
    </w:r>
    <w:r>
      <w:rPr>
        <w:rStyle w:val="904"/>
      </w:rPr>
      <w:instrText xml:space="preserve">PAGE  </w:instrText>
    </w:r>
    <w:r>
      <w:rPr>
        <w:rStyle w:val="904"/>
      </w:rPr>
      <w:fldChar w:fldCharType="separate"/>
    </w:r>
    <w:r>
      <w:rPr>
        <w:rStyle w:val="904"/>
      </w:rPr>
      <w:t xml:space="preserve">30</w:t>
    </w:r>
    <w:r>
      <w:rPr>
        <w:rStyle w:val="904"/>
      </w:rPr>
      <w:fldChar w:fldCharType="end"/>
    </w:r>
    <w:r>
      <w:rPr>
        <w:rStyle w:val="904"/>
      </w:rPr>
    </w:r>
  </w:p>
  <w:p>
    <w:pPr>
      <w:pStyle w:val="905"/>
      <w:ind w:right="36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rPr>
        <w:rStyle w:val="904"/>
      </w:rPr>
      <w:framePr w:wrap="around" w:vAnchor="text" w:hAnchor="margin" w:xAlign="right" w:y="1"/>
    </w:pPr>
    <w:r>
      <w:rPr>
        <w:rStyle w:val="904"/>
      </w:rPr>
      <w:fldChar w:fldCharType="begin"/>
    </w:r>
    <w:r>
      <w:rPr>
        <w:rStyle w:val="904"/>
      </w:rPr>
      <w:instrText xml:space="preserve">PAGE  </w:instrText>
    </w:r>
    <w:r>
      <w:rPr>
        <w:rStyle w:val="904"/>
      </w:rPr>
      <w:fldChar w:fldCharType="separate"/>
    </w:r>
    <w:r>
      <w:rPr>
        <w:rStyle w:val="904"/>
      </w:rPr>
      <w:t xml:space="preserve">13</w:t>
    </w:r>
    <w:r>
      <w:rPr>
        <w:rStyle w:val="904"/>
      </w:rPr>
      <w:fldChar w:fldCharType="end"/>
    </w:r>
    <w:r>
      <w:rPr>
        <w:rStyle w:val="904"/>
      </w:rPr>
    </w:r>
  </w:p>
  <w:p>
    <w:pPr>
      <w:pStyle w:val="905"/>
      <w:ind w:right="360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rPr>
        <w:rStyle w:val="904"/>
      </w:rPr>
      <w:framePr w:wrap="around" w:vAnchor="text" w:hAnchor="margin" w:xAlign="right" w:y="1"/>
    </w:pPr>
    <w:r>
      <w:rPr>
        <w:rStyle w:val="904"/>
      </w:rPr>
      <w:fldChar w:fldCharType="begin"/>
    </w:r>
    <w:r>
      <w:rPr>
        <w:rStyle w:val="904"/>
      </w:rPr>
      <w:instrText xml:space="preserve">PAGE  </w:instrText>
    </w:r>
    <w:r>
      <w:rPr>
        <w:rStyle w:val="904"/>
      </w:rPr>
      <w:fldChar w:fldCharType="end"/>
    </w:r>
    <w:r>
      <w:rPr>
        <w:rStyle w:val="904"/>
      </w:rPr>
    </w:r>
  </w:p>
  <w:p>
    <w:pPr>
      <w:pStyle w:val="905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35"/>
    <w:link w:val="72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35"/>
    <w:link w:val="72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35"/>
    <w:link w:val="72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35"/>
    <w:link w:val="72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35"/>
    <w:link w:val="730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35"/>
    <w:link w:val="731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35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35"/>
    <w:link w:val="733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35"/>
    <w:link w:val="734"/>
    <w:uiPriority w:val="9"/>
    <w:rPr>
      <w:rFonts w:ascii="Arial" w:hAnsi="Arial" w:eastAsia="Arial" w:cs="Arial"/>
      <w:i/>
      <w:iCs/>
      <w:sz w:val="21"/>
      <w:szCs w:val="21"/>
    </w:rPr>
  </w:style>
  <w:style w:type="character" w:styleId="37">
    <w:name w:val="Subtitle Char"/>
    <w:basedOn w:val="735"/>
    <w:link w:val="749"/>
    <w:uiPriority w:val="11"/>
    <w:rPr>
      <w:sz w:val="24"/>
      <w:szCs w:val="24"/>
    </w:rPr>
  </w:style>
  <w:style w:type="character" w:styleId="39">
    <w:name w:val="Quote Char"/>
    <w:link w:val="751"/>
    <w:uiPriority w:val="29"/>
    <w:rPr>
      <w:i/>
    </w:rPr>
  </w:style>
  <w:style w:type="character" w:styleId="41">
    <w:name w:val="Intense Quote Char"/>
    <w:link w:val="753"/>
    <w:uiPriority w:val="30"/>
    <w:rPr>
      <w:i/>
    </w:rPr>
  </w:style>
  <w:style w:type="character" w:styleId="43">
    <w:name w:val="Header Char"/>
    <w:basedOn w:val="735"/>
    <w:link w:val="755"/>
    <w:uiPriority w:val="99"/>
  </w:style>
  <w:style w:type="character" w:styleId="47">
    <w:name w:val="Caption Char"/>
    <w:basedOn w:val="735"/>
    <w:link w:val="758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86"/>
    <w:uiPriority w:val="99"/>
    <w:rPr>
      <w:sz w:val="18"/>
    </w:rPr>
  </w:style>
  <w:style w:type="character" w:styleId="179">
    <w:name w:val="Endnote Text Char"/>
    <w:link w:val="889"/>
    <w:uiPriority w:val="99"/>
    <w:rPr>
      <w:sz w:val="20"/>
    </w:rPr>
  </w:style>
  <w:style w:type="paragraph" w:styleId="725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26">
    <w:name w:val="Heading 1"/>
    <w:basedOn w:val="725"/>
    <w:next w:val="725"/>
    <w:link w:val="73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27">
    <w:name w:val="Heading 2"/>
    <w:basedOn w:val="725"/>
    <w:next w:val="725"/>
    <w:link w:val="7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28">
    <w:name w:val="Heading 3"/>
    <w:basedOn w:val="725"/>
    <w:next w:val="725"/>
    <w:link w:val="74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9">
    <w:name w:val="Heading 4"/>
    <w:basedOn w:val="725"/>
    <w:next w:val="725"/>
    <w:link w:val="7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725"/>
    <w:next w:val="725"/>
    <w:link w:val="7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31">
    <w:name w:val="Heading 6"/>
    <w:basedOn w:val="725"/>
    <w:next w:val="725"/>
    <w:link w:val="74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2">
    <w:name w:val="Heading 7"/>
    <w:basedOn w:val="725"/>
    <w:next w:val="725"/>
    <w:link w:val="7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3">
    <w:name w:val="Heading 8"/>
    <w:basedOn w:val="725"/>
    <w:next w:val="725"/>
    <w:link w:val="74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4">
    <w:name w:val="Heading 9"/>
    <w:basedOn w:val="725"/>
    <w:next w:val="725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 w:default="1">
    <w:name w:val="Default Paragraph Font"/>
    <w:uiPriority w:val="1"/>
    <w:semiHidden/>
    <w:unhideWhenUsed/>
  </w:style>
  <w:style w:type="table" w:styleId="7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7" w:default="1">
    <w:name w:val="No List"/>
    <w:uiPriority w:val="99"/>
    <w:semiHidden/>
    <w:unhideWhenUsed/>
  </w:style>
  <w:style w:type="character" w:styleId="738" w:customStyle="1">
    <w:name w:val="Заголовок 1 Знак"/>
    <w:basedOn w:val="735"/>
    <w:link w:val="726"/>
    <w:uiPriority w:val="9"/>
    <w:rPr>
      <w:rFonts w:ascii="Arial" w:hAnsi="Arial" w:eastAsia="Arial" w:cs="Arial"/>
      <w:sz w:val="40"/>
      <w:szCs w:val="40"/>
    </w:rPr>
  </w:style>
  <w:style w:type="character" w:styleId="739" w:customStyle="1">
    <w:name w:val="Заголовок 2 Знак"/>
    <w:basedOn w:val="735"/>
    <w:link w:val="727"/>
    <w:uiPriority w:val="9"/>
    <w:rPr>
      <w:rFonts w:ascii="Arial" w:hAnsi="Arial" w:eastAsia="Arial" w:cs="Arial"/>
      <w:sz w:val="34"/>
    </w:rPr>
  </w:style>
  <w:style w:type="character" w:styleId="740" w:customStyle="1">
    <w:name w:val="Заголовок 3 Знак"/>
    <w:basedOn w:val="735"/>
    <w:link w:val="728"/>
    <w:uiPriority w:val="9"/>
    <w:rPr>
      <w:rFonts w:ascii="Arial" w:hAnsi="Arial" w:eastAsia="Arial" w:cs="Arial"/>
      <w:sz w:val="30"/>
      <w:szCs w:val="30"/>
    </w:rPr>
  </w:style>
  <w:style w:type="character" w:styleId="741" w:customStyle="1">
    <w:name w:val="Заголовок 4 Знак"/>
    <w:basedOn w:val="735"/>
    <w:link w:val="729"/>
    <w:uiPriority w:val="9"/>
    <w:rPr>
      <w:rFonts w:ascii="Arial" w:hAnsi="Arial" w:eastAsia="Arial" w:cs="Arial"/>
      <w:b/>
      <w:bCs/>
      <w:sz w:val="26"/>
      <w:szCs w:val="26"/>
    </w:rPr>
  </w:style>
  <w:style w:type="character" w:styleId="742" w:customStyle="1">
    <w:name w:val="Заголовок 5 Знак"/>
    <w:basedOn w:val="735"/>
    <w:link w:val="730"/>
    <w:uiPriority w:val="9"/>
    <w:rPr>
      <w:rFonts w:ascii="Arial" w:hAnsi="Arial" w:eastAsia="Arial" w:cs="Arial"/>
      <w:b/>
      <w:bCs/>
      <w:sz w:val="24"/>
      <w:szCs w:val="24"/>
    </w:rPr>
  </w:style>
  <w:style w:type="character" w:styleId="743" w:customStyle="1">
    <w:name w:val="Заголовок 6 Знак"/>
    <w:basedOn w:val="735"/>
    <w:link w:val="731"/>
    <w:uiPriority w:val="9"/>
    <w:rPr>
      <w:rFonts w:ascii="Arial" w:hAnsi="Arial" w:eastAsia="Arial" w:cs="Arial"/>
      <w:b/>
      <w:bCs/>
      <w:sz w:val="22"/>
      <w:szCs w:val="22"/>
    </w:rPr>
  </w:style>
  <w:style w:type="character" w:styleId="744" w:customStyle="1">
    <w:name w:val="Заголовок 7 Знак"/>
    <w:basedOn w:val="735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5" w:customStyle="1">
    <w:name w:val="Заголовок 8 Знак"/>
    <w:basedOn w:val="735"/>
    <w:link w:val="733"/>
    <w:uiPriority w:val="9"/>
    <w:rPr>
      <w:rFonts w:ascii="Arial" w:hAnsi="Arial" w:eastAsia="Arial" w:cs="Arial"/>
      <w:i/>
      <w:iCs/>
      <w:sz w:val="22"/>
      <w:szCs w:val="22"/>
    </w:rPr>
  </w:style>
  <w:style w:type="character" w:styleId="746" w:customStyle="1">
    <w:name w:val="Заголовок 9 Знак"/>
    <w:basedOn w:val="735"/>
    <w:link w:val="734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No Spacing"/>
    <w:uiPriority w:val="1"/>
    <w:qFormat/>
    <w:pPr>
      <w:spacing w:after="0" w:line="240" w:lineRule="auto"/>
    </w:pPr>
  </w:style>
  <w:style w:type="character" w:styleId="748" w:customStyle="1">
    <w:name w:val="Title Char"/>
    <w:basedOn w:val="735"/>
    <w:uiPriority w:val="10"/>
    <w:rPr>
      <w:sz w:val="48"/>
      <w:szCs w:val="48"/>
    </w:rPr>
  </w:style>
  <w:style w:type="paragraph" w:styleId="749">
    <w:name w:val="Subtitle"/>
    <w:basedOn w:val="725"/>
    <w:next w:val="725"/>
    <w:link w:val="750"/>
    <w:uiPriority w:val="11"/>
    <w:qFormat/>
    <w:pPr>
      <w:spacing w:before="200" w:after="200"/>
    </w:pPr>
  </w:style>
  <w:style w:type="character" w:styleId="750" w:customStyle="1">
    <w:name w:val="Подзаголовок Знак"/>
    <w:basedOn w:val="735"/>
    <w:link w:val="749"/>
    <w:uiPriority w:val="11"/>
    <w:rPr>
      <w:sz w:val="24"/>
      <w:szCs w:val="24"/>
    </w:rPr>
  </w:style>
  <w:style w:type="paragraph" w:styleId="751">
    <w:name w:val="Quote"/>
    <w:basedOn w:val="725"/>
    <w:next w:val="725"/>
    <w:link w:val="752"/>
    <w:uiPriority w:val="29"/>
    <w:qFormat/>
    <w:pPr>
      <w:ind w:left="720" w:right="720"/>
    </w:pPr>
    <w:rPr>
      <w:i/>
    </w:rPr>
  </w:style>
  <w:style w:type="character" w:styleId="752" w:customStyle="1">
    <w:name w:val="Цитата 2 Знак"/>
    <w:link w:val="751"/>
    <w:uiPriority w:val="29"/>
    <w:rPr>
      <w:i/>
    </w:rPr>
  </w:style>
  <w:style w:type="paragraph" w:styleId="753">
    <w:name w:val="Intense Quote"/>
    <w:basedOn w:val="725"/>
    <w:next w:val="725"/>
    <w:link w:val="75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4" w:customStyle="1">
    <w:name w:val="Выделенная цитата Знак"/>
    <w:link w:val="753"/>
    <w:uiPriority w:val="30"/>
    <w:rPr>
      <w:i/>
    </w:rPr>
  </w:style>
  <w:style w:type="paragraph" w:styleId="755">
    <w:name w:val="Header"/>
    <w:basedOn w:val="725"/>
    <w:link w:val="75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56" w:customStyle="1">
    <w:name w:val="Верхний колонтитул Знак"/>
    <w:basedOn w:val="735"/>
    <w:link w:val="755"/>
    <w:uiPriority w:val="99"/>
  </w:style>
  <w:style w:type="character" w:styleId="757" w:customStyle="1">
    <w:name w:val="Footer Char"/>
    <w:basedOn w:val="735"/>
    <w:uiPriority w:val="99"/>
  </w:style>
  <w:style w:type="paragraph" w:styleId="758">
    <w:name w:val="Caption"/>
    <w:basedOn w:val="725"/>
    <w:next w:val="725"/>
    <w:link w:val="75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59" w:customStyle="1">
    <w:name w:val="Название объекта Знак"/>
    <w:basedOn w:val="735"/>
    <w:link w:val="758"/>
    <w:uiPriority w:val="35"/>
    <w:rPr>
      <w:b/>
      <w:bCs/>
      <w:color w:val="5b9bd5" w:themeColor="accent1"/>
      <w:sz w:val="18"/>
      <w:szCs w:val="18"/>
    </w:rPr>
  </w:style>
  <w:style w:type="table" w:styleId="760">
    <w:name w:val="Table Grid"/>
    <w:basedOn w:val="7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 w:customStyle="1">
    <w:name w:val="Table Grid Light"/>
    <w:basedOn w:val="73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2">
    <w:name w:val="Plain Table 1"/>
    <w:basedOn w:val="73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2"/>
    <w:basedOn w:val="7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5">
    <w:name w:val="Plain Table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Plain Table 5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7">
    <w:name w:val="Grid Table 1 Light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1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5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6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1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5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6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1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5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6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4"/>
    <w:basedOn w:val="7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9" w:customStyle="1">
    <w:name w:val="Grid Table 4 - Accent 1"/>
    <w:basedOn w:val="7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90" w:customStyle="1">
    <w:name w:val="Grid Table 4 - Accent 2"/>
    <w:basedOn w:val="7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91" w:customStyle="1">
    <w:name w:val="Grid Table 4 - Accent 3"/>
    <w:basedOn w:val="7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92" w:customStyle="1">
    <w:name w:val="Grid Table 4 - Accent 4"/>
    <w:basedOn w:val="7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3" w:customStyle="1">
    <w:name w:val="Grid Table 4 - Accent 5"/>
    <w:basedOn w:val="7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4" w:customStyle="1">
    <w:name w:val="Grid Table 4 - Accent 6"/>
    <w:basedOn w:val="7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5">
    <w:name w:val="Grid Table 5 Dark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- Accent 1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 - Accent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- Accent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5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6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02">
    <w:name w:val="Grid Table 6 Colorful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3" w:customStyle="1">
    <w:name w:val="Grid Table 6 Colorful - Accent 1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04" w:customStyle="1">
    <w:name w:val="Grid Table 6 Colorful - Accent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5" w:customStyle="1">
    <w:name w:val="Grid Table 6 Colorful - Accent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6" w:customStyle="1">
    <w:name w:val="Grid Table 6 Colorful - Accent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7" w:customStyle="1">
    <w:name w:val="Grid Table 6 Colorful - Accent 5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8" w:customStyle="1">
    <w:name w:val="Grid Table 6 Colorful - Accent 6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9">
    <w:name w:val="Grid Table 7 Colorful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1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5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6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1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5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6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1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5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6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0">
    <w:name w:val="List Table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1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5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6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1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5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6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5 Dark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1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5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6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>
    <w:name w:val="List Table 6 Colorful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2" w:customStyle="1">
    <w:name w:val="List Table 6 Colorful - Accent 1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53" w:customStyle="1">
    <w:name w:val="List Table 6 Colorful - Accent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4" w:customStyle="1">
    <w:name w:val="List Table 6 Colorful - Accent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5" w:customStyle="1">
    <w:name w:val="List Table 6 Colorful - Accent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6" w:customStyle="1">
    <w:name w:val="List Table 6 Colorful - Accent 5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7" w:customStyle="1">
    <w:name w:val="List Table 6 Colorful - Accent 6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8">
    <w:name w:val="List Table 7 Colorful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1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5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6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ned - Accent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6" w:customStyle="1">
    <w:name w:val="Lined - Accent 1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7" w:customStyle="1">
    <w:name w:val="Lined - Accent 2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8" w:customStyle="1">
    <w:name w:val="Lined - Accent 3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9" w:customStyle="1">
    <w:name w:val="Lined - Accent 4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0" w:customStyle="1">
    <w:name w:val="Lined - Accent 5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1" w:customStyle="1">
    <w:name w:val="Lined - Accent 6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2" w:customStyle="1">
    <w:name w:val="Bordered &amp; Lined - Accent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3" w:customStyle="1">
    <w:name w:val="Bordered &amp; Lined - Accent 1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4" w:customStyle="1">
    <w:name w:val="Bordered &amp; Lined - Accent 2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5" w:customStyle="1">
    <w:name w:val="Bordered &amp; Lined - Accent 3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6" w:customStyle="1">
    <w:name w:val="Bordered &amp; Lined - Accent 4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7" w:customStyle="1">
    <w:name w:val="Bordered &amp; Lined - Accent 5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8" w:customStyle="1">
    <w:name w:val="Bordered &amp; Lined - Accent 6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9" w:customStyle="1">
    <w:name w:val="Bordered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0" w:customStyle="1">
    <w:name w:val="Bordered - Accent 1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81" w:customStyle="1">
    <w:name w:val="Bordered - Accent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82" w:customStyle="1">
    <w:name w:val="Bordered - Accent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3" w:customStyle="1">
    <w:name w:val="Bordered - Accent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4" w:customStyle="1">
    <w:name w:val="Bordered - Accent 5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5" w:customStyle="1">
    <w:name w:val="Bordered - Accent 6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86">
    <w:name w:val="footnote text"/>
    <w:basedOn w:val="725"/>
    <w:link w:val="887"/>
    <w:uiPriority w:val="99"/>
    <w:semiHidden/>
    <w:unhideWhenUsed/>
    <w:pPr>
      <w:spacing w:after="40"/>
    </w:pPr>
    <w:rPr>
      <w:sz w:val="18"/>
    </w:rPr>
  </w:style>
  <w:style w:type="character" w:styleId="887" w:customStyle="1">
    <w:name w:val="Текст сноски Знак"/>
    <w:link w:val="886"/>
    <w:uiPriority w:val="99"/>
    <w:rPr>
      <w:sz w:val="18"/>
    </w:rPr>
  </w:style>
  <w:style w:type="character" w:styleId="888">
    <w:name w:val="footnote reference"/>
    <w:basedOn w:val="735"/>
    <w:uiPriority w:val="99"/>
    <w:unhideWhenUsed/>
    <w:rPr>
      <w:vertAlign w:val="superscript"/>
    </w:rPr>
  </w:style>
  <w:style w:type="paragraph" w:styleId="889">
    <w:name w:val="endnote text"/>
    <w:basedOn w:val="725"/>
    <w:link w:val="890"/>
    <w:uiPriority w:val="99"/>
    <w:semiHidden/>
    <w:unhideWhenUsed/>
    <w:rPr>
      <w:sz w:val="20"/>
    </w:rPr>
  </w:style>
  <w:style w:type="character" w:styleId="890" w:customStyle="1">
    <w:name w:val="Текст концевой сноски Знак"/>
    <w:link w:val="889"/>
    <w:uiPriority w:val="99"/>
    <w:rPr>
      <w:sz w:val="20"/>
    </w:rPr>
  </w:style>
  <w:style w:type="character" w:styleId="891">
    <w:name w:val="endnote reference"/>
    <w:basedOn w:val="735"/>
    <w:uiPriority w:val="99"/>
    <w:semiHidden/>
    <w:unhideWhenUsed/>
    <w:rPr>
      <w:vertAlign w:val="superscript"/>
    </w:rPr>
  </w:style>
  <w:style w:type="paragraph" w:styleId="892">
    <w:name w:val="toc 1"/>
    <w:basedOn w:val="725"/>
    <w:next w:val="725"/>
    <w:uiPriority w:val="39"/>
    <w:unhideWhenUsed/>
    <w:pPr>
      <w:spacing w:after="57"/>
    </w:pPr>
  </w:style>
  <w:style w:type="paragraph" w:styleId="893">
    <w:name w:val="toc 2"/>
    <w:basedOn w:val="725"/>
    <w:next w:val="725"/>
    <w:uiPriority w:val="39"/>
    <w:unhideWhenUsed/>
    <w:pPr>
      <w:ind w:left="283"/>
      <w:spacing w:after="57"/>
    </w:pPr>
  </w:style>
  <w:style w:type="paragraph" w:styleId="894">
    <w:name w:val="toc 3"/>
    <w:basedOn w:val="725"/>
    <w:next w:val="725"/>
    <w:uiPriority w:val="39"/>
    <w:unhideWhenUsed/>
    <w:pPr>
      <w:ind w:left="567"/>
      <w:spacing w:after="57"/>
    </w:pPr>
  </w:style>
  <w:style w:type="paragraph" w:styleId="895">
    <w:name w:val="toc 4"/>
    <w:basedOn w:val="725"/>
    <w:next w:val="725"/>
    <w:uiPriority w:val="39"/>
    <w:unhideWhenUsed/>
    <w:pPr>
      <w:ind w:left="850"/>
      <w:spacing w:after="57"/>
    </w:pPr>
  </w:style>
  <w:style w:type="paragraph" w:styleId="896">
    <w:name w:val="toc 5"/>
    <w:basedOn w:val="725"/>
    <w:next w:val="725"/>
    <w:uiPriority w:val="39"/>
    <w:unhideWhenUsed/>
    <w:pPr>
      <w:ind w:left="1134"/>
      <w:spacing w:after="57"/>
    </w:pPr>
  </w:style>
  <w:style w:type="paragraph" w:styleId="897">
    <w:name w:val="toc 6"/>
    <w:basedOn w:val="725"/>
    <w:next w:val="725"/>
    <w:uiPriority w:val="39"/>
    <w:unhideWhenUsed/>
    <w:pPr>
      <w:ind w:left="1417"/>
      <w:spacing w:after="57"/>
    </w:pPr>
  </w:style>
  <w:style w:type="paragraph" w:styleId="898">
    <w:name w:val="toc 7"/>
    <w:basedOn w:val="725"/>
    <w:next w:val="725"/>
    <w:uiPriority w:val="39"/>
    <w:unhideWhenUsed/>
    <w:pPr>
      <w:ind w:left="1701"/>
      <w:spacing w:after="57"/>
    </w:pPr>
  </w:style>
  <w:style w:type="paragraph" w:styleId="899">
    <w:name w:val="toc 8"/>
    <w:basedOn w:val="725"/>
    <w:next w:val="725"/>
    <w:uiPriority w:val="39"/>
    <w:unhideWhenUsed/>
    <w:pPr>
      <w:ind w:left="1984"/>
      <w:spacing w:after="57"/>
    </w:pPr>
  </w:style>
  <w:style w:type="paragraph" w:styleId="900">
    <w:name w:val="toc 9"/>
    <w:basedOn w:val="725"/>
    <w:next w:val="725"/>
    <w:uiPriority w:val="39"/>
    <w:unhideWhenUsed/>
    <w:pPr>
      <w:ind w:left="2268"/>
      <w:spacing w:after="57"/>
    </w:pPr>
  </w:style>
  <w:style w:type="paragraph" w:styleId="901">
    <w:name w:val="TOC Heading"/>
    <w:uiPriority w:val="39"/>
    <w:unhideWhenUsed/>
  </w:style>
  <w:style w:type="paragraph" w:styleId="902">
    <w:name w:val="table of figures"/>
    <w:basedOn w:val="725"/>
    <w:next w:val="725"/>
    <w:uiPriority w:val="99"/>
    <w:unhideWhenUsed/>
  </w:style>
  <w:style w:type="character" w:styleId="903">
    <w:name w:val="Hyperlink"/>
    <w:uiPriority w:val="99"/>
    <w:rPr>
      <w:color w:val="0000ff"/>
      <w:u w:val="single"/>
    </w:rPr>
  </w:style>
  <w:style w:type="character" w:styleId="904">
    <w:name w:val="page number"/>
    <w:basedOn w:val="735"/>
  </w:style>
  <w:style w:type="paragraph" w:styleId="905">
    <w:name w:val="Footer"/>
    <w:basedOn w:val="725"/>
    <w:link w:val="906"/>
    <w:pPr>
      <w:tabs>
        <w:tab w:val="center" w:pos="4677" w:leader="none"/>
        <w:tab w:val="right" w:pos="9355" w:leader="none"/>
      </w:tabs>
    </w:pPr>
  </w:style>
  <w:style w:type="character" w:styleId="906" w:customStyle="1">
    <w:name w:val="Нижний колонтитул Знак"/>
    <w:basedOn w:val="735"/>
    <w:link w:val="905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7">
    <w:name w:val="Title"/>
    <w:basedOn w:val="725"/>
    <w:link w:val="908"/>
    <w:qFormat/>
    <w:pPr>
      <w:jc w:val="center"/>
      <w:spacing w:before="240" w:after="60"/>
      <w:tabs>
        <w:tab w:val="num" w:pos="2700" w:leader="none"/>
      </w:tabs>
      <w:outlineLvl w:val="0"/>
    </w:pPr>
    <w:rPr>
      <w:rFonts w:ascii="Arial" w:hAnsi="Arial"/>
      <w:b/>
      <w:sz w:val="32"/>
      <w:szCs w:val="20"/>
    </w:rPr>
  </w:style>
  <w:style w:type="character" w:styleId="908" w:customStyle="1">
    <w:name w:val="Название Знак"/>
    <w:basedOn w:val="735"/>
    <w:link w:val="907"/>
    <w:rPr>
      <w:rFonts w:ascii="Arial" w:hAnsi="Arial" w:eastAsia="Times New Roman" w:cs="Times New Roman"/>
      <w:b/>
      <w:sz w:val="32"/>
      <w:szCs w:val="20"/>
      <w:lang w:eastAsia="ru-RU"/>
    </w:rPr>
  </w:style>
  <w:style w:type="paragraph" w:styleId="909" w:customStyle="1">
    <w:name w:val="Заголовок 2.КД"/>
    <w:basedOn w:val="725"/>
    <w:next w:val="725"/>
    <w:link w:val="910"/>
    <w:pPr>
      <w:ind w:firstLine="567"/>
      <w:jc w:val="center"/>
      <w:keepNext/>
      <w:spacing w:before="240" w:line="240" w:lineRule="atLeast"/>
      <w:widowControl w:val="off"/>
      <w:tabs>
        <w:tab w:val="left" w:pos="540" w:leader="none"/>
      </w:tabs>
      <w:outlineLvl w:val="1"/>
    </w:pPr>
    <w:rPr>
      <w:b/>
      <w:bCs/>
      <w:sz w:val="28"/>
      <w:szCs w:val="28"/>
      <w:lang w:eastAsia="en-US"/>
    </w:rPr>
  </w:style>
  <w:style w:type="character" w:styleId="910" w:customStyle="1">
    <w:name w:val="Заголовок 2.КД Знак"/>
    <w:link w:val="909"/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911">
    <w:name w:val="List Paragraph"/>
    <w:basedOn w:val="725"/>
    <w:uiPriority w:val="34"/>
    <w:qFormat/>
    <w:pPr>
      <w:contextualSpacing/>
      <w:ind w:left="720"/>
    </w:pPr>
  </w:style>
  <w:style w:type="paragraph" w:styleId="912">
    <w:name w:val="Balloon Text"/>
    <w:basedOn w:val="725"/>
    <w:link w:val="91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13" w:customStyle="1">
    <w:name w:val="Текст выноски Знак"/>
    <w:basedOn w:val="735"/>
    <w:link w:val="912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914" w:customStyle="1">
    <w:name w:val="Абзац списка1"/>
    <w:basedOn w:val="725"/>
    <w:link w:val="915"/>
    <w:uiPriority w:val="34"/>
    <w:pPr>
      <w:ind w:left="720"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styleId="915" w:customStyle="1">
    <w:name w:val="Абзац списка Знак"/>
    <w:link w:val="914"/>
    <w:uiPriority w:val="34"/>
    <w:qFormat/>
    <w:rPr>
      <w:rFonts w:ascii="Calibri" w:hAnsi="Calibri" w:eastAsia="Times New Roman" w:cs="Calibri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customXml" Target="../customXml/item1.xml" /><Relationship Id="rId14" Type="http://schemas.openxmlformats.org/officeDocument/2006/relationships/hyperlink" Target="consultantplus://offline/ref=531F573D1CD9F53EEEF38295171AA358A2264FEF4B867AE580DCC87178C2B5B57B4ED50AB1664CB926920C86EBwDh2I" TargetMode="External"/><Relationship Id="rId15" Type="http://schemas.openxmlformats.org/officeDocument/2006/relationships/hyperlink" Target="consultantplus://offline/ref=531F573D1CD9F53EEEF38295171AA358A22D46E64E847AE580DCC87178C2B5B5694E8D04B83603FD71810C82F7D03E9D093993w5h8I" TargetMode="External"/><Relationship Id="rId16" Type="http://schemas.openxmlformats.org/officeDocument/2006/relationships/hyperlink" Target="consultantplus://offline/ref=531F573D1CD9F53EEEF38295171AA358A22D46E64E847AE580DCC87178C2B5B5694E8D04B83603FD71810C82F7D03E9D093993w5h8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42FA7-F993-4F60-A9DC-1744990A2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Plan89</dc:creator>
  <cp:keywords/>
  <dc:description/>
  <cp:lastModifiedBy>aplan1</cp:lastModifiedBy>
  <cp:revision>174</cp:revision>
  <dcterms:created xsi:type="dcterms:W3CDTF">2022-11-07T08:42:00Z</dcterms:created>
  <dcterms:modified xsi:type="dcterms:W3CDTF">2026-08-06T08:42:58Z</dcterms:modified>
</cp:coreProperties>
</file>