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Обоснование начальной (максимальной) цены контракта,</w:t>
      </w:r>
      <w:r>
        <w:rPr/>
        <w:t xml:space="preserve"> </w:t>
      </w:r>
      <w:r>
        <w:rPr>
          <w:rFonts w:eastAsia="Calibri" w:ascii="PT Astra Serif" w:hAnsi="PT Astra Serif"/>
          <w:b/>
          <w:lang w:eastAsia="en-US"/>
        </w:rPr>
        <w:t>начальных цен единиц товара, работы, услуги</w:t>
      </w:r>
    </w:p>
    <w:p>
      <w:pPr>
        <w:pStyle w:val="Normal"/>
        <w:jc w:val="center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</w:r>
    </w:p>
    <w:p>
      <w:pPr>
        <w:pStyle w:val="Normal"/>
        <w:jc w:val="center"/>
        <w:rPr>
          <w:rFonts w:ascii="PT Astra Serif" w:hAnsi="PT Astra Serif"/>
          <w:i/>
          <w:i/>
          <w:u w:val="single"/>
        </w:rPr>
      </w:pPr>
      <w:r>
        <w:rPr>
          <w:rFonts w:ascii="PT Astra Serif" w:hAnsi="PT Astra Serif"/>
          <w:i/>
          <w:iCs w:val="false"/>
          <w:u w:val="single"/>
        </w:rPr>
        <w:t>Ключ активации Saby услуг оператора фискальных данных сроком на 36 месяцев</w:t>
      </w:r>
    </w:p>
    <w:tbl>
      <w:tblPr>
        <w:tblpPr w:vertAnchor="text" w:horzAnchor="margin" w:leftFromText="180" w:rightFromText="180" w:tblpX="0" w:tblpY="38"/>
        <w:tblW w:w="14879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004"/>
        <w:gridCol w:w="1882"/>
        <w:gridCol w:w="11992"/>
      </w:tblGrid>
      <w:tr>
        <w:trPr>
          <w:trHeight w:val="116" w:hRule="atLeast"/>
        </w:trPr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1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 соответствии с Описанием объекта закупки</w:t>
            </w:r>
          </w:p>
        </w:tc>
      </w:tr>
      <w:tr>
        <w:trPr>
          <w:trHeight w:val="232" w:hRule="atLeast"/>
        </w:trPr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57" w:right="57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Используемый метод определения НМЦК с обоснованием:</w:t>
            </w:r>
          </w:p>
        </w:tc>
        <w:tc>
          <w:tcPr>
            <w:tcW w:w="1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7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Иной метод на основании ч.12 ст.22 Федерального закона от 05.04.2013 №44-ФЗ – методом минимального ценового предложения.</w:t>
            </w:r>
          </w:p>
        </w:tc>
      </w:tr>
      <w:tr>
        <w:trPr>
          <w:trHeight w:val="416" w:hRule="atLeast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57" w:right="57"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Расчет</w:t>
            </w:r>
          </w:p>
        </w:tc>
        <w:tc>
          <w:tcPr>
            <w:tcW w:w="13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outlineLvl w:val="1"/>
              <w:rPr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>Иной метод на основании ч.12 ст.22 Федерального закона от 05.04.2013 №44-ФЗ – методом минимального ценового предложения.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outlineLvl w:val="1"/>
              <w:rPr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 xml:space="preserve">НМЦК, рассчитанная методом сопоставимых рыночных цен (анализа рынка) на основании ч.6 ст.22 Федерального закона от 05.04.2012 № 44 ФЗ, составляет </w:t>
            </w:r>
            <w:r>
              <w:rPr>
                <w:rFonts w:ascii="PT Astra Serif" w:hAnsi="PT Astra Serif"/>
                <w:b/>
                <w:bCs/>
                <w:sz w:val="21"/>
                <w:szCs w:val="21"/>
              </w:rPr>
              <w:t>20</w:t>
            </w:r>
            <w:r>
              <w:rPr>
                <w:rFonts w:ascii="PT Astra Serif" w:hAnsi="PT Astra Serif"/>
                <w:b/>
                <w:bCs/>
                <w:sz w:val="21"/>
                <w:szCs w:val="21"/>
              </w:rPr>
              <w:t xml:space="preserve"> 666,6</w:t>
            </w:r>
            <w:r>
              <w:rPr>
                <w:rFonts w:ascii="PT Astra Serif" w:hAnsi="PT Astra Serif"/>
                <w:b/>
                <w:bCs/>
                <w:sz w:val="21"/>
                <w:szCs w:val="21"/>
              </w:rPr>
              <w:t>6</w:t>
            </w:r>
            <w:r>
              <w:rPr>
                <w:rFonts w:ascii="PT Astra Serif" w:hAnsi="PT Astra Serif"/>
                <w:b/>
                <w:bCs/>
                <w:sz w:val="21"/>
                <w:szCs w:val="21"/>
              </w:rPr>
              <w:t xml:space="preserve"> руб</w:t>
            </w:r>
            <w:r>
              <w:rPr>
                <w:rFonts w:ascii="PT Astra Serif" w:hAnsi="PT Astra Serif"/>
                <w:b/>
                <w:sz w:val="21"/>
                <w:szCs w:val="21"/>
              </w:rPr>
              <w:t>.</w:t>
            </w:r>
          </w:p>
          <w:p>
            <w:pPr>
              <w:pStyle w:val="Normal"/>
              <w:ind w:left="57"/>
              <w:jc w:val="both"/>
              <w:rPr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 xml:space="preserve">В соответствии с положениями распоряжения Правительства Ульяновской области от 17.09.2018 г.  №411-пр «Об утверждении методических указаний по применения методов определения начальной (максимальной) цены контракта, цены контракта, заключаемого с единственным поставщиком (подрядчиком, исполнителем) для обеспечения государственных нужд Ульяновской области», исходя из принципа эффективного использования финансовых средств ПФХД, Заказчик определяет НМЦК иным методом - методом минимального ценового предложения, что составляет </w:t>
            </w:r>
            <w:r>
              <w:rPr>
                <w:rFonts w:ascii="PT Astra Serif" w:hAnsi="PT Astra Serif"/>
                <w:b/>
                <w:sz w:val="21"/>
                <w:szCs w:val="21"/>
              </w:rPr>
              <w:t xml:space="preserve">– </w:t>
            </w:r>
            <w:r>
              <w:rPr>
                <w:rFonts w:ascii="PT Astra Serif" w:hAnsi="PT Astra Serif"/>
                <w:b/>
                <w:sz w:val="21"/>
                <w:szCs w:val="21"/>
              </w:rPr>
              <w:t>18</w:t>
            </w:r>
            <w:r>
              <w:rPr>
                <w:rFonts w:ascii="PT Astra Serif" w:hAnsi="PT Astra Serif"/>
                <w:b/>
                <w:sz w:val="21"/>
                <w:szCs w:val="21"/>
              </w:rPr>
              <w:t xml:space="preserve"> 000,00 руб</w:t>
            </w:r>
            <w:r>
              <w:rPr>
                <w:rFonts w:ascii="PT Astra Serif" w:hAnsi="PT Astra Serif"/>
                <w:sz w:val="21"/>
                <w:szCs w:val="21"/>
              </w:rPr>
              <w:t>.</w:t>
            </w:r>
          </w:p>
          <w:p>
            <w:pPr>
              <w:pStyle w:val="Normal"/>
              <w:ind w:left="57"/>
              <w:jc w:val="both"/>
              <w:rPr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>Для формирования НМЦК были получено 3 коммерческих предложений на поставку товара.</w:t>
            </w:r>
          </w:p>
          <w:p>
            <w:pPr>
              <w:pStyle w:val="Normal"/>
              <w:ind w:left="57"/>
              <w:rPr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>1) Исполнитель №1 – коммерческое предложение №</w:t>
            </w:r>
            <w:r>
              <w:rPr>
                <w:rFonts w:ascii="PT Astra Serif" w:hAnsi="PT Astra Serif"/>
                <w:sz w:val="21"/>
                <w:szCs w:val="21"/>
              </w:rPr>
              <w:t>823</w:t>
            </w:r>
            <w:r>
              <w:rPr>
                <w:rFonts w:ascii="PT Astra Serif" w:hAnsi="PT Astra Serif"/>
                <w:sz w:val="21"/>
                <w:szCs w:val="21"/>
              </w:rPr>
              <w:t xml:space="preserve"> от </w:t>
            </w:r>
            <w:r>
              <w:rPr>
                <w:rFonts w:ascii="PT Astra Serif" w:hAnsi="PT Astra Serif"/>
                <w:sz w:val="21"/>
                <w:szCs w:val="21"/>
              </w:rPr>
              <w:t>26</w:t>
            </w:r>
            <w:r>
              <w:rPr>
                <w:rFonts w:ascii="PT Astra Serif" w:hAnsi="PT Astra Serif"/>
                <w:sz w:val="21"/>
                <w:szCs w:val="21"/>
              </w:rPr>
              <w:t>.0</w:t>
            </w:r>
            <w:r>
              <w:rPr>
                <w:rFonts w:ascii="PT Astra Serif" w:hAnsi="PT Astra Serif"/>
                <w:sz w:val="21"/>
                <w:szCs w:val="21"/>
              </w:rPr>
              <w:t>8</w:t>
            </w:r>
            <w:r>
              <w:rPr>
                <w:rFonts w:ascii="PT Astra Serif" w:hAnsi="PT Astra Serif"/>
                <w:sz w:val="21"/>
                <w:szCs w:val="21"/>
              </w:rPr>
              <w:t>.2026г.</w:t>
            </w:r>
          </w:p>
          <w:p>
            <w:pPr>
              <w:pStyle w:val="Normal"/>
              <w:ind w:left="57"/>
              <w:rPr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>2) Исполнитель №2 – коммерческое предложение №</w:t>
            </w:r>
            <w:r>
              <w:rPr>
                <w:rFonts w:ascii="PT Astra Serif" w:hAnsi="PT Astra Serif"/>
                <w:sz w:val="21"/>
                <w:szCs w:val="21"/>
              </w:rPr>
              <w:t>824</w:t>
            </w:r>
            <w:r>
              <w:rPr>
                <w:rFonts w:ascii="PT Astra Serif" w:hAnsi="PT Astra Serif"/>
                <w:sz w:val="21"/>
                <w:szCs w:val="21"/>
              </w:rPr>
              <w:t xml:space="preserve"> от </w:t>
            </w:r>
            <w:r>
              <w:rPr>
                <w:rFonts w:ascii="PT Astra Serif" w:hAnsi="PT Astra Serif"/>
                <w:sz w:val="21"/>
                <w:szCs w:val="21"/>
              </w:rPr>
              <w:t>27</w:t>
            </w:r>
            <w:r>
              <w:rPr>
                <w:rFonts w:ascii="PT Astra Serif" w:hAnsi="PT Astra Serif"/>
                <w:sz w:val="21"/>
                <w:szCs w:val="21"/>
              </w:rPr>
              <w:t>.0</w:t>
            </w:r>
            <w:r>
              <w:rPr>
                <w:rFonts w:ascii="PT Astra Serif" w:hAnsi="PT Astra Serif"/>
                <w:sz w:val="21"/>
                <w:szCs w:val="21"/>
              </w:rPr>
              <w:t>8</w:t>
            </w:r>
            <w:r>
              <w:rPr>
                <w:rFonts w:ascii="PT Astra Serif" w:hAnsi="PT Astra Serif"/>
                <w:sz w:val="21"/>
                <w:szCs w:val="21"/>
              </w:rPr>
              <w:t>.2026г.</w:t>
            </w:r>
          </w:p>
          <w:p>
            <w:pPr>
              <w:pStyle w:val="Normal"/>
              <w:ind w:left="57"/>
              <w:rPr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>3) Исполнитель №3 – коммерческое предложение №</w:t>
            </w:r>
            <w:r>
              <w:rPr>
                <w:rFonts w:ascii="PT Astra Serif" w:hAnsi="PT Astra Serif"/>
                <w:sz w:val="21"/>
                <w:szCs w:val="21"/>
              </w:rPr>
              <w:t>825</w:t>
            </w:r>
            <w:r>
              <w:rPr>
                <w:rFonts w:ascii="PT Astra Serif" w:hAnsi="PT Astra Serif"/>
                <w:sz w:val="21"/>
                <w:szCs w:val="21"/>
              </w:rPr>
              <w:t xml:space="preserve"> от </w:t>
            </w:r>
            <w:r>
              <w:rPr>
                <w:rFonts w:ascii="PT Astra Serif" w:hAnsi="PT Astra Serif"/>
                <w:sz w:val="21"/>
                <w:szCs w:val="21"/>
              </w:rPr>
              <w:t>28</w:t>
            </w:r>
            <w:r>
              <w:rPr>
                <w:rFonts w:ascii="PT Astra Serif" w:hAnsi="PT Astra Serif"/>
                <w:sz w:val="21"/>
                <w:szCs w:val="21"/>
              </w:rPr>
              <w:t>.0</w:t>
            </w:r>
            <w:r>
              <w:rPr>
                <w:rFonts w:ascii="PT Astra Serif" w:hAnsi="PT Astra Serif"/>
                <w:sz w:val="21"/>
                <w:szCs w:val="21"/>
              </w:rPr>
              <w:t>8</w:t>
            </w:r>
            <w:r>
              <w:rPr>
                <w:rFonts w:ascii="PT Astra Serif" w:hAnsi="PT Astra Serif"/>
                <w:sz w:val="21"/>
                <w:szCs w:val="21"/>
              </w:rPr>
              <w:t>.2026г.</w:t>
            </w:r>
          </w:p>
          <w:p>
            <w:pPr>
              <w:pStyle w:val="Normal"/>
              <w:ind w:left="57"/>
              <w:rPr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>Применение корректирующих коэффициентов не требуется.</w:t>
            </w:r>
          </w:p>
          <w:p>
            <w:pPr>
              <w:pStyle w:val="Normal"/>
              <w:ind w:left="57"/>
              <w:rPr>
                <w:rFonts w:ascii="PT Astra Serif" w:hAnsi="PT Astra Serif"/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>Коэффициент вариации не превышает 33%.</w:t>
            </w:r>
          </w:p>
          <w:tbl>
            <w:tblPr>
              <w:tblW w:w="13770" w:type="dxa"/>
              <w:jc w:val="left"/>
              <w:tblInd w:w="0" w:type="dxa"/>
              <w:tblLayout w:type="fixed"/>
              <w:tblCellMar>
                <w:top w:w="28" w:type="dxa"/>
                <w:left w:w="28" w:type="dxa"/>
                <w:bottom w:w="0" w:type="dxa"/>
                <w:right w:w="28" w:type="dxa"/>
              </w:tblCellMar>
            </w:tblPr>
            <w:tblGrid>
              <w:gridCol w:w="2490"/>
              <w:gridCol w:w="465"/>
              <w:gridCol w:w="615"/>
              <w:gridCol w:w="1080"/>
              <w:gridCol w:w="1140"/>
              <w:gridCol w:w="1245"/>
              <w:gridCol w:w="1245"/>
              <w:gridCol w:w="900"/>
              <w:gridCol w:w="1200"/>
              <w:gridCol w:w="840"/>
              <w:gridCol w:w="1245"/>
              <w:gridCol w:w="1305"/>
            </w:tblGrid>
            <w:tr>
              <w:trPr/>
              <w:tc>
                <w:tcPr>
                  <w:tcW w:w="249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17"/>
                    <w:ind w:hanging="0" w:left="0" w:right="0"/>
                    <w:jc w:val="left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Наименование услуги</w:t>
                  </w:r>
                </w:p>
              </w:tc>
              <w:tc>
                <w:tcPr>
                  <w:tcW w:w="46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61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3465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Цена за единицу услуги, руб/час.</w:t>
                  </w:r>
                </w:p>
              </w:tc>
              <w:tc>
                <w:tcPr>
                  <w:tcW w:w="124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Средняя цена ед.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Кол-во Исполнителей</w:t>
                  </w:r>
                </w:p>
              </w:tc>
              <w:tc>
                <w:tcPr>
                  <w:tcW w:w="120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σ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Коэф-т вариации, %</w:t>
                  </w:r>
                </w:p>
              </w:tc>
              <w:tc>
                <w:tcPr>
                  <w:tcW w:w="124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НМЦК по ср.цене, руб.</w:t>
                  </w:r>
                </w:p>
              </w:tc>
              <w:tc>
                <w:tcPr>
                  <w:tcW w:w="130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НМЦК по мин. Цене, руб.</w:t>
                  </w:r>
                </w:p>
              </w:tc>
            </w:tr>
            <w:tr>
              <w:trPr/>
              <w:tc>
                <w:tcPr>
                  <w:tcW w:w="2490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17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465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615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0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Исполнитель №1</w:t>
                  </w:r>
                </w:p>
              </w:tc>
              <w:tc>
                <w:tcPr>
                  <w:tcW w:w="11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Исполнитель №2</w:t>
                  </w:r>
                </w:p>
              </w:tc>
              <w:tc>
                <w:tcPr>
                  <w:tcW w:w="12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Исполнитель №3</w:t>
                  </w:r>
                </w:p>
              </w:tc>
              <w:tc>
                <w:tcPr>
                  <w:tcW w:w="1245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00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200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840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245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305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656" w:hRule="atLeast"/>
              </w:trPr>
              <w:tc>
                <w:tcPr>
                  <w:tcW w:w="24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</w:tcPr>
                <w:p>
                  <w:pPr>
                    <w:pStyle w:val="Style17"/>
                    <w:ind w:hanging="0" w:left="0" w:right="0"/>
                    <w:jc w:val="left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Ключ активации Saby услуг оператора фискальных данных сроком на 36 месяцев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left w:w="0" w:type="dxa"/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шт</w:t>
                  </w:r>
                </w:p>
              </w:tc>
              <w:tc>
                <w:tcPr>
                  <w:tcW w:w="6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sz w:val="18"/>
                      <w:szCs w:val="18"/>
                    </w:rPr>
                    <w:t>9 000,00</w:t>
                  </w:r>
                </w:p>
              </w:tc>
              <w:tc>
                <w:tcPr>
                  <w:tcW w:w="11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12 000,00</w:t>
                  </w:r>
                </w:p>
              </w:tc>
              <w:tc>
                <w:tcPr>
                  <w:tcW w:w="12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2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 xml:space="preserve">10 333,33   </w:t>
                  </w:r>
                </w:p>
              </w:tc>
              <w:tc>
                <w:tcPr>
                  <w:tcW w:w="9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 xml:space="preserve">3   </w:t>
                  </w:r>
                </w:p>
              </w:tc>
              <w:tc>
                <w:tcPr>
                  <w:tcW w:w="12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1 527,53</w:t>
                  </w:r>
                </w:p>
              </w:tc>
              <w:tc>
                <w:tcPr>
                  <w:tcW w:w="8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14,78</w:t>
                  </w:r>
                </w:p>
              </w:tc>
              <w:tc>
                <w:tcPr>
                  <w:tcW w:w="12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20 666,66</w:t>
                  </w:r>
                </w:p>
              </w:tc>
              <w:tc>
                <w:tcPr>
                  <w:tcW w:w="13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18 000,00</w:t>
                  </w:r>
                </w:p>
              </w:tc>
            </w:tr>
            <w:tr>
              <w:trPr>
                <w:trHeight w:val="356" w:hRule="atLeast"/>
              </w:trPr>
              <w:tc>
                <w:tcPr>
                  <w:tcW w:w="24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left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left w:w="0" w:type="dxa"/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bottom"/>
                </w:tcPr>
                <w:p>
                  <w:pPr>
                    <w:pStyle w:val="Style17"/>
                    <w:ind w:hanging="0" w:left="0" w:right="0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0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 xml:space="preserve">9 000,00   </w:t>
                  </w:r>
                </w:p>
              </w:tc>
              <w:tc>
                <w:tcPr>
                  <w:tcW w:w="11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 xml:space="preserve">12 000,00   </w:t>
                  </w:r>
                </w:p>
              </w:tc>
              <w:tc>
                <w:tcPr>
                  <w:tcW w:w="12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 xml:space="preserve">10 000,00   </w:t>
                  </w:r>
                </w:p>
              </w:tc>
              <w:tc>
                <w:tcPr>
                  <w:tcW w:w="12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bottom"/>
                </w:tcPr>
                <w:p>
                  <w:pPr>
                    <w:pStyle w:val="Style17"/>
                    <w:ind w:hanging="0" w:left="0" w:right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bottom"/>
                </w:tcPr>
                <w:p>
                  <w:pPr>
                    <w:pStyle w:val="Style17"/>
                    <w:ind w:hanging="0" w:left="0" w:right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2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bottom"/>
                </w:tcPr>
                <w:p>
                  <w:pPr>
                    <w:pStyle w:val="Style17"/>
                    <w:ind w:hanging="0" w:left="0" w:right="0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8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bottom"/>
                </w:tcPr>
                <w:p>
                  <w:pPr>
                    <w:pStyle w:val="Style17"/>
                    <w:ind w:hanging="0" w:left="0" w:right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2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20 666,66</w:t>
                  </w:r>
                </w:p>
              </w:tc>
              <w:tc>
                <w:tcPr>
                  <w:tcW w:w="13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17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18 000,00</w:t>
                  </w:r>
                </w:p>
              </w:tc>
            </w:tr>
          </w:tbl>
          <w:p>
            <w:pPr>
              <w:pStyle w:val="Normal"/>
              <w:ind w:hanging="0" w:left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248" w:hRule="atLeast"/>
        </w:trPr>
        <w:tc>
          <w:tcPr>
            <w:tcW w:w="1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57" w:right="57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Дата подготовки обоснования: 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0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1.0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9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.2026 г.</w:t>
            </w:r>
          </w:p>
        </w:tc>
      </w:tr>
    </w:tbl>
    <w:p>
      <w:pPr>
        <w:pStyle w:val="1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1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1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1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bCs/>
          <w:sz w:val="22"/>
          <w:szCs w:val="22"/>
        </w:rPr>
        <w:t>Руководитель контрактной службы:</w:t>
      </w:r>
    </w:p>
    <w:tbl>
      <w:tblPr>
        <w:tblW w:w="5245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66"/>
        <w:gridCol w:w="398"/>
        <w:gridCol w:w="257"/>
        <w:gridCol w:w="879"/>
        <w:gridCol w:w="170"/>
        <w:gridCol w:w="937"/>
        <w:gridCol w:w="737"/>
        <w:gridCol w:w="142"/>
        <w:gridCol w:w="397"/>
        <w:gridCol w:w="508"/>
        <w:gridCol w:w="653"/>
      </w:tblGrid>
      <w:tr>
        <w:trPr/>
        <w:tc>
          <w:tcPr>
            <w:tcW w:w="5244" w:type="dxa"/>
            <w:gridSpan w:val="11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Заместитель главного врача по экономическим вопросам</w:t>
            </w:r>
          </w:p>
        </w:tc>
      </w:tr>
      <w:tr>
        <w:trPr/>
        <w:tc>
          <w:tcPr>
            <w:tcW w:w="1700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170" w:type="dxa"/>
            <w:tcBorders/>
            <w:vAlign w:val="bottom"/>
          </w:tcPr>
          <w:p>
            <w:pPr>
              <w:pStyle w:val="1"/>
              <w:snapToGrid w:val="false"/>
              <w:jc w:val="righ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/</w:t>
            </w:r>
          </w:p>
        </w:tc>
        <w:tc>
          <w:tcPr>
            <w:tcW w:w="2721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Е.Н.Стратонова</w:t>
            </w:r>
          </w:p>
        </w:tc>
        <w:tc>
          <w:tcPr>
            <w:tcW w:w="653" w:type="dxa"/>
            <w:tcBorders/>
            <w:vAlign w:val="bottom"/>
          </w:tcPr>
          <w:p>
            <w:pPr>
              <w:pStyle w:val="1"/>
              <w:snapToGrid w:val="false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/</w:t>
            </w:r>
          </w:p>
        </w:tc>
      </w:tr>
      <w:tr>
        <w:trPr>
          <w:trHeight w:val="221" w:hRule="atLeast"/>
        </w:trPr>
        <w:tc>
          <w:tcPr>
            <w:tcW w:w="166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“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  <w:lang w:val="en-US"/>
              </w:rPr>
              <w:t>0</w:t>
            </w: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57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”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jc w:val="center"/>
              <w:rPr>
                <w:lang w:val="ru-RU"/>
              </w:rPr>
            </w:pPr>
            <w:r>
              <w:rPr>
                <w:rFonts w:ascii="PT Astra Serif" w:hAnsi="PT Astra Serif"/>
                <w:sz w:val="22"/>
                <w:szCs w:val="22"/>
                <w:lang w:val="ru-RU"/>
              </w:rPr>
              <w:t>сентября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jc w:val="righ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142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508" w:type="dxa"/>
            <w:tcBorders/>
          </w:tcPr>
          <w:p>
            <w:pPr>
              <w:pStyle w:val="1"/>
              <w:snapToGrid w:val="false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653" w:type="dxa"/>
            <w:tcBorders/>
          </w:tcPr>
          <w:p>
            <w:pPr>
              <w:pStyle w:val="1"/>
              <w:snapToGrid w:val="fals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</w:tbl>
    <w:p>
      <w:pPr>
        <w:pStyle w:val="Normal"/>
        <w:rPr/>
      </w:pPr>
      <w:r>
        <w:rPr>
          <w:rFonts w:ascii="PT Astra Serif" w:hAnsi="PT Astra Serif"/>
          <w:i/>
          <w:sz w:val="18"/>
          <w:szCs w:val="18"/>
        </w:rPr>
        <w:t xml:space="preserve">Ф.И.О. исполнителя/контактный телефон </w:t>
      </w:r>
      <w:r>
        <w:rPr>
          <w:rFonts w:ascii="PT Astra Serif" w:hAnsi="PT Astra Serif"/>
          <w:b/>
          <w:bCs/>
          <w:sz w:val="18"/>
          <w:szCs w:val="18"/>
          <w:lang w:eastAsia="ar-SA"/>
        </w:rPr>
        <w:t xml:space="preserve">         </w:t>
      </w:r>
      <w:r>
        <w:rPr>
          <w:rFonts w:ascii="PT Astra Serif" w:hAnsi="PT Astra Serif"/>
          <w:i/>
          <w:sz w:val="18"/>
          <w:szCs w:val="18"/>
        </w:rPr>
        <w:t>44-23-29</w:t>
      </w:r>
    </w:p>
    <w:sectPr>
      <w:type w:val="nextPage"/>
      <w:pgSz w:orient="landscape" w:w="16838" w:h="11906"/>
      <w:pgMar w:left="1134" w:right="1134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T Astra Serif">
    <w:charset w:val="cc"/>
    <w:family w:val="roman"/>
    <w:pitch w:val="variable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22f8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1" w:customStyle="1">
    <w:name w:val="Обычный1"/>
    <w:qFormat/>
    <w:rsid w:val="00e22f8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user2">
    <w:name w:val="Содержимое врезки (user)"/>
    <w:basedOn w:val="Normal"/>
    <w:qFormat/>
    <w:pPr/>
    <w:rPr/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Style16">
    <w:name w:val="Содержимое врезки"/>
    <w:basedOn w:val="Normal"/>
    <w:qFormat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Application>LibreOffice/25.2.7.2$Windows_X86_64 LibreOffice_project/5cbfd1ab6520636bb5f7b99185aa69bd7456825d</Application>
  <AppVersion>15.0000</AppVersion>
  <Pages>1</Pages>
  <Words>299</Words>
  <Characters>1977</Characters>
  <CharactersWithSpaces>2247</CharactersWithSpaces>
  <Paragraphs>60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2024-10-29T10:18:00Z</dcterms:created>
  <dc:creator>Priem 1 korp</dc:creator>
  <dc:description/>
  <dc:language>ru-RU</dc:language>
  <cp:lastModifiedBy/>
  <cp:lastPrinted>2026-05-25T14:06:30Z</cp:lastPrinted>
  <dcterms:modified xsi:type="dcterms:W3CDTF">2026-09-01T10:18:26Z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