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3B" w:rsidRPr="0039624F" w:rsidRDefault="009F7C93" w:rsidP="0039624F">
      <w:pPr>
        <w:pStyle w:val="b-product-item-dynamictitle"/>
        <w:spacing w:before="0" w:beforeAutospacing="0" w:after="0" w:afterAutospacing="0"/>
        <w:jc w:val="center"/>
        <w:rPr>
          <w:rFonts w:ascii="unset" w:hAnsi="unset"/>
          <w:b/>
          <w:bCs/>
          <w:color w:val="000000" w:themeColor="text1"/>
        </w:rPr>
      </w:pPr>
      <w:r w:rsidRPr="0039624F">
        <w:rPr>
          <w:rFonts w:ascii="unset" w:hAnsi="unset"/>
          <w:b/>
          <w:bCs/>
          <w:color w:val="000000" w:themeColor="text1"/>
        </w:rPr>
        <w:t>Техническое задание</w:t>
      </w:r>
      <w:r w:rsidR="0039624F" w:rsidRPr="0039624F">
        <w:rPr>
          <w:rFonts w:ascii="unset" w:hAnsi="unset"/>
          <w:b/>
          <w:bCs/>
          <w:color w:val="000000" w:themeColor="text1"/>
        </w:rPr>
        <w:t xml:space="preserve"> поставку раствор</w:t>
      </w:r>
      <w:r w:rsidR="008815A8">
        <w:rPr>
          <w:rFonts w:ascii="unset" w:hAnsi="unset"/>
          <w:b/>
          <w:bCs/>
          <w:color w:val="000000" w:themeColor="text1"/>
        </w:rPr>
        <w:t>ов</w:t>
      </w:r>
      <w:r w:rsidR="0039624F" w:rsidRPr="0039624F">
        <w:rPr>
          <w:rFonts w:ascii="unset" w:hAnsi="unset"/>
          <w:b/>
          <w:bCs/>
          <w:color w:val="000000" w:themeColor="text1"/>
        </w:rPr>
        <w:t xml:space="preserve"> ирригационн</w:t>
      </w:r>
      <w:r w:rsidR="008815A8">
        <w:rPr>
          <w:rFonts w:ascii="unset" w:hAnsi="unset"/>
          <w:b/>
          <w:bCs/>
          <w:color w:val="000000" w:themeColor="text1"/>
        </w:rPr>
        <w:t>ых</w:t>
      </w:r>
      <w:r w:rsidR="0039624F" w:rsidRPr="0039624F">
        <w:rPr>
          <w:rFonts w:ascii="unset" w:hAnsi="unset"/>
          <w:b/>
          <w:bCs/>
          <w:color w:val="000000" w:themeColor="text1"/>
        </w:rPr>
        <w:t xml:space="preserve"> для нужд ОФТ </w:t>
      </w:r>
      <w:r w:rsidR="0039624F" w:rsidRPr="0039624F">
        <w:rPr>
          <w:b/>
        </w:rPr>
        <w:t>клиники ФГБОУ ВО ЧГМА Минздрава России</w:t>
      </w:r>
    </w:p>
    <w:p w:rsidR="009F7C93" w:rsidRPr="0039624F" w:rsidRDefault="009F7C93" w:rsidP="0039624F">
      <w:pPr>
        <w:pStyle w:val="b-product-item-dynamictitle"/>
        <w:spacing w:before="0" w:beforeAutospacing="0" w:after="0" w:afterAutospacing="0"/>
        <w:jc w:val="center"/>
        <w:rPr>
          <w:rFonts w:ascii="unset" w:hAnsi="unset"/>
          <w:b/>
          <w:bCs/>
          <w:color w:val="000000" w:themeColor="text1"/>
        </w:rPr>
      </w:pPr>
    </w:p>
    <w:tbl>
      <w:tblPr>
        <w:tblStyle w:val="a5"/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3"/>
        <w:gridCol w:w="2268"/>
        <w:gridCol w:w="2268"/>
        <w:gridCol w:w="5137"/>
        <w:gridCol w:w="1276"/>
        <w:gridCol w:w="1418"/>
      </w:tblGrid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C74C2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b/>
                <w:sz w:val="20"/>
                <w:szCs w:val="20"/>
              </w:rPr>
              <w:t>Показатели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b/>
                <w:sz w:val="20"/>
                <w:szCs w:val="20"/>
              </w:rPr>
              <w:t>Обоснование необходимости использования дополнительных характеристик</w:t>
            </w:r>
            <w:r w:rsidRPr="00C74C29">
              <w:rPr>
                <w:rFonts w:ascii="unset" w:hAnsi="unset"/>
                <w:sz w:val="20"/>
                <w:szCs w:val="20"/>
              </w:rPr>
              <w:t xml:space="preserve"> (п.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г.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нужд")</w:t>
            </w:r>
          </w:p>
        </w:tc>
        <w:tc>
          <w:tcPr>
            <w:tcW w:w="1276" w:type="dxa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>
              <w:rPr>
                <w:rFonts w:ascii="unset" w:hAnsi="unset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>
              <w:rPr>
                <w:rFonts w:ascii="unset" w:hAnsi="unset"/>
                <w:b/>
                <w:sz w:val="20"/>
                <w:szCs w:val="20"/>
              </w:rPr>
              <w:t>Количество</w:t>
            </w:r>
          </w:p>
        </w:tc>
      </w:tr>
      <w:tr w:rsidR="00800159" w:rsidRPr="00C74C29" w:rsidTr="00800159">
        <w:trPr>
          <w:trHeight w:val="1755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:rsidR="00800159" w:rsidRPr="00800159" w:rsidRDefault="0080015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800159">
              <w:rPr>
                <w:rFonts w:ascii="unset" w:eastAsia="Calibri" w:hAnsi="unset" w:cs="Times New Roman"/>
                <w:b/>
                <w:sz w:val="20"/>
                <w:szCs w:val="20"/>
              </w:rPr>
              <w:t>1.</w:t>
            </w:r>
          </w:p>
          <w:p w:rsidR="00800159" w:rsidRPr="00C74C29" w:rsidRDefault="0080015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800159" w:rsidRPr="00C74C29" w:rsidRDefault="0080015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Ванна ультразвуковая для очистки и дезинфекции инструментов</w:t>
            </w:r>
          </w:p>
          <w:p w:rsidR="00800159" w:rsidRPr="00C74C29" w:rsidRDefault="0080015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</w:p>
          <w:p w:rsidR="00800159" w:rsidRPr="00C74C29" w:rsidRDefault="0080015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Код позиции в КТРУ:</w:t>
            </w:r>
          </w:p>
          <w:p w:rsidR="00800159" w:rsidRPr="00C74C29" w:rsidRDefault="0080015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32.50.50.000-00002444</w:t>
            </w:r>
          </w:p>
          <w:p w:rsidR="00800159" w:rsidRPr="00C74C29" w:rsidRDefault="0080015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</w:p>
          <w:p w:rsidR="00800159" w:rsidRPr="00C74C29" w:rsidRDefault="0080015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Код НКМИ</w:t>
            </w:r>
          </w:p>
          <w:p w:rsidR="00800159" w:rsidRPr="00C74C29" w:rsidRDefault="00800159" w:rsidP="00800159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127550</w:t>
            </w:r>
          </w:p>
        </w:tc>
        <w:tc>
          <w:tcPr>
            <w:tcW w:w="9673" w:type="dxa"/>
            <w:gridSpan w:val="3"/>
            <w:shd w:val="clear" w:color="auto" w:fill="BFBFBF" w:themeFill="background1" w:themeFillShade="BF"/>
            <w:vAlign w:val="center"/>
          </w:tcPr>
          <w:p w:rsidR="00800159" w:rsidRPr="00C74C29" w:rsidRDefault="0080015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  <w:r>
              <w:rPr>
                <w:rFonts w:ascii="unset" w:hAnsi="unset"/>
                <w:sz w:val="20"/>
                <w:szCs w:val="20"/>
              </w:rPr>
              <w:t xml:space="preserve">: </w:t>
            </w:r>
            <w:r w:rsidRPr="00C74C29">
              <w:rPr>
                <w:rFonts w:ascii="unset" w:hAnsi="unset"/>
                <w:sz w:val="20"/>
                <w:szCs w:val="20"/>
              </w:rPr>
              <w:t>Приспособление для очистки инструментов и посуды посредством пропускания ультразвуковых волн через жидкую (например, водную) среду. Может использоваться в сочетании со специальным моющим средством для повышения эффективности очистки.</w:t>
            </w:r>
          </w:p>
        </w:tc>
        <w:tc>
          <w:tcPr>
            <w:tcW w:w="1276" w:type="dxa"/>
            <w:vMerge w:val="restart"/>
          </w:tcPr>
          <w:p w:rsidR="00800159" w:rsidRPr="00800159" w:rsidRDefault="0080015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800159">
              <w:rPr>
                <w:rFonts w:ascii="unset" w:hAnsi="unset"/>
                <w:b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Merge w:val="restart"/>
          </w:tcPr>
          <w:p w:rsidR="00800159" w:rsidRPr="00800159" w:rsidRDefault="0080015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800159">
              <w:rPr>
                <w:rFonts w:ascii="unset" w:hAnsi="unset"/>
                <w:b/>
                <w:sz w:val="20"/>
                <w:szCs w:val="20"/>
              </w:rPr>
              <w:t>2</w:t>
            </w:r>
          </w:p>
        </w:tc>
      </w:tr>
      <w:tr w:rsidR="00C74C29" w:rsidRPr="00C74C29" w:rsidTr="00800159">
        <w:tc>
          <w:tcPr>
            <w:tcW w:w="13183" w:type="dxa"/>
            <w:gridSpan w:val="5"/>
            <w:vAlign w:val="center"/>
          </w:tcPr>
          <w:p w:rsidR="00C74C29" w:rsidRPr="00C74C29" w:rsidRDefault="00C74C29" w:rsidP="006F2C44">
            <w:pPr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b/>
                <w:sz w:val="20"/>
                <w:szCs w:val="20"/>
              </w:rPr>
              <w:t>Технические характеристики, согласно КТРУ: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rPr>
                <w:rFonts w:ascii="unset" w:hAnsi="unset"/>
                <w:b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6F2C44">
            <w:pPr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  <w:r>
              <w:rPr>
                <w:rFonts w:ascii="unset" w:eastAsia="Calibri" w:hAnsi="unset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Полезный объем рабочей камеры,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≥ 10.0  и  ≤ 15.0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800159">
            <w:pPr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  <w:r>
              <w:rPr>
                <w:rFonts w:ascii="unset" w:eastAsia="Calibri" w:hAnsi="unset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Возможность обработки внутреннего пространства канальных и полостных инструментов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нет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533B08" w:rsidRDefault="00533B08" w:rsidP="006F2C44">
            <w:pPr>
              <w:jc w:val="center"/>
              <w:rPr>
                <w:rFonts w:ascii="unset" w:eastAsia="Calibri" w:hAnsi="unset" w:cs="Times New Roman"/>
                <w:sz w:val="20"/>
                <w:szCs w:val="20"/>
                <w:lang w:val="en-US"/>
              </w:rPr>
            </w:pPr>
            <w:r w:rsidRPr="00533B08">
              <w:rPr>
                <w:rFonts w:ascii="unset" w:eastAsia="Calibri" w:hAnsi="unse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Нагрев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нет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13183" w:type="dxa"/>
            <w:gridSpan w:val="5"/>
            <w:vAlign w:val="center"/>
          </w:tcPr>
          <w:p w:rsidR="00C74C29" w:rsidRPr="00C74C29" w:rsidRDefault="00C74C29" w:rsidP="00533B08">
            <w:pPr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b/>
                <w:sz w:val="20"/>
                <w:szCs w:val="20"/>
              </w:rPr>
              <w:t>Дополнительные характеристики: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rPr>
                <w:rFonts w:ascii="unset" w:hAnsi="unset"/>
                <w:b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>
              <w:rPr>
                <w:rFonts w:ascii="unset" w:hAnsi="unset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Ультразвуковая установка  должна быть выполнена на базе емкости-контейнера для  дезинфекции и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предстерилизационной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 xml:space="preserve"> обработки.  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Конструкция позволяет организовать «поточный» метод обработки в емкости-контейнере для дезинфекции без  дополнительного перекладывания инструментов, что значительно экономит рабочее время персонала и повышает безопасность процедуры обработки инструментов.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>
              <w:rPr>
                <w:rFonts w:ascii="unset" w:hAnsi="unset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 xml:space="preserve">Комплектность: 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 xml:space="preserve">1.Генератор </w:t>
            </w: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lastRenderedPageBreak/>
              <w:t>ультразвуковой  – 1 шт.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2.Излучатель ультразвуковой – 1 шт.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3.Рабочая емкость в составе:   в составе: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3.1 Корпус – 1 шт.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3.2 Поддон – 1 шт.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3.3 Крышка – 1 шт.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3.4. Отражатель  – 1 шт.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4.Руководство по эксплуатации – 1 шт.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5.Пластиковая подставка  – 1 шт.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Генератор ультразвуковой  вырабатывает ультразвуковые волны, обеспечивающие качество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очистки.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Отражатель обеспечивает равномерное распределение ультразвуковых волн во всем объеме раствора, что повышает качество очистки.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Подставка позволяет рационально и эргономично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разместить установку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на рабочем месте.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Рабочая емкость позволяет организовать «поточный» метод обработки в емкости-контейнере для дезинфекции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>
              <w:rPr>
                <w:rFonts w:ascii="unset" w:hAnsi="unset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Расположение ультразвукового излучателя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Верхнее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Верхнее  расположение излучателя исключает снижение эффективности очистки, возникающее за счет осаждения загрязнений на дно ванны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>
              <w:rPr>
                <w:rFonts w:ascii="unset" w:hAnsi="unset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Сетевое питание: электросеть переменного тока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Напряжение не менее 207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 xml:space="preserve"> В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и не более 253 В, частота 50 Гц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Характеристика соответствует ГОСТ 29322-2014 "Напряжения стандартные" и характеристикам электрической сети потребителя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>
              <w:rPr>
                <w:rFonts w:ascii="unset" w:hAnsi="unset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Потребляемая мощность, не более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230 ВА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Требования п.5.4.2  ГОСТ IEC 61010-1-2014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«Безопасность электрических контрольно-измерительных приборов и лабораторного оборудования. Часть 1. Общие требования» и характеристик  электрической сети потребителя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>
              <w:rPr>
                <w:rFonts w:ascii="unset" w:hAnsi="unset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Рабочая ультразвуковая частота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Не менее 20,4 кГц и не более 23,7 кГц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Диапазон рабочих частот для ультразвуковых ванн, обеспечивающий  ударную силу воздействия на загрязнения и эффективность очистки при верхнем расположении ультразвукового излучателя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Диапазон  излучаемой  акустической  мощности,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Вт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от 40  до 110 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Диапазон акустической мощности в сочетании с ультразвуковой частотой обеспечивают ударную силу воздействия на загрязнения и эффективность очистки в полезном объеме рабочей емкости.</w:t>
            </w:r>
          </w:p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Требования п.12.5.1  ГОСТ IEC 61010-1-2014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«Безопасность электрических контрольно-измерительных приборов и лабораторного оборудования. Часть 1. Общие требования» и характеристик  электрической сети потребителя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Диапазон устанавливаемых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 xml:space="preserve">временных интервалов обработки  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lastRenderedPageBreak/>
              <w:t xml:space="preserve">от 1 до 20 мин с интервалом установки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1 мин.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lastRenderedPageBreak/>
              <w:t xml:space="preserve">Требование п.6.6 ГОСТ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Р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50444-2020 «Приборы, аппараты и оборудование медицинские» по нормировано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 xml:space="preserve">максимально допустимого времени установления рабочего режима Возможность настройки длительности ультразвукового воздействия в соответствии с указанным в Инструкции на применяемое моющее   или 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моюще-дезинфицирующее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 xml:space="preserve"> средство значением, а также  степени загрязнения инструмента.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Работа в непродолжительном режиме 20 мин. работы, 15 мин. перерыв, в течение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8 ч.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Требования п.4.3.2.12 ГОСТ IEC 61010-1-2014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«Безопасность электрических контрольно-измерительных приборов и лабораторного оборудования. Часть 1. Общие требования» и характеристик  электрической сети потребителя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Индикация световая о наличии электропитания от сети при включенном изделии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Требование к безопасности изделия и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контроля за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работой установки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Индикация световая о режиме обработки  в течение установленного времени обработки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к эффективному планированию и экономии рабочего времени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Индикация световая о наличии контакта излучающей пластины с раствором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к безопасности изделия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Индикация звуковая об окончании времени обработки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к эффективной организации рабочего времени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Индикация звуковая об отсутствии контакта  излучающей пластины с раствором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к безопасности изделия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и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контроля за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работой установки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Индикация в цифровом виде: установленное время обработки и оставшееся время в процессе обработки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к эффективной организации рабочего времени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Габаритные размеры 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(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д×ш×в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>), мм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Обусловлено габаритами помещения и требованиями к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размещению оборудования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Генератор ультразвуковой,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(245×266×102)</w:t>
            </w:r>
          </w:p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±10%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Обусловлено требованиями к размещению оборудования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Сборка, состоящая из излучателя ультразвукового и рабочей емкости,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(528,5×333×200)±</w:t>
            </w:r>
          </w:p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10%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Обусловлено требованиями к размещению оборудования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Отражатель,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(317±2)×(248±2)×</w:t>
            </w:r>
          </w:p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(12,5±0,4)мм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Размер отражателя обеспечивает однородность акустического поля для исключения зон  рабочей емкости с отсутствием механической очистки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Подставка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(421×356×392,5)</w:t>
            </w:r>
          </w:p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±10%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Обусловлено  габаритами помещения и требованиями к размещению оборудования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Условия эксплуатации:</w:t>
            </w:r>
          </w:p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-  температура окружающего воздуха от +10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°С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до +35°С;</w:t>
            </w:r>
          </w:p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- относительная влажность воздуха до 80% при </w:t>
            </w:r>
            <w:r w:rsidRPr="00C74C29">
              <w:rPr>
                <w:rFonts w:ascii="unset" w:hAnsi="unset"/>
                <w:sz w:val="20"/>
                <w:szCs w:val="20"/>
                <w:lang w:val="en-US"/>
              </w:rPr>
              <w:t>t</w:t>
            </w:r>
            <w:r w:rsidRPr="00C74C29">
              <w:rPr>
                <w:rFonts w:ascii="unset" w:hAnsi="unset"/>
                <w:sz w:val="20"/>
                <w:szCs w:val="20"/>
              </w:rPr>
              <w:t xml:space="preserve"> +25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°С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Характеристика соответствует требованиям  ГОСТ 15150-69 для исполнения УХЛ 4.2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pacing w:val="-4"/>
                <w:sz w:val="20"/>
                <w:szCs w:val="20"/>
              </w:rPr>
            </w:pPr>
            <w:proofErr w:type="spellStart"/>
            <w:r w:rsidRPr="00C74C29">
              <w:rPr>
                <w:rFonts w:ascii="unset" w:eastAsia="Calibri" w:hAnsi="unset" w:cs="Times New Roman"/>
                <w:spacing w:val="-4"/>
                <w:sz w:val="20"/>
                <w:szCs w:val="20"/>
              </w:rPr>
              <w:t>Наружныеповерхности</w:t>
            </w:r>
            <w:proofErr w:type="spellEnd"/>
            <w:r w:rsidRPr="00C74C29">
              <w:rPr>
                <w:rFonts w:ascii="unset" w:eastAsia="Calibri" w:hAnsi="unset" w:cs="Times New Roman"/>
                <w:spacing w:val="-4"/>
                <w:sz w:val="20"/>
                <w:szCs w:val="20"/>
              </w:rPr>
              <w:t xml:space="preserve"> составных частей установки должны быть устойчивы к дезинфекции химическим методом 4%-ным раствором перекиси водорода по ГОСТ 177 с добавлением 0,5% моющего средства типа «Лотос» по ГОСТ 25644 или 5%-ным раствором хлорамина по ТУ 9392-031-00203306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Характеристика соответствует требованиям  МУ 287-113 и</w:t>
            </w:r>
          </w:p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п.6 пп.13 Приказа МЗ РФ от 19 января 2017 года N 11н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«Об утверждении требований к содержанию технической и эксплуатационной документации производителя (изготовителя) медицинского изделия»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Гарантийный срок эксплуатации со дня продажи, не менее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12 мес.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Характеристика для соблюдения требований п. 4 ст. 33 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нужд"; соответствует условиям типового контракта на поставку медицинских изделий,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утвержденного приказом МЗ РФ от 15.10.2015 г. № 724н.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Требование п.15 ГОСТ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Р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50444-2020 «Приборы, аппараты и оборудование медицинские»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hAnsi="unset"/>
                <w:color w:val="5F497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pacing w:val="-4"/>
                <w:sz w:val="20"/>
                <w:szCs w:val="20"/>
              </w:rPr>
              <w:t>Государственная регистрация медицинского изделия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pacing w:val="-4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Характеристика соответствует требованиям ст38 п.4 ФЗ 323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«Об основах охраны здоровья граждан в Российской Федерации»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2.</w:t>
            </w:r>
          </w:p>
          <w:p w:rsidR="00C74C29" w:rsidRPr="00C74C29" w:rsidRDefault="00C74C29" w:rsidP="006F2C44">
            <w:pPr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Ванна ультразвуковая для очистки и дезинфекции инструментов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 xml:space="preserve">Код позиции в КТРУ:  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32.50.50.000-00002445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Код НКМИ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b/>
                <w:sz w:val="20"/>
                <w:szCs w:val="20"/>
              </w:rPr>
              <w:t>127550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</w:p>
        </w:tc>
        <w:tc>
          <w:tcPr>
            <w:tcW w:w="9673" w:type="dxa"/>
            <w:gridSpan w:val="3"/>
            <w:shd w:val="clear" w:color="auto" w:fill="BFBFBF" w:themeFill="background1" w:themeFillShade="BF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  <w:r>
              <w:rPr>
                <w:rFonts w:ascii="unset" w:hAnsi="unset"/>
                <w:sz w:val="20"/>
                <w:szCs w:val="20"/>
              </w:rPr>
              <w:t>:</w:t>
            </w:r>
            <w:r w:rsidRPr="00C74C29">
              <w:rPr>
                <w:rFonts w:ascii="unset" w:hAnsi="unset"/>
                <w:sz w:val="20"/>
                <w:szCs w:val="20"/>
              </w:rPr>
              <w:t xml:space="preserve"> Приспособление для очистки инструментов и посуды посредством пропускания ультразвуковых волн через жидкую (например, водную) среду. Может использоваться в сочетании со специальным моющим средством для повышения эффективности очистки.</w:t>
            </w:r>
          </w:p>
        </w:tc>
        <w:tc>
          <w:tcPr>
            <w:tcW w:w="1276" w:type="dxa"/>
            <w:vMerge w:val="restart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b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Merge w:val="restart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b/>
                <w:sz w:val="20"/>
                <w:szCs w:val="20"/>
              </w:rPr>
              <w:t>1</w:t>
            </w: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Реестровая запись в едином реестре промышленной продукции РФ, ЕЭС и (или) баллы (если предусмотрены)/сертификат о происхождении промышленного товара из ЕЭС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Для подтверждения происхождения товара в соответствии с п.3а Постановления Правительства РФ № 1875 от 23.12.2024г.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13183" w:type="dxa"/>
            <w:gridSpan w:val="5"/>
            <w:vAlign w:val="center"/>
          </w:tcPr>
          <w:p w:rsidR="00C74C29" w:rsidRPr="00C74C29" w:rsidRDefault="00C74C29" w:rsidP="00533B08">
            <w:pPr>
              <w:rPr>
                <w:rFonts w:ascii="unset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b/>
                <w:sz w:val="20"/>
                <w:szCs w:val="20"/>
              </w:rPr>
              <w:t>Технические характеристики, согласно КТРУ: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Полезный объем рабочей камеры,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≥ 6.5  и  ≤ 9.0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Возможность обработки внутреннего пространства канальных и полостных инструментов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нет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Нагрев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да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both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Максимальная температура нагрева, ⁰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≥ 45.0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 соответствии с позицией КТРУ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13183" w:type="dxa"/>
            <w:gridSpan w:val="5"/>
            <w:vAlign w:val="center"/>
          </w:tcPr>
          <w:p w:rsidR="00C74C29" w:rsidRPr="00C74C29" w:rsidRDefault="00C74C29" w:rsidP="00533B08">
            <w:pPr>
              <w:rPr>
                <w:rFonts w:ascii="unset" w:hAnsi="unset" w:cs="Times New Roman"/>
                <w:b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b/>
                <w:sz w:val="20"/>
                <w:szCs w:val="20"/>
              </w:rPr>
              <w:t>Дополнительные характеристики: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Комплектность: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lastRenderedPageBreak/>
              <w:t>•Мойка медицинская ультразвуковая – 1 шт.,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•Руководство по эксплуатации – 1 шт.,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•Транспортная тара – 1 шт.</w:t>
            </w:r>
          </w:p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 xml:space="preserve">•Принадлежности: штуцер ½ дюйма и  шланг 2 м                 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spacing w:line="276" w:lineRule="auto"/>
              <w:jc w:val="center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Комплектование эксплуатационными документами, в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том числе руководством по эксплуатации, является требованием п. 7.9 ГОСТ IEC 60601-1-2024 «Изделия медицинские электр</w:t>
            </w:r>
            <w:bookmarkStart w:id="0" w:name="_GoBack"/>
            <w:bookmarkEnd w:id="0"/>
            <w:r w:rsidRPr="00C74C29">
              <w:rPr>
                <w:rFonts w:ascii="unset" w:hAnsi="unset"/>
                <w:sz w:val="20"/>
                <w:szCs w:val="20"/>
              </w:rPr>
              <w:t>ические. Часть 1.Общие требования безопасности с учетом основных функциональных характеристик»</w:t>
            </w: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 xml:space="preserve"> для обеспечения безопасной эксплуатации медицинского электрического изделия в течение его ожидаемого срока службы.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eastAsiaTheme="minorHAnsi" w:hAnsi="unset" w:cstheme="minorBidi"/>
                <w:sz w:val="20"/>
                <w:szCs w:val="20"/>
              </w:rPr>
              <w:t>Поставка изделия в транспортной таре регламентируется п.1 ст. 481, поставка принадлежностей - п.2 статьи 456 Гражданского кодекса РФ.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Габаритные размеры корпуса (</w:t>
            </w:r>
            <w:proofErr w:type="spellStart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длина</w:t>
            </w:r>
            <w:r w:rsidRPr="00C74C29">
              <w:rPr>
                <w:rFonts w:ascii="unset" w:hAnsi="unset"/>
                <w:sz w:val="20"/>
                <w:szCs w:val="20"/>
              </w:rPr>
              <w:t>×ширина×высота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>)</w:t>
            </w: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 xml:space="preserve">,  </w:t>
            </w:r>
            <w:proofErr w:type="gramStart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Не менее 360×280×275 и не более</w:t>
            </w:r>
          </w:p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400×320×305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Обусловлены габаритами помещения и требованиями к размещению оборудования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 xml:space="preserve">Максимальный объем ванны, </w:t>
            </w:r>
            <w:proofErr w:type="gramStart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Не менее 9 и не более 11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безопасности для предотвращения разбрызгивания рабочего раствора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Внутренние размеры корзины (</w:t>
            </w:r>
            <w:proofErr w:type="spellStart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длина×ширина×высота</w:t>
            </w:r>
            <w:proofErr w:type="spellEnd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 xml:space="preserve">),  </w:t>
            </w:r>
            <w:proofErr w:type="gramStart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 (265×210×85)±10%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Обусловлены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размерами инструмента, подвергаемого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УЗ-очистке</w:t>
            </w:r>
            <w:proofErr w:type="spellEnd"/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Внутренние размеры ванн</w:t>
            </w:r>
            <w:proofErr w:type="gramStart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ы(</w:t>
            </w:r>
            <w:proofErr w:type="spellStart"/>
            <w:proofErr w:type="gramEnd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длина×ширина×высота</w:t>
            </w:r>
            <w:proofErr w:type="spellEnd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),  мм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(300×240×150)±10%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Обусловлены размерами корзины для размещения инструмента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rPr>
                <w:rFonts w:ascii="unset" w:eastAsia="Calibri" w:hAnsi="unset" w:cs="Times New Roman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 xml:space="preserve">Масса, </w:t>
            </w:r>
            <w:proofErr w:type="gramStart"/>
            <w:r w:rsidRPr="00C74C29">
              <w:rPr>
                <w:rFonts w:ascii="unset" w:eastAsia="Calibri" w:hAnsi="unset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Не  более 9,0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Обусловлена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нагрузочными характеристиками поверхностей для размещения ванны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Материал корпуса, ванны, корзины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нержавеющая сталь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Устойчивый к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коррозии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,в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>ысококачественный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>, прочный материал обеспечивает долговременную эксплуатацию изделия, экономит денежные средства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color w:val="FF0000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 Крышка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Прозрачная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 (пластик)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Прозрачность крышки позволяет определять степень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заполненности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 xml:space="preserve"> ванны инструментами при их загрузке, а также   контролировать процесс очистки без снятия крышки. Пластик  снижает уровень звука при работе мойки,  препятствует остыванию рабочего раствора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Шаровой кран для слива отработанного рабочего раствора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 для эпидемиологической и токсикологической безопасности персонала.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Сетевое питание: электросеть переменного тока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Напряжение не менее 207 В и не более 253 В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,ч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>астота50 Гц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Характеристика соответствует ГОСТ 29322-2014 "Напряжения стандартные" и характеристикам электрической сети потребителя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Потребляемая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мощность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lastRenderedPageBreak/>
              <w:t>Не более 600 ВА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Требования п.5.4.2  ГОСТ </w:t>
            </w:r>
            <w:r w:rsidRPr="00C74C29">
              <w:rPr>
                <w:rFonts w:ascii="unset" w:hAnsi="unset"/>
                <w:sz w:val="20"/>
                <w:szCs w:val="20"/>
                <w:lang w:val="en-US"/>
              </w:rPr>
              <w:t>IEC</w:t>
            </w:r>
            <w:r w:rsidRPr="00C74C29">
              <w:rPr>
                <w:rFonts w:ascii="unset" w:hAnsi="unset"/>
                <w:sz w:val="20"/>
                <w:szCs w:val="20"/>
              </w:rPr>
              <w:t>61010-1-2014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lastRenderedPageBreak/>
              <w:t>«Безопасность электрических контрольно-измерительных приборов и лабораторного оборудования. Часть 1. Общие требования» и характеристик  электрической сети потребителя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Входная мощность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УЗ-генератора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300±50  ВА   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Обеспечивает необходимую для качественной очистки мощность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УЗ-воздействия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в рабочем растворе полезного объема ванны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Рабочая ультразвуковая частота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Не менее 38,5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кГци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 xml:space="preserve"> не более 41,5 кГц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Диапазон рабочих частот для ультразвуковых ванн, обеспечивающий  ударную силу воздействия на загрязнения и высокое качество очистки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Допустимый корректированный уровень звуковой мощности,  не более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70дБА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Соответствует требованиям</w:t>
            </w:r>
          </w:p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СанПиН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 xml:space="preserve"> 1.2.3685-21 "Гигиенические</w:t>
            </w:r>
          </w:p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нормативы и требования к обеспечению</w:t>
            </w:r>
          </w:p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безопасности и (или) безвредности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для</w:t>
            </w:r>
            <w:proofErr w:type="gramEnd"/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человека факторов среды обитания" (п.35)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Функция «</w:t>
            </w:r>
            <w:r w:rsidRPr="00C74C29">
              <w:rPr>
                <w:rFonts w:ascii="unset" w:hAnsi="unset"/>
                <w:sz w:val="20"/>
                <w:szCs w:val="20"/>
                <w:lang w:val="en-US"/>
              </w:rPr>
              <w:t>SWEEP</w:t>
            </w:r>
            <w:r w:rsidRPr="00C74C29">
              <w:rPr>
                <w:rFonts w:ascii="unset" w:hAnsi="unset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За счет постоянного смещения барического максимума обеспечивает равномерное озвучивание рабочего объема ванны и улучшенную кавитацию для более быстрой и качественной очистки инструмента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Шаг задания температуры рабочего раствора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1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°С</w:t>
            </w:r>
            <w:proofErr w:type="gramEnd"/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Возможность точно установить необходимую температуру жидкости для максимальной эффективности  рабочего раствора конкретного используемого химического средства.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Диапазон задания продолжительности очистки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От 1 мин. до 99 мин.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Возможность настройки длительности ультразвукового воздействия в соответствии с указанным в Инструкции на применяемое моющее   или 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моюще-дезинфицирующее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 xml:space="preserve"> средство значением, а также в зависимости от степени загрязнения и материала инструмента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Функция дегазации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Дополнительное к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заданному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время УЗ-воздействия устраняет ослабляющее кавитацию содержание растворенного воздуха в водопроводной воде, что обеспечивает качество очистки.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Сохранение последних выполненных настроек обработки  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Экономит время персонала и снижает вероятность ошибки при задании параметров очистки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Индикация световая об, осуществлении функций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lastRenderedPageBreak/>
              <w:t>ультразвуковойочистки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>, «Нагрев», «SWEEP»,  «Дегазация»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Удовлетворяет требованиям к безопасности изделия и возможностью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контроля за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корректной работой установки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800159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Индикация звуковая запуска  и остановки очистки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к эффективной организации рабочего времени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Индикатор цифровой четырехразрядный продолжительности очистки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к эффективной организации рабочего времени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Индикатор цифровой четырехразрядный температуры рабочего раствора  с индикацией заданной и реальной температуры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Требование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контроля за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корректной работой </w:t>
            </w:r>
            <w:proofErr w:type="spellStart"/>
            <w:r w:rsidRPr="00C74C29">
              <w:rPr>
                <w:rFonts w:ascii="unset" w:hAnsi="unset"/>
                <w:sz w:val="20"/>
                <w:szCs w:val="20"/>
              </w:rPr>
              <w:t>установкидля</w:t>
            </w:r>
            <w:proofErr w:type="spellEnd"/>
            <w:r w:rsidRPr="00C74C29">
              <w:rPr>
                <w:rFonts w:ascii="unset" w:hAnsi="unset"/>
                <w:sz w:val="20"/>
                <w:szCs w:val="20"/>
              </w:rPr>
              <w:t xml:space="preserve"> максимальной эффективности  рабочего раствора и качества очистки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800159" w:rsidP="00800159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>
              <w:rPr>
                <w:rFonts w:ascii="unset" w:hAnsi="unset" w:cs="Times New Roman"/>
                <w:sz w:val="20"/>
                <w:szCs w:val="20"/>
              </w:rPr>
              <w:t>2</w:t>
            </w:r>
            <w:r w:rsidR="00C74C29" w:rsidRPr="00C74C29">
              <w:rPr>
                <w:rFonts w:ascii="unset" w:hAnsi="unset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Условия эксплуатации:</w:t>
            </w:r>
          </w:p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-  температура окружающего воздуха от +10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°С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до +35°С;</w:t>
            </w:r>
          </w:p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- относительная влажность воздуха до 80% при </w:t>
            </w:r>
            <w:r w:rsidRPr="00C74C29">
              <w:rPr>
                <w:rFonts w:ascii="unset" w:hAnsi="unset"/>
                <w:sz w:val="20"/>
                <w:szCs w:val="20"/>
                <w:lang w:val="en-US"/>
              </w:rPr>
              <w:t>t</w:t>
            </w:r>
            <w:r w:rsidRPr="00C74C29">
              <w:rPr>
                <w:rFonts w:ascii="unset" w:hAnsi="unset"/>
                <w:sz w:val="20"/>
                <w:szCs w:val="20"/>
              </w:rPr>
              <w:t xml:space="preserve"> +25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°С</w:t>
            </w:r>
            <w:proofErr w:type="gramEnd"/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Характеристика соответствует требованиям  ГОСТ 15150-69 для исполнения УХЛ 4.2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rPr>
                <w:rFonts w:ascii="unset" w:eastAsia="Calibri" w:hAnsi="unset" w:cs="Times New Roman"/>
                <w:spacing w:val="-4"/>
                <w:sz w:val="20"/>
                <w:szCs w:val="20"/>
              </w:rPr>
            </w:pPr>
            <w:r w:rsidRPr="00C74C29">
              <w:rPr>
                <w:rFonts w:ascii="unset" w:eastAsia="Calibri" w:hAnsi="unset" w:cs="Times New Roman"/>
                <w:spacing w:val="-4"/>
                <w:sz w:val="20"/>
                <w:szCs w:val="20"/>
              </w:rPr>
              <w:t>Наружные поверхности мойки должны быть устойчивы к дезинфекции химическим методом  по МУ 287-113: 3%-ным раствором перекиси водорода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Характеристика соответствует требованиям  МУ 287-113 и</w:t>
            </w:r>
          </w:p>
          <w:p w:rsidR="00C74C29" w:rsidRPr="00C74C29" w:rsidRDefault="00C74C29" w:rsidP="00800159">
            <w:pPr>
              <w:pStyle w:val="a8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п.6 пп.13 Приказа МЗ РФ от 19 января 2017 года N 11н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«Об утверждении требований к содержанию технической и эксплуатационной документации производителя (изготовителя) медицинского изделия»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Календарный  срок службы мойки с момента начала эксплуатации до достижения предельного состояния, не менее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5 лет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Требование эффективного расходования и экономии денежных средств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Гарантийный срок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эксплуатации со дня отгрузки, не менее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lastRenderedPageBreak/>
              <w:t>12 мес.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Характеристика для соблюдения требований п. 4 ст. 33 </w:t>
            </w:r>
            <w:r w:rsidRPr="00C74C29">
              <w:rPr>
                <w:rFonts w:ascii="unset" w:hAnsi="unset"/>
                <w:sz w:val="20"/>
                <w:szCs w:val="20"/>
              </w:rPr>
              <w:lastRenderedPageBreak/>
              <w:t>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нужд"; соответствует условиям типового контракта на поставку медицинских изделий, утвержденного приказом МЗ РФ от 15.10.2015 г. № 724н.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 xml:space="preserve">Требование п.15 ГОСТ </w:t>
            </w:r>
            <w:proofErr w:type="gramStart"/>
            <w:r w:rsidRPr="00C74C29">
              <w:rPr>
                <w:rFonts w:ascii="unset" w:hAnsi="unset"/>
                <w:sz w:val="20"/>
                <w:szCs w:val="20"/>
              </w:rPr>
              <w:t>Р</w:t>
            </w:r>
            <w:proofErr w:type="gramEnd"/>
            <w:r w:rsidRPr="00C74C29">
              <w:rPr>
                <w:rFonts w:ascii="unset" w:hAnsi="unset"/>
                <w:sz w:val="20"/>
                <w:szCs w:val="20"/>
              </w:rPr>
              <w:t xml:space="preserve"> 50444-2020 «Приборы, аппараты и оборудование медицинские»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  <w:tr w:rsidR="00C74C29" w:rsidRPr="00C74C29" w:rsidTr="00800159">
        <w:tc>
          <w:tcPr>
            <w:tcW w:w="817" w:type="dxa"/>
            <w:vAlign w:val="center"/>
          </w:tcPr>
          <w:p w:rsidR="00C74C29" w:rsidRPr="00C74C29" w:rsidRDefault="00C74C29" w:rsidP="006F2C44">
            <w:pPr>
              <w:jc w:val="center"/>
              <w:rPr>
                <w:rFonts w:ascii="unset" w:hAnsi="unset" w:cs="Times New Roman"/>
                <w:sz w:val="20"/>
                <w:szCs w:val="20"/>
              </w:rPr>
            </w:pPr>
            <w:r w:rsidRPr="00C74C29">
              <w:rPr>
                <w:rFonts w:ascii="unset" w:hAnsi="unset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93" w:type="dxa"/>
            <w:vAlign w:val="center"/>
          </w:tcPr>
          <w:p w:rsidR="00C74C29" w:rsidRPr="00C74C29" w:rsidRDefault="00C74C29" w:rsidP="006F2C44">
            <w:pPr>
              <w:jc w:val="both"/>
              <w:rPr>
                <w:rFonts w:ascii="unset" w:hAnsi="unset"/>
                <w:color w:val="5F497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pacing w:val="-4"/>
                <w:sz w:val="20"/>
                <w:szCs w:val="20"/>
              </w:rPr>
              <w:t>Регистрационное удостоверение, указать номер.</w:t>
            </w:r>
          </w:p>
        </w:tc>
        <w:tc>
          <w:tcPr>
            <w:tcW w:w="2268" w:type="dxa"/>
            <w:vAlign w:val="center"/>
          </w:tcPr>
          <w:p w:rsidR="00C74C29" w:rsidRPr="00C74C29" w:rsidRDefault="00C74C29" w:rsidP="006F2C44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pacing w:val="-4"/>
                <w:sz w:val="20"/>
                <w:szCs w:val="20"/>
              </w:rPr>
              <w:t>наличие</w:t>
            </w:r>
          </w:p>
        </w:tc>
        <w:tc>
          <w:tcPr>
            <w:tcW w:w="5137" w:type="dxa"/>
            <w:vAlign w:val="center"/>
          </w:tcPr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Характеристика соответствует требованиям ст38 п.4 ФЗ 323</w:t>
            </w:r>
          </w:p>
          <w:p w:rsidR="00C74C29" w:rsidRPr="00C74C29" w:rsidRDefault="00C74C29" w:rsidP="00800159">
            <w:pPr>
              <w:pStyle w:val="a8"/>
              <w:spacing w:line="276" w:lineRule="auto"/>
              <w:jc w:val="center"/>
              <w:rPr>
                <w:rFonts w:ascii="unset" w:hAnsi="unset"/>
                <w:sz w:val="20"/>
                <w:szCs w:val="20"/>
              </w:rPr>
            </w:pPr>
            <w:r w:rsidRPr="00C74C29">
              <w:rPr>
                <w:rFonts w:ascii="unset" w:hAnsi="unset"/>
                <w:sz w:val="20"/>
                <w:szCs w:val="20"/>
              </w:rPr>
              <w:t>«Об основах охраны здоровья граждан в Российской Федерации»</w:t>
            </w:r>
          </w:p>
        </w:tc>
        <w:tc>
          <w:tcPr>
            <w:tcW w:w="1276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4C29" w:rsidRPr="00C74C29" w:rsidRDefault="00C74C29" w:rsidP="006F2C44">
            <w:pPr>
              <w:pStyle w:val="a8"/>
              <w:spacing w:line="276" w:lineRule="auto"/>
              <w:rPr>
                <w:rFonts w:ascii="unset" w:hAnsi="unset"/>
                <w:sz w:val="20"/>
                <w:szCs w:val="20"/>
              </w:rPr>
            </w:pPr>
          </w:p>
        </w:tc>
      </w:tr>
    </w:tbl>
    <w:p w:rsidR="006F2C44" w:rsidRDefault="006F2C44" w:rsidP="0010763B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6F2C44" w:rsidRDefault="006F2C44" w:rsidP="0010763B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10763B" w:rsidRDefault="000653D3" w:rsidP="0010763B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  <w:r>
        <w:rPr>
          <w:rFonts w:ascii="unset" w:hAnsi="unset"/>
          <w:b/>
          <w:bCs/>
          <w:color w:val="000000" w:themeColor="text1"/>
          <w:sz w:val="22"/>
          <w:szCs w:val="22"/>
        </w:rPr>
        <w:t xml:space="preserve">Условия поставки: </w:t>
      </w:r>
    </w:p>
    <w:tbl>
      <w:tblPr>
        <w:tblStyle w:val="a5"/>
        <w:tblW w:w="0" w:type="auto"/>
        <w:tblLook w:val="04A0"/>
      </w:tblPr>
      <w:tblGrid>
        <w:gridCol w:w="7621"/>
        <w:gridCol w:w="6769"/>
      </w:tblGrid>
      <w:tr w:rsidR="000653D3" w:rsidTr="00800159">
        <w:tc>
          <w:tcPr>
            <w:tcW w:w="7621" w:type="dxa"/>
          </w:tcPr>
          <w:p w:rsidR="000653D3" w:rsidRDefault="000653D3" w:rsidP="0010763B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Адрес поставки</w:t>
            </w:r>
          </w:p>
        </w:tc>
        <w:tc>
          <w:tcPr>
            <w:tcW w:w="6769" w:type="dxa"/>
          </w:tcPr>
          <w:p w:rsidR="001A0E77" w:rsidRPr="001A0E77" w:rsidRDefault="000653D3" w:rsidP="001A0E77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г. Чита, ул. </w:t>
            </w:r>
            <w:proofErr w:type="spellStart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Новобульварная</w:t>
            </w:r>
            <w:proofErr w:type="spellEnd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, 163,  клиника </w:t>
            </w:r>
          </w:p>
          <w:p w:rsidR="001A0E77" w:rsidRPr="001A0E77" w:rsidRDefault="001A0E77" w:rsidP="001A0E77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разгрузка на </w:t>
            </w:r>
            <w:r w:rsidR="000653D3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перв</w:t>
            </w: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ом</w:t>
            </w:r>
            <w:r w:rsidR="000653D3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этаж</w:t>
            </w: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е в медицинский склад</w:t>
            </w:r>
            <w:r w:rsidR="000653D3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0653D3" w:rsidRPr="001A0E77" w:rsidRDefault="000653D3" w:rsidP="001A0E77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время</w:t>
            </w:r>
            <w:r w:rsidR="001A0E77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с 08-30 до 16-00 (время местное)</w:t>
            </w:r>
          </w:p>
        </w:tc>
      </w:tr>
      <w:tr w:rsidR="000653D3" w:rsidTr="00800159">
        <w:tc>
          <w:tcPr>
            <w:tcW w:w="7621" w:type="dxa"/>
          </w:tcPr>
          <w:p w:rsidR="000653D3" w:rsidRDefault="000653D3" w:rsidP="0010763B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Срок поставки</w:t>
            </w:r>
          </w:p>
        </w:tc>
        <w:tc>
          <w:tcPr>
            <w:tcW w:w="6769" w:type="dxa"/>
          </w:tcPr>
          <w:p w:rsidR="000653D3" w:rsidRPr="001A0E77" w:rsidRDefault="001677BD" w:rsidP="000653D3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677BD">
              <w:rPr>
                <w:bCs/>
                <w:color w:val="000000" w:themeColor="text1"/>
                <w:sz w:val="22"/>
                <w:szCs w:val="22"/>
              </w:rPr>
              <w:t>15</w:t>
            </w:r>
            <w:r w:rsidR="000653D3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календарного дня с момента заключения контракта</w:t>
            </w:r>
          </w:p>
        </w:tc>
      </w:tr>
    </w:tbl>
    <w:p w:rsidR="000653D3" w:rsidRDefault="000653D3" w:rsidP="0010763B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10763B" w:rsidRDefault="0010763B" w:rsidP="0010763B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10763B" w:rsidRPr="0010763B" w:rsidRDefault="0010763B" w:rsidP="0010763B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sectPr w:rsidR="0010763B" w:rsidRPr="0010763B" w:rsidSect="00C74C29">
      <w:pgSz w:w="16838" w:h="11906" w:orient="landscape"/>
      <w:pgMar w:top="709" w:right="113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D7B4B"/>
    <w:multiLevelType w:val="multilevel"/>
    <w:tmpl w:val="9494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905A5"/>
    <w:multiLevelType w:val="hybridMultilevel"/>
    <w:tmpl w:val="CE16C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21238"/>
    <w:multiLevelType w:val="multilevel"/>
    <w:tmpl w:val="36B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65DBA"/>
    <w:multiLevelType w:val="multilevel"/>
    <w:tmpl w:val="0BBE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13DB4"/>
    <w:multiLevelType w:val="multilevel"/>
    <w:tmpl w:val="D47A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F1345"/>
    <w:multiLevelType w:val="multilevel"/>
    <w:tmpl w:val="08E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D2DC8"/>
    <w:multiLevelType w:val="multilevel"/>
    <w:tmpl w:val="04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102E9"/>
    <w:multiLevelType w:val="multilevel"/>
    <w:tmpl w:val="C574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763B"/>
    <w:rsid w:val="000653D3"/>
    <w:rsid w:val="0009144F"/>
    <w:rsid w:val="0010763B"/>
    <w:rsid w:val="001677BD"/>
    <w:rsid w:val="001A0E77"/>
    <w:rsid w:val="002060FC"/>
    <w:rsid w:val="0021588A"/>
    <w:rsid w:val="00273F50"/>
    <w:rsid w:val="002907D4"/>
    <w:rsid w:val="0039624F"/>
    <w:rsid w:val="003A5B8F"/>
    <w:rsid w:val="004B1191"/>
    <w:rsid w:val="00533B08"/>
    <w:rsid w:val="006F2C44"/>
    <w:rsid w:val="007E0102"/>
    <w:rsid w:val="00800159"/>
    <w:rsid w:val="00802B9C"/>
    <w:rsid w:val="008815A8"/>
    <w:rsid w:val="008C3E84"/>
    <w:rsid w:val="009E1828"/>
    <w:rsid w:val="009F7C93"/>
    <w:rsid w:val="00AA43BA"/>
    <w:rsid w:val="00B208F1"/>
    <w:rsid w:val="00BC3CD5"/>
    <w:rsid w:val="00C74C29"/>
    <w:rsid w:val="00EE3E89"/>
    <w:rsid w:val="00FE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roduct-item-dynamictitle">
    <w:name w:val="b-product-item-dynamic__title"/>
    <w:basedOn w:val="a"/>
    <w:rsid w:val="0010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0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763B"/>
    <w:rPr>
      <w:b/>
      <w:bCs/>
    </w:rPr>
  </w:style>
  <w:style w:type="table" w:styleId="a5">
    <w:name w:val="Table Grid"/>
    <w:basedOn w:val="a1"/>
    <w:uiPriority w:val="59"/>
    <w:qFormat/>
    <w:rsid w:val="00107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010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02B9C"/>
    <w:rPr>
      <w:color w:val="0000FF"/>
      <w:u w:val="single"/>
    </w:rPr>
  </w:style>
  <w:style w:type="paragraph" w:styleId="a8">
    <w:name w:val="No Spacing"/>
    <w:uiPriority w:val="1"/>
    <w:qFormat/>
    <w:rsid w:val="006F2C4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B7C9-FAAF-4813-AC42-0FAA1F66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10</cp:revision>
  <cp:lastPrinted>2026-05-19T08:26:00Z</cp:lastPrinted>
  <dcterms:created xsi:type="dcterms:W3CDTF">2026-05-19T03:35:00Z</dcterms:created>
  <dcterms:modified xsi:type="dcterms:W3CDTF">2026-05-20T06:38:00Z</dcterms:modified>
</cp:coreProperties>
</file>