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контракт </w:t>
      </w:r>
      <w:r>
        <w:rPr>
          <w:rFonts w:ascii="Times New Roman" w:hAnsi="Times New Roman" w:cs="Times New Roman"/>
          <w:sz w:val="24"/>
          <w:szCs w:val="24"/>
        </w:rPr>
        <w:t xml:space="preserve">№ 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г. Ижевск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cs="Times New Roman"/>
          <w:bCs/>
          <w:sz w:val="24"/>
          <w:szCs w:val="24"/>
        </w:rPr>
        <w:t xml:space="preserve">___</w:t>
      </w:r>
      <w:r>
        <w:rPr>
          <w:rFonts w:ascii="Times New Roman" w:hAnsi="Times New Roman" w:cs="Times New Roman"/>
          <w:bCs/>
          <w:sz w:val="24"/>
          <w:szCs w:val="24"/>
        </w:rPr>
        <w:t xml:space="preserve">» 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 xml:space="preserve">26</w:t>
      </w:r>
      <w:r>
        <w:rPr>
          <w:rFonts w:ascii="Times New Roman" w:hAnsi="Times New Roman" w:cs="Times New Roman"/>
          <w:bCs/>
          <w:sz w:val="24"/>
          <w:szCs w:val="24"/>
        </w:rPr>
        <w:t xml:space="preserve">г.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17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r>
    </w:p>
    <w:p>
      <w:pPr>
        <w:pStyle w:val="91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Федеральной службы государственной регистрации, кадастра и картографии по Удмуртской Республике (далее - Управление), именуемое в дальнейшем Заказчик,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руководителя Баймаковой Юлии Владимировны,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действующей на основании доверенности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.2025 г. № 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Поставщик, действующий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_____________________, с другой стороны,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порядке 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 части 1 статьи 93 Федерального закона от 5 апреля 2013 г. № 44-ФЗ "О контрактной системе в сфере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закупок товаров, работ, услуг для обеспечения государственных и муниципальных нужд" (далее - Федеральный закон о контрактной системе), заключили настоящий контракт (далее - Контракт) о нижеследующем: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3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1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Предметом  настоящего Контракта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приобретение бланочной продукции (за исключением бланков строгой отчетности)</w:t>
      </w:r>
      <w:r>
        <w:rPr>
          <w:rFonts w:ascii="Times New Roman" w:hAnsi="Times New Roman"/>
          <w:sz w:val="24"/>
          <w:szCs w:val="24"/>
        </w:rPr>
        <w:t xml:space="preserve">(далее - товар), </w:t>
      </w:r>
      <w:r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>
        <w:rPr>
          <w:rFonts w:ascii="Times New Roman" w:hAnsi="Times New Roman"/>
          <w:sz w:val="24"/>
          <w:szCs w:val="24"/>
        </w:rPr>
        <w:t xml:space="preserve">в количестве и по ценам, указанным в спецификации (Приложения № 1) к настоящему Контракту.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 xml:space="preserve">Право собственности на товар, являющийся предметом настоящего Контракта, переходит к Заказчику с момента передачи его Заказчику по товарной накладной, акту приема-передачи или иному товарораспорядительному документу.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Риск случайной гибел</w:t>
      </w:r>
      <w:r>
        <w:rPr>
          <w:rFonts w:ascii="Times New Roman" w:hAnsi="Times New Roman"/>
          <w:sz w:val="24"/>
          <w:szCs w:val="24"/>
        </w:rPr>
        <w:t xml:space="preserve">и или случайной порчи, утраты или повреждения товара, являющегося предметом настоящего Контракта, несет Заказчик или Поставщик в зависимости от того, кто из них обладал правом собственности на товар в момент случайной гибели или его случайного повреждения.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Источник финансирования: Федеральный бюджет 2026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0"/>
        <w:jc w:val="both"/>
        <w:rPr>
          <w:spacing w:val="-1"/>
          <w:sz w:val="25"/>
          <w:szCs w:val="25"/>
        </w:rPr>
      </w:pPr>
      <w:r>
        <w:rPr>
          <w:spacing w:val="-1"/>
          <w:sz w:val="25"/>
          <w:szCs w:val="25"/>
        </w:rPr>
      </w:r>
      <w:r>
        <w:rPr>
          <w:spacing w:val="-1"/>
          <w:sz w:val="25"/>
          <w:szCs w:val="25"/>
        </w:rPr>
      </w:r>
      <w:r>
        <w:rPr>
          <w:spacing w:val="-1"/>
          <w:sz w:val="25"/>
          <w:szCs w:val="25"/>
        </w:rPr>
      </w:r>
    </w:p>
    <w:p>
      <w:pPr>
        <w:pStyle w:val="92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</w:t>
      </w:r>
      <w:r>
        <w:rPr>
          <w:rFonts w:ascii="Times New Roman" w:hAnsi="Times New Roman"/>
          <w:b/>
          <w:sz w:val="24"/>
          <w:szCs w:val="24"/>
        </w:rPr>
        <w:t xml:space="preserve">ОРЯДОК ПОСТАВКИ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Поставщик осуществляет поставку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календарных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момента подписания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контракта </w:t>
      </w:r>
      <w:r>
        <w:rPr>
          <w:rFonts w:ascii="Times New Roman" w:hAnsi="Times New Roman" w:cs="Times New Roman"/>
          <w:sz w:val="24"/>
        </w:rPr>
        <w:t xml:space="preserve">на транспорте и силами Поставщика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426011, Удмуртская Республика, г. Ижевск, ул. М. Горького,</w:t>
      </w:r>
      <w:r>
        <w:rPr>
          <w:rFonts w:ascii="Times New Roman" w:hAnsi="Times New Roman"/>
          <w:sz w:val="24"/>
          <w:szCs w:val="24"/>
        </w:rPr>
        <w:t xml:space="preserve"> 56.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Поставка товара осуществляется в невозвратной таре и упаковке, </w:t>
      </w:r>
      <w:r>
        <w:rPr>
          <w:rFonts w:ascii="Times New Roman" w:hAnsi="Times New Roman"/>
          <w:sz w:val="24"/>
          <w:szCs w:val="24"/>
        </w:rPr>
        <w:t xml:space="preserve">соответствующих</w:t>
      </w:r>
      <w:r>
        <w:rPr>
          <w:rFonts w:ascii="Times New Roman" w:hAnsi="Times New Roman"/>
          <w:sz w:val="24"/>
          <w:szCs w:val="24"/>
        </w:rPr>
        <w:t xml:space="preserve"> государственным стандартам, техническим условиям, и обеспечивающей сохранность качества </w:t>
      </w:r>
      <w:r>
        <w:rPr>
          <w:rFonts w:ascii="Times New Roman" w:hAnsi="Times New Roman"/>
          <w:sz w:val="24"/>
          <w:szCs w:val="24"/>
        </w:rPr>
        <w:t xml:space="preserve">товара при его транспортировке.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Одновременно с передачей товара Поставщик передает Заказчику принадлежности товара, а также относящиеся к нему документы.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Указанные принадлежности и документация должны быть переданы Поставщиком Заказчику вместе с товаром при его передаче.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В случае если принадлежности и (или) документы, относящиеся к товару, не переданы Поставщиком в установленный срок, Заказчик вправе отказаться от товара и потребовать возмещения убытков.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Доставка товара осуществляется транспортом Поставщика и за его счет по месту нахождения Заказчика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Заказчик обязуется принять все надлежащие меры, обеспечивающие принятие товар</w:t>
      </w:r>
      <w:r>
        <w:rPr>
          <w:rFonts w:ascii="Times New Roman" w:hAnsi="Times New Roman"/>
          <w:sz w:val="24"/>
          <w:szCs w:val="24"/>
        </w:rPr>
        <w:t xml:space="preserve">а, </w:t>
      </w:r>
      <w:r>
        <w:rPr>
          <w:rFonts w:ascii="Times New Roman" w:hAnsi="Times New Roman"/>
          <w:sz w:val="24"/>
          <w:szCs w:val="24"/>
        </w:rPr>
        <w:t xml:space="preserve">поставленного Поставщиком в соответствии с условиями настоящего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Поставщик гарантирует: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поставку товара в полном объеме и в сроки, определенные условиями настоящего Контракта;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качество </w:t>
      </w:r>
      <w:r>
        <w:rPr>
          <w:rFonts w:ascii="Times New Roman" w:hAnsi="Times New Roman"/>
          <w:sz w:val="24"/>
          <w:szCs w:val="24"/>
        </w:rPr>
        <w:t xml:space="preserve">поставляемого товара. При этом срок предоставления гарантии качества товара составляет </w:t>
      </w:r>
      <w:r>
        <w:rPr>
          <w:rFonts w:ascii="Times New Roman" w:hAnsi="Times New Roman"/>
          <w:sz w:val="24"/>
          <w:szCs w:val="24"/>
        </w:rPr>
        <w:t xml:space="preserve">не менее 6 месяцев.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своевременное устранение (возмещение) недостатков поставленного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П</w:t>
      </w:r>
      <w:r>
        <w:rPr>
          <w:rFonts w:ascii="Times New Roman" w:hAnsi="Times New Roman"/>
          <w:b/>
          <w:sz w:val="24"/>
          <w:szCs w:val="24"/>
        </w:rPr>
        <w:t xml:space="preserve">ОРЯДОК ПРИЕМКИ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1"/>
        <w:ind w:left="0" w:firstLine="709"/>
        <w:jc w:val="both"/>
        <w:spacing w:after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</w:t>
      </w:r>
      <w:r>
        <w:rPr>
          <w:rFonts w:ascii="Times New Roman" w:hAnsi="Times New Roman"/>
          <w:sz w:val="24"/>
          <w:szCs w:val="24"/>
        </w:rPr>
        <w:t xml:space="preserve">.</w:t>
        <w:tab/>
        <w:t xml:space="preserve">Приемка товара </w:t>
      </w:r>
      <w:r>
        <w:rPr>
          <w:rFonts w:ascii="Times New Roman" w:hAnsi="Times New Roman"/>
          <w:sz w:val="24"/>
          <w:szCs w:val="24"/>
        </w:rPr>
        <w:t xml:space="preserve">осуществляется одной партией в течение одного рабочего дня и </w:t>
      </w:r>
      <w:r>
        <w:rPr>
          <w:rFonts w:ascii="Times New Roman" w:hAnsi="Times New Roman"/>
          <w:sz w:val="24"/>
          <w:szCs w:val="24"/>
        </w:rPr>
        <w:t xml:space="preserve">включает в себя проверку товара на соответствие требованиям настоящего контракта. Количество поставляемого</w:t>
      </w:r>
      <w:r>
        <w:rPr>
          <w:rFonts w:ascii="Times New Roman" w:hAnsi="Times New Roman"/>
          <w:sz w:val="24"/>
          <w:szCs w:val="24"/>
        </w:rPr>
        <w:t xml:space="preserve"> Поставщиком Товара определяется товарными накладными в соответствии Спецификацией (Приложение № 1).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2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При приемке Товара Поставщик передает Заказчику подписанные Поставщиком Акт</w:t>
      </w:r>
      <w:r>
        <w:rPr>
          <w:rFonts w:ascii="Times New Roman" w:hAnsi="Times New Roman" w:cs="Times New Roman"/>
          <w:sz w:val="24"/>
        </w:rPr>
        <w:t xml:space="preserve"> сдачи-приемки товара, относящиеся к Товару документы, товарную накладную, счет, счет-фактуру.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</w:t>
        <w:tab/>
      </w:r>
      <w:r>
        <w:rPr>
          <w:rFonts w:ascii="Times New Roman" w:hAnsi="Times New Roman"/>
          <w:sz w:val="24"/>
          <w:szCs w:val="24"/>
        </w:rPr>
        <w:t xml:space="preserve">При  обнаружении  отклонений  по  количеству</w:t>
      </w:r>
      <w:r>
        <w:rPr>
          <w:rFonts w:ascii="Times New Roman" w:hAnsi="Times New Roman"/>
          <w:sz w:val="24"/>
          <w:szCs w:val="24"/>
        </w:rPr>
        <w:t xml:space="preserve">, комплектности</w:t>
      </w:r>
      <w:r>
        <w:rPr>
          <w:rFonts w:ascii="Times New Roman" w:hAnsi="Times New Roman"/>
          <w:sz w:val="24"/>
          <w:szCs w:val="24"/>
        </w:rPr>
        <w:t xml:space="preserve">  или  качеству Заказчик и</w:t>
      </w:r>
      <w:r>
        <w:rPr>
          <w:rFonts w:ascii="Times New Roman" w:hAnsi="Times New Roman"/>
          <w:sz w:val="24"/>
          <w:szCs w:val="24"/>
        </w:rPr>
        <w:t xml:space="preserve"> Поставщик </w:t>
      </w:r>
      <w:r>
        <w:rPr>
          <w:rFonts w:ascii="Times New Roman" w:hAnsi="Times New Roman"/>
          <w:sz w:val="24"/>
          <w:szCs w:val="24"/>
        </w:rPr>
        <w:t xml:space="preserve">приостанавливают  приемку  и  составляют двусторонний акт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указанием обнаруженных отклонений.</w:t>
      </w:r>
      <w:r>
        <w:rPr>
          <w:rFonts w:ascii="Times New Roman" w:hAnsi="Times New Roman"/>
          <w:sz w:val="24"/>
          <w:szCs w:val="24"/>
        </w:rPr>
        <w:t xml:space="preserve"> Приемка товара возобновляется после устранения недостатков товара Поставщиком.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2"/>
        <w:ind w:firstLine="709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z w:val="24"/>
          <w:szCs w:val="24"/>
        </w:rPr>
        <w:t xml:space="preserve"> 3.4</w:t>
      </w:r>
      <w:r>
        <w:rPr>
          <w:rFonts w:ascii="Times New Roman" w:hAnsi="Times New Roman"/>
          <w:sz w:val="24"/>
          <w:szCs w:val="24"/>
        </w:rPr>
        <w:t xml:space="preserve">.</w:t>
        <w:tab/>
      </w:r>
      <w:r>
        <w:rPr>
          <w:rFonts w:ascii="Times New Roman" w:hAnsi="Times New Roman"/>
          <w:sz w:val="24"/>
        </w:rPr>
        <w:t xml:space="preserve">Заказчик не позднее 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двух</w:t>
      </w:r>
      <w:r>
        <w:rPr>
          <w:rFonts w:ascii="Times New Roman" w:hAnsi="Times New Roman"/>
          <w:sz w:val="24"/>
        </w:rPr>
        <w:t xml:space="preserve">) рабочих дней проверяет поставленны</w:t>
      </w:r>
      <w:r>
        <w:rPr>
          <w:rFonts w:ascii="Times New Roman" w:hAnsi="Times New Roman"/>
          <w:sz w:val="24"/>
        </w:rPr>
        <w:t xml:space="preserve">й</w:t>
      </w:r>
      <w:r>
        <w:rPr>
          <w:rFonts w:ascii="Times New Roman" w:hAnsi="Times New Roman"/>
          <w:sz w:val="24"/>
        </w:rPr>
        <w:t xml:space="preserve"> по Контракту </w:t>
      </w:r>
      <w:r>
        <w:rPr>
          <w:rFonts w:ascii="Times New Roman" w:hAnsi="Times New Roman"/>
          <w:sz w:val="24"/>
        </w:rPr>
        <w:t xml:space="preserve">товар на соответствие </w:t>
      </w:r>
      <w:r>
        <w:rPr>
          <w:rFonts w:ascii="Times New Roman" w:hAnsi="Times New Roman"/>
          <w:sz w:val="24"/>
        </w:rPr>
        <w:t xml:space="preserve">комплектности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качеств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требованиям настоящего  Контракта</w:t>
      </w:r>
      <w:r>
        <w:rPr>
          <w:rFonts w:ascii="Times New Roman" w:hAnsi="Times New Roman"/>
          <w:sz w:val="24"/>
        </w:rPr>
        <w:t xml:space="preserve"> и о</w:t>
      </w:r>
      <w:r>
        <w:rPr>
          <w:rFonts w:ascii="Times New Roman" w:hAnsi="Times New Roman"/>
          <w:sz w:val="24"/>
          <w:szCs w:val="24"/>
        </w:rPr>
        <w:t xml:space="preserve">формляет результаты проверки путем </w:t>
      </w:r>
      <w:r>
        <w:rPr>
          <w:rFonts w:ascii="Times New Roman" w:hAnsi="Times New Roman"/>
          <w:spacing w:val="2"/>
          <w:sz w:val="24"/>
        </w:rPr>
        <w:t xml:space="preserve">подписан</w:t>
      </w:r>
      <w:r>
        <w:rPr>
          <w:rFonts w:ascii="Times New Roman" w:hAnsi="Times New Roman"/>
          <w:spacing w:val="2"/>
          <w:sz w:val="24"/>
        </w:rPr>
        <w:t xml:space="preserve">ия</w:t>
      </w:r>
      <w:r>
        <w:rPr>
          <w:rFonts w:ascii="Times New Roman" w:hAnsi="Times New Roman"/>
          <w:spacing w:val="2"/>
          <w:sz w:val="24"/>
        </w:rPr>
        <w:t xml:space="preserve"> Акт</w:t>
      </w:r>
      <w:r>
        <w:rPr>
          <w:rFonts w:ascii="Times New Roman" w:hAnsi="Times New Roman"/>
          <w:spacing w:val="2"/>
          <w:sz w:val="24"/>
        </w:rPr>
        <w:t xml:space="preserve">а</w:t>
      </w:r>
      <w:r>
        <w:rPr>
          <w:rFonts w:ascii="Times New Roman" w:hAnsi="Times New Roman"/>
          <w:spacing w:val="2"/>
          <w:sz w:val="24"/>
        </w:rPr>
        <w:t xml:space="preserve"> сдачи-приемки товара</w:t>
      </w:r>
      <w:r>
        <w:rPr>
          <w:rFonts w:ascii="Times New Roman" w:hAnsi="Times New Roman"/>
          <w:spacing w:val="2"/>
          <w:sz w:val="24"/>
        </w:rPr>
        <w:t xml:space="preserve">,</w:t>
      </w:r>
      <w:r>
        <w:rPr>
          <w:rFonts w:ascii="Times New Roman" w:hAnsi="Times New Roman"/>
          <w:spacing w:val="2"/>
          <w:sz w:val="24"/>
        </w:rPr>
        <w:t xml:space="preserve"> либо в течение </w:t>
      </w:r>
      <w:r>
        <w:rPr>
          <w:rFonts w:ascii="Times New Roman" w:hAnsi="Times New Roman"/>
          <w:spacing w:val="2"/>
          <w:sz w:val="24"/>
        </w:rPr>
        <w:t xml:space="preserve">2</w:t>
      </w:r>
      <w:r>
        <w:rPr>
          <w:rFonts w:ascii="Times New Roman" w:hAnsi="Times New Roman"/>
          <w:spacing w:val="2"/>
          <w:sz w:val="24"/>
        </w:rPr>
        <w:t xml:space="preserve"> (</w:t>
      </w:r>
      <w:r>
        <w:rPr>
          <w:rFonts w:ascii="Times New Roman" w:hAnsi="Times New Roman"/>
          <w:spacing w:val="2"/>
          <w:sz w:val="24"/>
        </w:rPr>
        <w:t xml:space="preserve">двух</w:t>
      </w:r>
      <w:r>
        <w:rPr>
          <w:rFonts w:ascii="Times New Roman" w:hAnsi="Times New Roman"/>
          <w:spacing w:val="2"/>
          <w:sz w:val="24"/>
        </w:rPr>
        <w:t xml:space="preserve">) рабочих дней направляет мотивированный отказ от подписания Акта сдачи-приемки товара в письменной форме.</w:t>
      </w:r>
      <w:r>
        <w:rPr>
          <w:rFonts w:ascii="Times New Roman" w:hAnsi="Times New Roman"/>
          <w:spacing w:val="2"/>
          <w:sz w:val="24"/>
        </w:rPr>
      </w:r>
      <w:r>
        <w:rPr>
          <w:rFonts w:ascii="Times New Roman" w:hAnsi="Times New Roman"/>
          <w:spacing w:val="2"/>
          <w:sz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  <w:tab/>
        <w:t xml:space="preserve">В случае мотивированного отка</w:t>
      </w:r>
      <w:r>
        <w:rPr>
          <w:sz w:val="24"/>
          <w:szCs w:val="24"/>
        </w:rPr>
        <w:t xml:space="preserve">за Заказчика от подписания Акта сдачи-приемки товара сторонами в пятидневный срок со дня получения Поставщиком мотивированного отказа Заказчика составляется двухсторонний акт, который является основанием для замены или допоставки Товара за счет Поставщика.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  <w:tab/>
        <w:t xml:space="preserve">Заказчик в любой момент имеет право на проведение (без каких-либо затрат с его стороны) технического контроля и (или) испытаний Товара с целью подтверждения его соответствия условиям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Если хотя бы одна </w:t>
      </w:r>
      <w:r>
        <w:rPr>
          <w:sz w:val="24"/>
          <w:szCs w:val="24"/>
        </w:rPr>
        <w:t xml:space="preserve">единица Товара определенного наименования, подвергшегося техническому контролю или испытаниям, не будет соответствовать условиям настоящего Контракта, Заказчик может отказаться от всего Товара определенного наименования и Поставщик должен будет не позднее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двух</w:t>
      </w:r>
      <w:r>
        <w:rPr>
          <w:sz w:val="24"/>
          <w:szCs w:val="24"/>
        </w:rPr>
        <w:t xml:space="preserve">) рабочих дней заменить несоответствующей условиям Контракта весь Товар данного наименования, без каких либо затрат со стороны 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</w:t>
      </w:r>
      <w:r>
        <w:rPr>
          <w:sz w:val="24"/>
          <w:szCs w:val="24"/>
        </w:rPr>
        <w:t xml:space="preserve">.</w:t>
        <w:tab/>
        <w:t xml:space="preserve">Выполнение обязательств Поставщиком по поставке Товара будет исполнено только по получении Заказчиком всего Товара и документов, предусмотренных настоящим Контрактом.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</w:t>
      </w:r>
      <w:r>
        <w:rPr>
          <w:sz w:val="24"/>
          <w:szCs w:val="24"/>
        </w:rPr>
        <w:t xml:space="preserve">.</w:t>
        <w:tab/>
        <w:t xml:space="preserve">Поставка Товара будет считаться осуществленной с момента подписания обеими сторонами Акта сдачи-приемки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ind w:firstLine="709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z w:val="24"/>
          <w:szCs w:val="24"/>
        </w:rPr>
        <w:t xml:space="preserve">3.10</w:t>
      </w:r>
      <w:r>
        <w:rPr>
          <w:rFonts w:ascii="Times New Roman" w:hAnsi="Times New Roman"/>
          <w:sz w:val="24"/>
          <w:szCs w:val="24"/>
        </w:rPr>
        <w:t xml:space="preserve">.</w:t>
        <w:tab/>
        <w:t xml:space="preserve">Риск случайной порчи или гибели Товара возлагается на Поставщика до момента </w:t>
      </w:r>
      <w:r>
        <w:rPr>
          <w:rFonts w:ascii="Times New Roman" w:hAnsi="Times New Roman"/>
          <w:spacing w:val="2"/>
          <w:sz w:val="24"/>
          <w:szCs w:val="24"/>
        </w:rPr>
        <w:t xml:space="preserve">передачи</w:t>
      </w:r>
      <w:r>
        <w:rPr>
          <w:rFonts w:ascii="Times New Roman" w:hAnsi="Times New Roman"/>
          <w:spacing w:val="2"/>
          <w:sz w:val="24"/>
        </w:rPr>
        <w:t xml:space="preserve"> Товара Заказчику по адресу, указанному в п. </w:t>
      </w:r>
      <w:r>
        <w:rPr>
          <w:rFonts w:ascii="Times New Roman" w:hAnsi="Times New Roman"/>
          <w:spacing w:val="2"/>
          <w:sz w:val="24"/>
        </w:rPr>
        <w:t xml:space="preserve">2</w:t>
      </w:r>
      <w:r>
        <w:rPr>
          <w:rFonts w:ascii="Times New Roman" w:hAnsi="Times New Roman"/>
          <w:spacing w:val="2"/>
          <w:sz w:val="24"/>
        </w:rPr>
        <w:t xml:space="preserve">.1.</w:t>
      </w:r>
      <w:r>
        <w:rPr>
          <w:rFonts w:ascii="Times New Roman" w:hAnsi="Times New Roman"/>
          <w:spacing w:val="2"/>
          <w:sz w:val="24"/>
        </w:rPr>
      </w:r>
      <w:r>
        <w:rPr>
          <w:rFonts w:ascii="Times New Roman" w:hAnsi="Times New Roman"/>
          <w:spacing w:val="2"/>
          <w:sz w:val="24"/>
        </w:rPr>
      </w:r>
    </w:p>
    <w:p>
      <w:pPr>
        <w:pStyle w:val="925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СТОИМОСТЬ ТОВАРА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4.1. </w:t>
      </w:r>
      <w:r>
        <w:rPr>
          <w:rFonts w:ascii="Times New Roman" w:hAnsi="Times New Roman" w:cs="Times New Roman"/>
          <w:sz w:val="24"/>
          <w:szCs w:val="24"/>
        </w:rPr>
        <w:t xml:space="preserve">Цена Контракта составляет 9 470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девять тысяч четыреста семьдесят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00 коп., в т.ч. НДС или 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НДС не облагается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 xml:space="preserve">Цена контракта является твердой и определяется на весь срок исполнения Контракта</w:t>
      </w:r>
      <w:r>
        <w:rPr>
          <w:sz w:val="24"/>
          <w:szCs w:val="24"/>
        </w:rPr>
        <w:t xml:space="preserve">. Изменения цены допускается в случаях,</w:t>
      </w:r>
      <w:r>
        <w:rPr>
          <w:sz w:val="24"/>
          <w:szCs w:val="24"/>
        </w:rPr>
        <w:t xml:space="preserve"> предусмотренных законодательством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</w:t>
      </w:r>
      <w:r>
        <w:rPr>
          <w:rStyle w:val="932"/>
          <w:sz w:val="25"/>
          <w:szCs w:val="25"/>
        </w:rPr>
        <w:t xml:space="preserve">в </w:t>
      </w:r>
      <w:r>
        <w:rPr>
          <w:rStyle w:val="932"/>
          <w:sz w:val="25"/>
          <w:szCs w:val="25"/>
        </w:rPr>
        <w:t xml:space="preserve">пределах</w:t>
      </w:r>
      <w:r>
        <w:rPr>
          <w:rStyle w:val="932"/>
          <w:sz w:val="25"/>
          <w:szCs w:val="25"/>
        </w:rPr>
        <w:t xml:space="preserve"> лимитов бюджетных обязательств, подлежащих исполнению за счет средств Федерального бюджета в 20</w:t>
      </w:r>
      <w:r>
        <w:rPr>
          <w:rStyle w:val="932"/>
          <w:sz w:val="25"/>
          <w:szCs w:val="25"/>
        </w:rPr>
        <w:t xml:space="preserve">26</w:t>
      </w:r>
      <w:r>
        <w:rPr>
          <w:rStyle w:val="932"/>
          <w:sz w:val="25"/>
          <w:szCs w:val="25"/>
        </w:rPr>
        <w:t xml:space="preserve"> году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Оплата Заказчиком производится после поставки всего товара Заказчику, в течение </w:t>
      </w:r>
      <w:r>
        <w:rPr>
          <w:sz w:val="24"/>
          <w:szCs w:val="24"/>
        </w:rPr>
        <w:t xml:space="preserve">10-</w:t>
      </w:r>
      <w:r>
        <w:rPr>
          <w:sz w:val="24"/>
          <w:szCs w:val="24"/>
        </w:rPr>
        <w:t xml:space="preserve">ти банковских дней с момента получения счета-фактуры, счета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на основании акта приема-передачи товара, товарной накладной или иного товарораспорядительного документа.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4.4.</w:t>
        <w:tab/>
      </w:r>
      <w:r>
        <w:rPr>
          <w:sz w:val="24"/>
          <w:szCs w:val="24"/>
          <w:highlight w:val="none"/>
        </w:rPr>
        <w:t xml:space="preserve">Обязательства Заказчика по оплате считаются исполненными в момент списания денежных средств с лицевого счета Заказчика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ind w:left="0" w:right="0" w:firstLine="426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Просрочкой является нарушение сторонами сроков исполнения своих обязательств по Контракту.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1"/>
        <w:ind w:left="0" w:right="0"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5.2 Нарушение условий Контракта, не являющееся просрочкой, является ненадлежащим исполнением условий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ind w:left="0" w:right="0" w:firstLine="426"/>
        <w:jc w:val="both"/>
        <w:rPr>
          <w:rFonts w:eastAsia="SimSun"/>
          <w:sz w:val="24"/>
          <w:szCs w:val="24"/>
          <w:lang w:eastAsia="zh-CN"/>
        </w:rPr>
      </w:pPr>
      <w:r>
        <w:rPr>
          <w:sz w:val="24"/>
          <w:szCs w:val="24"/>
        </w:rPr>
        <w:t xml:space="preserve">5.3. </w:t>
      </w:r>
      <w:r>
        <w:rPr>
          <w:rFonts w:eastAsia="SimSun"/>
          <w:sz w:val="24"/>
          <w:szCs w:val="24"/>
          <w:lang w:eastAsia="zh-CN"/>
        </w:rPr>
        <w:t xml:space="preserve">В случае просрочки исполнения За</w:t>
      </w:r>
      <w:r>
        <w:rPr>
          <w:rFonts w:eastAsia="SimSun"/>
          <w:sz w:val="24"/>
          <w:szCs w:val="24"/>
          <w:lang w:eastAsia="zh-CN"/>
        </w:rPr>
        <w:t xml:space="preserve">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  <w:r>
        <w:rPr>
          <w:rFonts w:eastAsia="SimSun"/>
          <w:sz w:val="24"/>
          <w:szCs w:val="24"/>
          <w:lang w:eastAsia="zh-CN"/>
        </w:rPr>
      </w:r>
      <w:r>
        <w:rPr>
          <w:rFonts w:eastAsia="SimSun"/>
          <w:sz w:val="24"/>
          <w:szCs w:val="24"/>
          <w:lang w:eastAsia="zh-CN"/>
        </w:rPr>
      </w:r>
    </w:p>
    <w:p>
      <w:pPr>
        <w:pStyle w:val="901"/>
        <w:ind w:left="0" w:right="0" w:firstLine="426"/>
        <w:jc w:val="both"/>
        <w:rPr>
          <w:color w:val="00000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 xml:space="preserve">5.4. </w:t>
      </w:r>
      <w:r>
        <w:rPr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Контрактом, начин</w:t>
      </w:r>
      <w:r>
        <w:rPr>
          <w:sz w:val="24"/>
          <w:szCs w:val="24"/>
        </w:rPr>
        <w:t xml:space="preserve">ая со дня, следующего после дня истечения установленного Контрактом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не уплаченной в срок суммы.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1"/>
        <w:ind w:left="0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5.5. </w:t>
      </w:r>
      <w:r>
        <w:rPr>
          <w:sz w:val="24"/>
          <w:szCs w:val="24"/>
        </w:rPr>
        <w:t xml:space="preserve">За каждый факт неисполнения Заказчиком обя</w:t>
      </w:r>
      <w:r>
        <w:rPr>
          <w:sz w:val="24"/>
          <w:szCs w:val="24"/>
        </w:rPr>
        <w:t xml:space="preserve">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уплату штрафа. Размер штрафа определяется в соответствии с Правилами и составляет 1000 (одна тысяча) рублей.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30"/>
        <w:ind w:left="0" w:right="0" w:firstLine="42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</w:t>
      </w:r>
      <w:r>
        <w:rPr>
          <w:rFonts w:ascii="Times New Roman" w:hAnsi="Times New Roman" w:cs="Times New Roman"/>
          <w:sz w:val="24"/>
          <w:szCs w:val="24"/>
        </w:rPr>
        <w:t xml:space="preserve">ого обязательства), предусмотренных Контрактом, Поставщик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</w:t>
      </w:r>
      <w:r>
        <w:rPr>
          <w:rFonts w:ascii="Times New Roman" w:hAnsi="Times New Roman" w:cs="Times New Roman"/>
          <w:sz w:val="24"/>
          <w:szCs w:val="24"/>
        </w:rPr>
        <w:t xml:space="preserve">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от 30 августа 2017 г. № 1042 (Собрание законодательства Российской Федерации, 2017, № 36, ст. 5458;2019, № 32, ст. 4721) (далее - Правила), и составляет 10 % от цены Контракта (этапа) в случае, если цена Контракта (этапа) не превышает 3 млн.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0" w:firstLine="42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За каждый факт неисполнения или ненадлежащего исполнения Поставщиком  обязательств, предусмотренн</w:t>
      </w:r>
      <w:r>
        <w:rPr>
          <w:rFonts w:ascii="Times New Roman" w:hAnsi="Times New Roman" w:cs="Times New Roman"/>
          <w:sz w:val="24"/>
          <w:szCs w:val="24"/>
        </w:rPr>
        <w:t xml:space="preserve">ых Контрактом, заключенным по результатам определения Поставщика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- Ф</w:t>
      </w:r>
      <w:r>
        <w:rPr>
          <w:rFonts w:ascii="Times New Roman" w:hAnsi="Times New Roman" w:cs="Times New Roman"/>
          <w:sz w:val="24"/>
          <w:szCs w:val="24"/>
        </w:rPr>
        <w:t xml:space="preserve">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1 % цены Контракта (этапа), но не более 5 тыс. рублей и не менее 1 тыс. рублей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0" w:firstLine="42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Пеня начисляется за каждый день просрочки исполнения Поставщиком, предусмотренного Контрактом, в </w:t>
      </w:r>
      <w:r>
        <w:rPr>
          <w:rFonts w:ascii="Times New Roman" w:hAnsi="Times New Roman" w:cs="Times New Roman"/>
          <w:sz w:val="24"/>
          <w:szCs w:val="24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0" w:firstLine="42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0" w:firstLine="42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0" w:firstLine="426"/>
        <w:jc w:val="both"/>
        <w:spacing w:line="276" w:lineRule="auto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Реквизиты для перечисления неустойки (штрафы, пени):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left="0" w:righ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Наименование получателя: УФК по Удмуртской Республике (Управление Росреестра по Удмуртской Республике)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left="0" w:righ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ИНН:1835062672, КПП: 184101001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left="0" w:righ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Банк получателя: ОКЦ № 1 ВВГУ Банка России//УФК по Удмуртской Республике г. Ижевск 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left="0" w:righ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БИК: 042202118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left="0" w:righ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Лицевой счет: 04131W00510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left="0" w:righ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Единый казначейский счет: 40102810745370000118 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left="0" w:righ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Казначейский счет: 03100643000000011300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left="0" w:righ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КБК: 321 1 16 07010019000140 (штрафы, пени неустойки за просрочку обязательств)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</w:r>
    </w:p>
    <w:p>
      <w:pPr>
        <w:pStyle w:val="930"/>
        <w:ind w:firstLine="708"/>
        <w:rPr>
          <w:rFonts w:ascii="Times New Roman" w:hAnsi="Times New Roman" w:cs="Times New Roman"/>
          <w:spacing w:val="-6"/>
          <w:sz w:val="24"/>
          <w:szCs w:val="24"/>
          <w14:ligatures w14:val="none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КБК: 3211 16 07090019000140 (штрафы, за не исполнение или ненадлежащее испо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лнение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).</w:t>
      </w:r>
      <w:r>
        <w:rPr>
          <w:rFonts w:ascii="Times New Roman" w:hAnsi="Times New Roman" w:cs="Times New Roman"/>
          <w:spacing w:val="-6"/>
          <w:sz w:val="24"/>
          <w:szCs w:val="24"/>
          <w14:ligatures w14:val="none"/>
        </w:rPr>
      </w:r>
      <w:r>
        <w:rPr>
          <w:rFonts w:ascii="Times New Roman" w:hAnsi="Times New Roman" w:cs="Times New Roman"/>
          <w:spacing w:val="-6"/>
          <w:sz w:val="24"/>
          <w:szCs w:val="24"/>
          <w14:ligatures w14:val="none"/>
        </w:rPr>
      </w:r>
    </w:p>
    <w:p>
      <w:pPr>
        <w:pStyle w:val="930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  <w14:ligatures w14:val="none"/>
        </w:rPr>
      </w:pP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5.12. Срок для добровольной уплаты Поставщиком неустойки (штрафов, пени) составляет 10 (десять) календарных дней после получения требований Заказчика.</w:t>
      </w:r>
      <w:r>
        <w:rPr>
          <w:rFonts w:ascii="Times New Roman" w:hAnsi="Times New Roman" w:cs="Times New Roman"/>
          <w:spacing w:val="-6"/>
          <w:sz w:val="24"/>
          <w:szCs w:val="24"/>
        </w:rPr>
      </w:r>
      <w:r>
        <w:rPr>
          <w:rFonts w:ascii="Times New Roman" w:hAnsi="Times New Roman" w:cs="Times New Roman"/>
          <w:spacing w:val="-6"/>
          <w:sz w:val="24"/>
          <w:szCs w:val="24"/>
          <w14:ligatures w14:val="none"/>
        </w:rPr>
      </w:r>
    </w:p>
    <w:p>
      <w:pPr>
        <w:pStyle w:val="93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30"/>
        <w:ind w:left="0" w:right="-1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ОБСТОЯТЕЛЬСТВА НЕПРИОДОЛИМОЙ СИЛЫ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Стороны освобождаются от ответственности за полное или частичное неисполн</w:t>
      </w:r>
      <w:r>
        <w:rPr>
          <w:rFonts w:ascii="Times New Roman" w:hAnsi="Times New Roman" w:cs="Times New Roman"/>
          <w:sz w:val="24"/>
          <w:szCs w:val="24"/>
        </w:rPr>
        <w:t xml:space="preserve">ение  своих обязательств по Контракту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 по Контракту, а также других чрезвычайных обстоятельств,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При наступлении таких обстоятельств срок исполнения обязательств по Контракту отодвигается соразмерно времени действия данных обстоятельств, постольку эти обстоятельства значительно влияют на исполнение Контракта в срок.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Сторона, для которой надлежащее исполнение обязательств оказалось невозможн</w:t>
      </w:r>
      <w:r>
        <w:rPr>
          <w:rFonts w:ascii="Times New Roman" w:hAnsi="Times New Roman" w:cs="Times New Roman"/>
          <w:sz w:val="24"/>
          <w:szCs w:val="24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Форс-мажором не являются события, вызванные небрежностью или преднамеренным</w:t>
      </w:r>
      <w:r>
        <w:rPr>
          <w:rFonts w:ascii="Times New Roman" w:hAnsi="Times New Roman" w:cs="Times New Roman"/>
          <w:sz w:val="24"/>
          <w:szCs w:val="24"/>
        </w:rPr>
        <w:t xml:space="preserve"> действием Стороны, агентов или сотрудников Стороны, события, которые Сторона могла бы предусмотреть при должном прилежании, чтобы учесть их при заключении Контракта и предотвратить или контролировать их при выполнении обязательств по настоящему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left="0" w:right="-1" w:firstLine="0"/>
        <w:jc w:val="center"/>
        <w:rPr>
          <w:rFonts w:cs="Times New Roman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ПОРЯДОК РАСТОРЖЕНИЯ КОНТРАКТА</w:t>
      </w:r>
      <w:r>
        <w:rPr>
          <w:rFonts w:cs="Times New Roman"/>
          <w:bCs/>
          <w:sz w:val="24"/>
          <w:szCs w:val="24"/>
        </w:rPr>
      </w:r>
      <w:r>
        <w:rPr>
          <w:rFonts w:cs="Times New Roman"/>
          <w:bCs/>
          <w:sz w:val="24"/>
          <w:szCs w:val="24"/>
        </w:rPr>
      </w:r>
    </w:p>
    <w:p>
      <w:pPr>
        <w:pStyle w:val="901"/>
        <w:ind w:left="0" w:right="0" w:firstLine="624"/>
        <w:jc w:val="both"/>
        <w:widowControl w:val="off"/>
        <w:rPr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7.1. </w:t>
      </w:r>
      <w:r>
        <w:rPr>
          <w:rFonts w:cs="Times New Roman"/>
          <w:sz w:val="24"/>
          <w:szCs w:val="24"/>
        </w:rPr>
        <w:t xml:space="preserve">Расторжение Контракта допускается по соглашению сторон, по решению суда или в связи с односторонним отказом Заказчика от исполнения Контракта в соответствии с гражданским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ind w:left="0" w:right="-1" w:firstLine="567"/>
        <w:jc w:val="both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7.2. Заказчик вправе принять решение об одностороннем отказе от исполнения Контракта в соответствии с гражданским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извещением об осуществлении закупки и (или) документацие</w:t>
      </w:r>
      <w:r>
        <w:rPr>
          <w:sz w:val="24"/>
          <w:szCs w:val="24"/>
        </w:rPr>
        <w:t xml:space="preserve">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Поставщик вправе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принять решение об односторонне</w:t>
      </w:r>
      <w:r>
        <w:rPr>
          <w:sz w:val="24"/>
          <w:szCs w:val="24"/>
        </w:rPr>
        <w:t xml:space="preserve">м отказе от исполнения Контракта по основаниям, предусмотренным ГК РФ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7.5. Любые споры, не урегулированные во внесудебном порядке, разрешаются Арбитражным судом Удмуртской Республики.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0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0"/>
        <w:ind w:left="0"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ПОРЯДОК УРЕГУЛИРОВАНИЯ СПОРОВ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 с оформлением совместного протокола урегулирования споров.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В случае наличия претензий, споров, разногласий относительно исполнения одной из Сторон своих обязательств, другая Ст</w:t>
      </w:r>
      <w:r>
        <w:rPr>
          <w:rFonts w:ascii="Times New Roman" w:hAnsi="Times New Roman" w:cs="Times New Roman"/>
          <w:sz w:val="24"/>
          <w:szCs w:val="24"/>
        </w:rPr>
        <w:t xml:space="preserve">орона обязана направить претензию. В отношении всех претензий, направляемых по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Любые споры, не урегулированные во внесудебном порядке, разрешаются Арбитражным судом Удмуртской Республики.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К отношениям Сторон по Контракту и в связи с ним применяется законодательство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5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25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 ЗАКЛЮЧИТЕЛЬНЫЕ ПОЛОЖЕНИЯ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9.1. Настоящий Контракт составлен в двух экземплярах, имеющих равную юридическую силу.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9.2. Настоящий Контра</w:t>
      </w:r>
      <w:r>
        <w:rPr>
          <w:rFonts w:ascii="Times New Roman" w:hAnsi="Times New Roman"/>
          <w:color w:val="000000"/>
          <w:sz w:val="24"/>
          <w:szCs w:val="24"/>
        </w:rPr>
        <w:t xml:space="preserve">кт вст</w:t>
      </w:r>
      <w:r>
        <w:rPr>
          <w:rFonts w:ascii="Times New Roman" w:hAnsi="Times New Roman"/>
          <w:color w:val="000000"/>
          <w:sz w:val="24"/>
          <w:szCs w:val="24"/>
        </w:rPr>
        <w:t xml:space="preserve">упает в силу с момента его подписания и действует до полного исполнения сторонами своих обязательств, но не </w:t>
      </w:r>
      <w:r>
        <w:rPr>
          <w:rFonts w:ascii="Times New Roman" w:hAnsi="Times New Roman"/>
          <w:sz w:val="24"/>
          <w:szCs w:val="24"/>
        </w:rPr>
        <w:t xml:space="preserve">позднее 18.12.20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color w:val="000000"/>
          <w:sz w:val="24"/>
          <w:szCs w:val="24"/>
        </w:rPr>
        <w:t xml:space="preserve">6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7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9.3</w:t>
      </w:r>
      <w:r>
        <w:rPr>
          <w:rFonts w:ascii="Times New Roman" w:hAnsi="Times New Roman"/>
          <w:sz w:val="24"/>
          <w:szCs w:val="24"/>
        </w:rPr>
        <w:t xml:space="preserve">. Споры, которые могут возникнуть при исполнении условий настоящего Контракта, Стороны будут стремиться разрешать путем переговоров, обмена письмами, телеграммами, факсами и др.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25"/>
        <w:ind w:firstLine="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/>
          <w:color w:val="000000"/>
          <w:sz w:val="22"/>
          <w:szCs w:val="22"/>
          <w:u w:val="single"/>
        </w:rPr>
      </w:r>
      <w:r>
        <w:rPr>
          <w:rFonts w:ascii="Times New Roman" w:hAnsi="Times New Roman"/>
          <w:color w:val="000000"/>
          <w:sz w:val="22"/>
          <w:szCs w:val="22"/>
          <w:u w:val="single"/>
        </w:rPr>
      </w:r>
      <w:r>
        <w:rPr>
          <w:rFonts w:ascii="Times New Roman" w:hAnsi="Times New Roman"/>
          <w:color w:val="000000"/>
          <w:sz w:val="22"/>
          <w:szCs w:val="22"/>
          <w:u w:val="single"/>
        </w:rPr>
      </w:r>
    </w:p>
    <w:p>
      <w:pPr>
        <w:pStyle w:val="925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0.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ЮРИДИЧЕСКИЕ АДРЕСА, БАНКОВСКИЕ РЕКВИЗИТЫ И ПОДПИСИ СТОРОН</w:t>
      </w:r>
      <w:r>
        <w:rPr>
          <w:rFonts w:ascii="Times New Roman" w:hAnsi="Times New Roman"/>
          <w:b/>
          <w:bCs/>
          <w:color w:val="000000"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14:ligatures w14:val="none"/>
        </w:rPr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16"/>
        <w:gridCol w:w="5184"/>
      </w:tblGrid>
      <w:tr>
        <w:tblPrEx/>
        <w:trPr/>
        <w:tc>
          <w:tcPr>
            <w:tcW w:w="4716" w:type="dxa"/>
            <w:textDirection w:val="lrTb"/>
            <w:noWrap w:val="false"/>
          </w:tcPr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Федеральной службы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государственной регистрации, кадастра и картографии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Удмуртской Республике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426011, г. Ижевск, ул. М. Горького, д. 56,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938"/>
              <w:jc w:val="both"/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ИНН 1835062672, КПП 184101001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</w:r>
          </w:p>
          <w:p>
            <w:pPr>
              <w:pStyle w:val="938"/>
              <w:jc w:val="both"/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  <w:t xml:space="preserve">Банк получателя: ОКЦ № 1 ВВГУ Банка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</w:r>
          </w:p>
          <w:p>
            <w:pPr>
              <w:pStyle w:val="938"/>
              <w:jc w:val="both"/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  <w:t xml:space="preserve">России//УФК по Нижегородской области,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</w:r>
          </w:p>
          <w:p>
            <w:pPr>
              <w:pStyle w:val="938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zh-CN" w:bidi="ar-SA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938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БИК 012202102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938"/>
              <w:jc w:val="left"/>
              <w:spacing w:before="0" w:after="0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Номер казначейского счета: 03211643000000013239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938"/>
              <w:jc w:val="left"/>
              <w:spacing w:before="0" w:after="0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Единый казначейский счет: 40102810745370000024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938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л/с 03131W00510,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938"/>
              <w:jc w:val="both"/>
              <w:spacing w:before="0" w:after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Тел: 8 (3412) 78-72-88 </w:t>
            </w:r>
            <w:r/>
          </w:p>
          <w:p>
            <w:pPr>
              <w:pStyle w:val="938"/>
              <w:spacing w:before="0" w:after="0"/>
              <w:rPr>
                <w:rFonts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fldChar w:fldCharType="begin"/>
            </w:r>
            <w:r>
              <w:instrText xml:space="preserve"> HYPERLINK "mailto:18_upr@rosreestr.ru"</w:instrText>
            </w:r>
            <w:r>
              <w:fldChar w:fldCharType="separate"/>
            </w:r>
            <w:r>
              <w:rPr>
                <w:rStyle w:val="939"/>
                <w:rFonts w:ascii="Times New Roman" w:hAnsi="Times New Roman" w:cs="Times New Roman"/>
                <w:b/>
                <w:bCs/>
                <w:color w:val="0000ff"/>
                <w:spacing w:val="2"/>
                <w:sz w:val="24"/>
                <w:szCs w:val="24"/>
                <w:u w:val="single"/>
              </w:rPr>
              <w:t xml:space="preserve">18_upr@rosreestr.ru</w:t>
            </w:r>
            <w:r>
              <w:fldChar w:fldCharType="end"/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____________________/Ю.В. Баймакова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84" w:type="dxa"/>
            <w:textDirection w:val="lrTb"/>
            <w:noWrap w:val="false"/>
          </w:tcPr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___________________/______________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left="6180"/>
        <w:jc w:val="right"/>
        <w:pageBreakBefore/>
        <w:rPr>
          <w:szCs w:val="24"/>
        </w:rPr>
      </w:pPr>
      <w:r>
        <w:rPr>
          <w:szCs w:val="24"/>
        </w:rPr>
        <w:t xml:space="preserve">Приложение № 1</w:t>
      </w:r>
      <w:r>
        <w:rPr>
          <w:szCs w:val="24"/>
        </w:rPr>
      </w:r>
      <w:r>
        <w:rPr>
          <w:szCs w:val="24"/>
        </w:rPr>
      </w:r>
    </w:p>
    <w:p>
      <w:pPr>
        <w:ind w:left="6180"/>
        <w:jc w:val="right"/>
        <w:rPr>
          <w:szCs w:val="24"/>
        </w:rPr>
      </w:pPr>
      <w:r>
        <w:rPr>
          <w:szCs w:val="24"/>
        </w:rPr>
        <w:t xml:space="preserve">к государственному контракту            </w:t>
      </w:r>
      <w:r>
        <w:rPr>
          <w:szCs w:val="24"/>
        </w:rPr>
        <w:t xml:space="preserve">                              №</w:t>
      </w:r>
      <w:r>
        <w:rPr>
          <w:szCs w:val="24"/>
        </w:rPr>
        <w:t xml:space="preserve"> </w:t>
      </w:r>
      <w:r>
        <w:rPr>
          <w:szCs w:val="24"/>
        </w:rPr>
        <w:t xml:space="preserve">______________</w:t>
      </w:r>
      <w:r>
        <w:rPr>
          <w:szCs w:val="24"/>
        </w:rPr>
        <w:t xml:space="preserve"> </w:t>
      </w:r>
      <w:r>
        <w:rPr>
          <w:szCs w:val="24"/>
        </w:rPr>
        <w:t xml:space="preserve">от</w:t>
      </w:r>
      <w:r>
        <w:rPr>
          <w:szCs w:val="24"/>
        </w:rPr>
        <w:t xml:space="preserve"> _____________ </w:t>
      </w:r>
      <w:bookmarkStart w:id="0" w:name="_GoBack"/>
      <w:r/>
      <w:bookmarkEnd w:id="0"/>
      <w:r>
        <w:rPr>
          <w:szCs w:val="24"/>
        </w:rPr>
        <w:t xml:space="preserve">20</w:t>
      </w:r>
      <w:r>
        <w:rPr>
          <w:szCs w:val="24"/>
        </w:rPr>
        <w:t xml:space="preserve">26</w:t>
      </w:r>
      <w:r>
        <w:rPr>
          <w:szCs w:val="24"/>
        </w:rPr>
        <w:t xml:space="preserve"> г.</w:t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szCs w:val="24"/>
        </w:rPr>
      </w:pPr>
      <w:r>
        <w:rPr>
          <w:szCs w:val="24"/>
        </w:rPr>
        <w:t xml:space="preserve">С </w:t>
      </w:r>
      <w:r>
        <w:rPr>
          <w:szCs w:val="24"/>
        </w:rPr>
        <w:t xml:space="preserve">П</w:t>
      </w:r>
      <w:r>
        <w:rPr>
          <w:szCs w:val="24"/>
        </w:rPr>
        <w:t xml:space="preserve"> Е Ц И Ф И К А Ц И Я</w:t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96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822"/>
        <w:gridCol w:w="829"/>
        <w:gridCol w:w="1529"/>
        <w:gridCol w:w="1984"/>
        <w:gridCol w:w="1221"/>
        <w:gridCol w:w="1514"/>
      </w:tblGrid>
      <w:tr>
        <w:tblPrEx/>
        <w:trPr>
          <w:trHeight w:val="20"/>
        </w:trPr>
        <w:tc>
          <w:tcPr>
            <w:tcW w:w="74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п</w:t>
            </w:r>
            <w:r>
              <w:rPr>
                <w:b/>
                <w:sz w:val="24"/>
                <w:szCs w:val="24"/>
              </w:rPr>
              <w:t xml:space="preserve">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82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(шт.)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29" w:type="dxa"/>
            <w:textDirection w:val="lrTb"/>
            <w:noWrap w:val="false"/>
          </w:tcPr>
          <w:p>
            <w:pPr>
              <w:ind w:firstLine="5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Нумерация бланка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Страна происхождения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2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Цена, </w:t>
            </w:r>
            <w:r>
              <w:rPr>
                <w:b/>
                <w:sz w:val="24"/>
                <w:szCs w:val="24"/>
              </w:rPr>
              <w:t xml:space="preserve">руб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1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  <w:r>
              <w:rPr>
                <w:b/>
                <w:sz w:val="24"/>
                <w:szCs w:val="24"/>
              </w:rPr>
              <w:t xml:space="preserve">руб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87"/>
        </w:trPr>
        <w:tc>
          <w:tcPr>
            <w:tcW w:w="747" w:type="dxa"/>
            <w:vAlign w:val="center"/>
            <w:textDirection w:val="lrTb"/>
            <w:noWrap w:val="false"/>
          </w:tcPr>
          <w:p>
            <w:pPr>
              <w:ind w:left="36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822" w:type="dxa"/>
            <w:vAlign w:val="center"/>
            <w:textDirection w:val="lrTb"/>
            <w:noWrap w:val="false"/>
          </w:tcPr>
          <w:p>
            <w:pPr>
              <w:ind w:hanging="40"/>
            </w:pPr>
            <w:r>
              <w:t xml:space="preserve"> </w:t>
            </w:r>
            <w:r>
              <w:t xml:space="preserve">Бланк приказа (распоряжения) </w:t>
            </w:r>
            <w:r/>
          </w:p>
          <w:p>
            <w:pPr>
              <w:ind w:hanging="40"/>
            </w:pPr>
            <w:r>
              <w:t xml:space="preserve">(с продольным расположением реквизитов)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2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500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1529" w:type="dxa"/>
            <w:vAlign w:val="center"/>
            <w:textDirection w:val="lrTb"/>
            <w:noWrap w:val="false"/>
          </w:tcPr>
          <w:p>
            <w:pPr>
              <w:ind w:hanging="40"/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hanging="40"/>
              <w:jc w:val="center"/>
              <w:spacing w:line="276" w:lineRule="auto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</w:t>
            </w:r>
            <w:r>
              <w:rPr>
                <w:vanish/>
                <w:sz w:val="22"/>
                <w:szCs w:val="22"/>
              </w:rPr>
            </w:r>
            <w:r>
              <w:rPr>
                <w:vanish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12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57"/>
        </w:trPr>
        <w:tc>
          <w:tcPr>
            <w:tcW w:w="747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822" w:type="dxa"/>
            <w:vAlign w:val="center"/>
            <w:vMerge w:val="restart"/>
            <w:textDirection w:val="lrTb"/>
            <w:noWrap w:val="false"/>
          </w:tcPr>
          <w:p>
            <w:pPr>
              <w:ind w:hanging="40"/>
            </w:pPr>
            <w:r>
              <w:t xml:space="preserve">Бланк письма </w:t>
            </w:r>
            <w:r/>
          </w:p>
          <w:p>
            <w:pPr>
              <w:ind w:hanging="40"/>
            </w:pPr>
            <w:r>
              <w:t xml:space="preserve">(с угловым расположением реквизитов)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29" w:type="dxa"/>
            <w:vAlign w:val="center"/>
            <w:textDirection w:val="lrTb"/>
            <w:noWrap w:val="false"/>
          </w:tcPr>
          <w:p>
            <w:pPr>
              <w:ind w:hanging="40"/>
              <w:jc w:val="center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1394</w:t>
            </w:r>
            <w:r>
              <w:rPr>
                <w:b/>
                <w:sz w:val="22"/>
                <w:szCs w:val="22"/>
              </w:rPr>
            </w:r>
          </w:p>
          <w:p>
            <w:pPr>
              <w:ind w:hanging="40"/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right w:val="single" w:color="auto" w:sz="4" w:space="0"/>
            </w:tcBorders>
            <w:tcW w:w="1529" w:type="dxa"/>
            <w:vAlign w:val="center"/>
            <w:vMerge w:val="restart"/>
            <w:textDirection w:val="lrTb"/>
            <w:noWrap w:val="false"/>
          </w:tcPr>
          <w:p>
            <w:pPr>
              <w:ind w:hanging="40"/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ind w:hanging="40"/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122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</w:pPr>
      <w:r/>
      <w:r/>
    </w:p>
    <w:p>
      <w:pPr>
        <w:pStyle w:val="92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1260" w:hanging="720"/>
        <w:jc w:val="right"/>
      </w:pPr>
      <w:r/>
      <w:r/>
    </w:p>
    <w:tbl>
      <w:tblPr>
        <w:tblW w:w="9900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5400"/>
        <w:gridCol w:w="4500"/>
      </w:tblGrid>
      <w:tr>
        <w:tblPrEx/>
        <w:trPr/>
        <w:tc>
          <w:tcPr>
            <w:tcW w:w="5400" w:type="dxa"/>
            <w:textDirection w:val="lrTb"/>
            <w:noWrap w:val="false"/>
          </w:tcPr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ЗАКАЗЧИК: 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ПОСТАВЩИК: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</w:r>
          </w:p>
          <w:p>
            <w:pPr>
              <w:pStyle w:val="917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</w:r>
          </w:p>
        </w:tc>
      </w:tr>
    </w:tbl>
    <w:p>
      <w:pPr>
        <w:pStyle w:val="927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993" w:right="851" w:bottom="1134" w:left="1701" w:header="567" w:footer="3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Arial Black">
    <w:panose1 w:val="020B0704020202020204"/>
  </w:font>
  <w:font w:name="Times New Roman">
    <w:panose1 w:val="02020603050405020304"/>
  </w:font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20"/>
      </w:rPr>
      <w:framePr w:wrap="around" w:vAnchor="text" w:hAnchor="margin" w:xAlign="right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separate"/>
    </w:r>
    <w:r>
      <w:rPr>
        <w:rStyle w:val="920"/>
      </w:rPr>
      <w:t xml:space="preserve">7</w: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2"/>
      <w:ind w:right="360"/>
      <w:jc w:val="center"/>
      <w:widowControl/>
      <w:rPr>
        <w:rFonts w:ascii="Arial" w:hAnsi="Arial" w:cs="Arial"/>
        <w:sz w:val="14"/>
        <w:szCs w:val="14"/>
        <w:lang w:val="en-US"/>
      </w:rPr>
      <w:outlineLvl w:val="0"/>
    </w:pPr>
    <w:r>
      <w:rPr>
        <w:rFonts w:ascii="Arial" w:hAnsi="Arial" w:cs="Arial"/>
        <w:sz w:val="14"/>
        <w:szCs w:val="14"/>
        <w:lang w:val="en-US"/>
      </w:rPr>
    </w:r>
    <w:r>
      <w:rPr>
        <w:rFonts w:ascii="Arial" w:hAnsi="Arial" w:cs="Arial"/>
        <w:sz w:val="14"/>
        <w:szCs w:val="14"/>
        <w:lang w:val="en-US"/>
      </w:rPr>
    </w:r>
    <w:r>
      <w:rPr>
        <w:rFonts w:ascii="Arial" w:hAnsi="Arial" w:cs="Arial"/>
        <w:sz w:val="14"/>
        <w:szCs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20"/>
      </w:rPr>
      <w:framePr w:wrap="around" w:vAnchor="text" w:hAnchor="margin" w:xAlign="right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2"/>
      <w:ind w:right="360"/>
      <w:jc w:val="center"/>
      <w:widowControl/>
      <w:rPr>
        <w:rFonts w:ascii="Arial" w:hAnsi="Arial" w:cs="Arial"/>
        <w:sz w:val="14"/>
        <w:szCs w:val="14"/>
      </w:rPr>
      <w:outlineLvl w:val="0"/>
    </w:pPr>
    <w:r>
      <w:rPr>
        <w:rFonts w:ascii="Arial" w:hAnsi="Arial" w:cs="Arial"/>
        <w:sz w:val="14"/>
        <w:szCs w:val="14"/>
      </w:rPr>
    </w:r>
    <w:r>
      <w:rPr>
        <w:rFonts w:ascii="Arial" w:hAnsi="Arial" w:cs="Arial"/>
        <w:sz w:val="14"/>
        <w:szCs w:val="14"/>
      </w:rPr>
    </w:r>
    <w:r>
      <w:rPr>
        <w:rFonts w:ascii="Arial" w:hAnsi="Arial" w:cs="Arial"/>
        <w:sz w:val="14"/>
        <w:szCs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rPr>
        <w:rFonts w:ascii="Arial Black" w:hAnsi="Arial Black" w:cs="Arial Black"/>
        <w:spacing w:val="80"/>
        <w:sz w:val="14"/>
        <w:szCs w:val="14"/>
      </w:rPr>
    </w:pPr>
    <w:r>
      <w:rPr>
        <w:rFonts w:ascii="Arial Black" w:hAnsi="Arial Black" w:cs="Arial Black"/>
        <w:spacing w:val="80"/>
        <w:sz w:val="14"/>
        <w:szCs w:val="14"/>
      </w:rPr>
    </w:r>
    <w:r>
      <w:rPr>
        <w:rFonts w:ascii="Arial Black" w:hAnsi="Arial Black" w:cs="Arial Black"/>
        <w:spacing w:val="80"/>
        <w:sz w:val="14"/>
        <w:szCs w:val="14"/>
      </w:rPr>
    </w:r>
    <w:r>
      <w:rPr>
        <w:rFonts w:ascii="Arial Black" w:hAnsi="Arial Black" w:cs="Arial Black"/>
        <w:spacing w:val="80"/>
        <w:sz w:val="14"/>
        <w:szCs w:val="1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widowControl w:val="off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904"/>
    <w:link w:val="902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904"/>
    <w:link w:val="903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1"/>
    <w:next w:val="901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4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1"/>
    <w:next w:val="9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4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1"/>
    <w:next w:val="901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4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1"/>
    <w:next w:val="901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4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1"/>
    <w:next w:val="901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4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1"/>
    <w:next w:val="90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4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1"/>
    <w:next w:val="901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4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1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1"/>
    <w:next w:val="901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basedOn w:val="904"/>
    <w:link w:val="746"/>
    <w:uiPriority w:val="10"/>
    <w:rPr>
      <w:sz w:val="48"/>
      <w:szCs w:val="48"/>
    </w:rPr>
  </w:style>
  <w:style w:type="paragraph" w:styleId="748">
    <w:name w:val="Subtitle"/>
    <w:basedOn w:val="901"/>
    <w:next w:val="901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basedOn w:val="904"/>
    <w:link w:val="748"/>
    <w:uiPriority w:val="11"/>
    <w:rPr>
      <w:sz w:val="24"/>
      <w:szCs w:val="24"/>
    </w:rPr>
  </w:style>
  <w:style w:type="paragraph" w:styleId="750">
    <w:name w:val="Quote"/>
    <w:basedOn w:val="901"/>
    <w:next w:val="901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1"/>
    <w:next w:val="901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character" w:styleId="754">
    <w:name w:val="Header Char"/>
    <w:basedOn w:val="904"/>
    <w:link w:val="915"/>
    <w:uiPriority w:val="99"/>
  </w:style>
  <w:style w:type="character" w:styleId="755">
    <w:name w:val="Footer Char"/>
    <w:basedOn w:val="904"/>
    <w:link w:val="918"/>
    <w:uiPriority w:val="99"/>
  </w:style>
  <w:style w:type="paragraph" w:styleId="756">
    <w:name w:val="Caption"/>
    <w:basedOn w:val="901"/>
    <w:next w:val="9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918"/>
    <w:uiPriority w:val="99"/>
  </w:style>
  <w:style w:type="table" w:styleId="758">
    <w:name w:val="Table Grid"/>
    <w:basedOn w:val="9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basedOn w:val="904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4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  <w:pPr>
      <w:widowControl w:val="off"/>
    </w:pPr>
  </w:style>
  <w:style w:type="paragraph" w:styleId="902">
    <w:name w:val="Heading 1"/>
    <w:basedOn w:val="901"/>
    <w:next w:val="901"/>
    <w:link w:val="907"/>
    <w:qFormat/>
    <w:pPr>
      <w:ind w:left="2080" w:right="2200"/>
      <w:jc w:val="center"/>
      <w:keepNext/>
      <w:spacing w:before="80" w:line="220" w:lineRule="auto"/>
      <w:outlineLvl w:val="0"/>
    </w:pPr>
    <w:rPr>
      <w:rFonts w:ascii="Arial" w:hAnsi="Arial"/>
      <w:b/>
      <w:sz w:val="24"/>
    </w:rPr>
  </w:style>
  <w:style w:type="paragraph" w:styleId="903">
    <w:name w:val="Heading 2"/>
    <w:basedOn w:val="901"/>
    <w:next w:val="901"/>
    <w:link w:val="90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Заголовок 1 Знак"/>
    <w:basedOn w:val="904"/>
    <w:link w:val="902"/>
    <w:rPr>
      <w:rFonts w:ascii="Arial" w:hAnsi="Arial"/>
      <w:b/>
      <w:sz w:val="24"/>
    </w:rPr>
  </w:style>
  <w:style w:type="character" w:styleId="908" w:customStyle="1">
    <w:name w:val="Заголовок 2 Знак"/>
    <w:basedOn w:val="904"/>
    <w:link w:val="903"/>
    <w:rPr>
      <w:rFonts w:ascii="Arial" w:hAnsi="Arial" w:cs="Arial"/>
      <w:b/>
      <w:bCs/>
      <w:i/>
      <w:iCs/>
      <w:sz w:val="28"/>
      <w:szCs w:val="28"/>
    </w:rPr>
  </w:style>
  <w:style w:type="character" w:styleId="909" w:customStyle="1">
    <w:name w:val="Заголовок 1 Знак1"/>
    <w:basedOn w:val="904"/>
    <w:rPr>
      <w:b/>
      <w:lang w:val="ru-RU" w:eastAsia="ru-RU" w:bidi="ar-SA"/>
    </w:rPr>
  </w:style>
  <w:style w:type="paragraph" w:styleId="910">
    <w:name w:val="Balloon Text"/>
    <w:basedOn w:val="901"/>
    <w:link w:val="911"/>
    <w:semiHidden/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904"/>
    <w:link w:val="910"/>
    <w:semiHidden/>
    <w:rPr>
      <w:rFonts w:ascii="Tahoma" w:hAnsi="Tahoma" w:cs="Tahoma"/>
      <w:sz w:val="16"/>
      <w:szCs w:val="16"/>
    </w:rPr>
  </w:style>
  <w:style w:type="paragraph" w:styleId="912">
    <w:name w:val="Body Text"/>
    <w:basedOn w:val="901"/>
    <w:link w:val="914"/>
    <w:pPr>
      <w:jc w:val="both"/>
      <w:tabs>
        <w:tab w:val="left" w:pos="709" w:leader="none"/>
      </w:tabs>
    </w:pPr>
    <w:rPr>
      <w:color w:val="000000"/>
      <w:spacing w:val="2"/>
      <w:sz w:val="24"/>
      <w:szCs w:val="24"/>
    </w:rPr>
  </w:style>
  <w:style w:type="character" w:styleId="913" w:customStyle="1">
    <w:name w:val="Основной текст Знак"/>
    <w:basedOn w:val="904"/>
    <w:uiPriority w:val="99"/>
    <w:semiHidden/>
  </w:style>
  <w:style w:type="character" w:styleId="914" w:customStyle="1">
    <w:name w:val="Основной текст Знак1"/>
    <w:basedOn w:val="904"/>
    <w:link w:val="912"/>
    <w:rPr>
      <w:color w:val="000000"/>
      <w:spacing w:val="2"/>
      <w:sz w:val="24"/>
      <w:szCs w:val="24"/>
    </w:rPr>
  </w:style>
  <w:style w:type="paragraph" w:styleId="915">
    <w:name w:val="Header"/>
    <w:basedOn w:val="901"/>
    <w:link w:val="916"/>
    <w:pPr>
      <w:widowControl/>
      <w:tabs>
        <w:tab w:val="center" w:pos="4153" w:leader="none"/>
        <w:tab w:val="right" w:pos="8306" w:leader="none"/>
      </w:tabs>
    </w:pPr>
  </w:style>
  <w:style w:type="character" w:styleId="916" w:customStyle="1">
    <w:name w:val="Верхний колонтитул Знак"/>
    <w:basedOn w:val="904"/>
    <w:link w:val="915"/>
  </w:style>
  <w:style w:type="paragraph" w:styleId="917" w:customStyle="1">
    <w:name w:val="ConsPlusNormal Знак Знак"/>
    <w:link w:val="929"/>
    <w:pPr>
      <w:ind w:firstLine="720"/>
    </w:pPr>
    <w:rPr>
      <w:rFonts w:ascii="Arial" w:hAnsi="Arial" w:cs="Arial"/>
    </w:rPr>
  </w:style>
  <w:style w:type="paragraph" w:styleId="918">
    <w:name w:val="Footer"/>
    <w:basedOn w:val="901"/>
    <w:link w:val="91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904"/>
    <w:link w:val="918"/>
  </w:style>
  <w:style w:type="character" w:styleId="920">
    <w:name w:val="page number"/>
    <w:basedOn w:val="904"/>
  </w:style>
  <w:style w:type="paragraph" w:styleId="92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22" w:customStyle="1">
    <w:name w:val="ConsNonformat"/>
    <w:pPr>
      <w:widowControl w:val="off"/>
    </w:pPr>
    <w:rPr>
      <w:rFonts w:ascii="Courier New" w:hAnsi="Courier New" w:cs="Courier New"/>
    </w:rPr>
  </w:style>
  <w:style w:type="paragraph" w:styleId="923">
    <w:name w:val="Body Text Indent"/>
    <w:basedOn w:val="901"/>
    <w:link w:val="924"/>
    <w:pPr>
      <w:ind w:left="283"/>
      <w:spacing w:after="120"/>
    </w:pPr>
  </w:style>
  <w:style w:type="character" w:styleId="924" w:customStyle="1">
    <w:name w:val="Основной текст с отступом Знак"/>
    <w:basedOn w:val="904"/>
    <w:link w:val="923"/>
  </w:style>
  <w:style w:type="paragraph" w:styleId="925" w:customStyle="1">
    <w:name w:val="ConsNormal"/>
    <w:pPr>
      <w:ind w:firstLine="720"/>
      <w:widowControl w:val="off"/>
    </w:pPr>
    <w:rPr>
      <w:rFonts w:ascii="Arial" w:hAnsi="Arial" w:cs="Arial"/>
      <w:sz w:val="14"/>
      <w:szCs w:val="14"/>
    </w:rPr>
  </w:style>
  <w:style w:type="paragraph" w:styleId="926" w:customStyle="1">
    <w:name w:val="ConsCell"/>
    <w:pPr>
      <w:widowControl w:val="off"/>
    </w:pPr>
    <w:rPr>
      <w:rFonts w:ascii="Arial" w:hAnsi="Arial" w:cs="Arial"/>
      <w:sz w:val="14"/>
      <w:szCs w:val="14"/>
    </w:rPr>
  </w:style>
  <w:style w:type="paragraph" w:styleId="927">
    <w:name w:val="Plain Text"/>
    <w:basedOn w:val="901"/>
    <w:link w:val="928"/>
    <w:pPr>
      <w:widowControl/>
    </w:pPr>
    <w:rPr>
      <w:rFonts w:ascii="Courier New" w:hAnsi="Courier New"/>
    </w:rPr>
  </w:style>
  <w:style w:type="character" w:styleId="928" w:customStyle="1">
    <w:name w:val="Текст Знак"/>
    <w:basedOn w:val="904"/>
    <w:link w:val="927"/>
    <w:rPr>
      <w:rFonts w:ascii="Courier New" w:hAnsi="Courier New"/>
    </w:rPr>
  </w:style>
  <w:style w:type="character" w:styleId="929" w:customStyle="1">
    <w:name w:val="ConsPlusNormal Знак Знак Знак"/>
    <w:link w:val="917"/>
    <w:rPr>
      <w:rFonts w:ascii="Arial" w:hAnsi="Arial" w:cs="Arial"/>
    </w:rPr>
  </w:style>
  <w:style w:type="paragraph" w:styleId="930" w:customStyle="1">
    <w:name w:val="ConsPlusNormal"/>
    <w:pPr>
      <w:ind w:firstLine="720"/>
    </w:pPr>
    <w:rPr>
      <w:rFonts w:ascii="Arial" w:hAnsi="Arial" w:cs="Arial"/>
    </w:rPr>
  </w:style>
  <w:style w:type="paragraph" w:styleId="931" w:customStyle="1">
    <w:name w:val="Абзац списка1"/>
    <w:basedOn w:val="901"/>
    <w:qFormat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32" w:customStyle="1">
    <w:name w:val="Font Style20"/>
    <w:rPr>
      <w:rFonts w:hint="default" w:ascii="Times New Roman" w:hAnsi="Times New Roman" w:cs="Times New Roman"/>
      <w:sz w:val="22"/>
    </w:rPr>
  </w:style>
  <w:style w:type="character" w:styleId="933" w:customStyle="1">
    <w:name w:val="Font Style48"/>
    <w:rPr>
      <w:rFonts w:hint="default" w:ascii="Times New Roman" w:hAnsi="Times New Roman" w:cs="Times New Roman"/>
      <w:sz w:val="22"/>
      <w:szCs w:val="22"/>
    </w:rPr>
  </w:style>
  <w:style w:type="paragraph" w:styleId="934" w:customStyle="1">
    <w:name w:val="SB_Heading2"/>
    <w:basedOn w:val="901"/>
    <w:pPr>
      <w:ind w:left="578" w:hanging="578"/>
      <w:jc w:val="both"/>
      <w:spacing w:after="120"/>
      <w:widowControl/>
      <w:tabs>
        <w:tab w:val="num" w:pos="0" w:leader="none"/>
      </w:tabs>
    </w:pPr>
    <w:rPr>
      <w:b/>
      <w:sz w:val="28"/>
      <w:szCs w:val="24"/>
      <w:lang w:eastAsia="zh-CN"/>
    </w:rPr>
  </w:style>
  <w:style w:type="character" w:styleId="935" w:customStyle="1">
    <w:name w:val="Font Style43"/>
    <w:rPr>
      <w:rFonts w:ascii="Times New Roman" w:hAnsi="Times New Roman" w:cs="Times New Roman"/>
      <w:b/>
      <w:bCs/>
      <w:sz w:val="22"/>
      <w:szCs w:val="22"/>
    </w:rPr>
  </w:style>
  <w:style w:type="character" w:styleId="936" w:customStyle="1">
    <w:name w:val="ikzvalue"/>
    <w:basedOn w:val="904"/>
  </w:style>
  <w:style w:type="character" w:styleId="937">
    <w:name w:val="Hyperlink"/>
    <w:basedOn w:val="904"/>
    <w:uiPriority w:val="99"/>
    <w:semiHidden/>
    <w:unhideWhenUsed/>
    <w:rPr>
      <w:strike w:val="0"/>
      <w:color w:val="0075c5"/>
      <w:u w:val="none"/>
    </w:rPr>
  </w:style>
  <w:style w:type="paragraph" w:styleId="938" w:customStyle="1">
    <w:name w:val="Основной текст"/>
    <w:next w:val="783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2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939" w:customStyle="1">
    <w:name w:val="Интернет-ссылка"/>
    <w:next w:val="752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 Шамильевна Монько</dc:creator>
  <cp:revision>8</cp:revision>
  <dcterms:created xsi:type="dcterms:W3CDTF">2021-03-22T11:01:00Z</dcterms:created>
  <dcterms:modified xsi:type="dcterms:W3CDTF">2026-05-25T07:08:51Z</dcterms:modified>
</cp:coreProperties>
</file>