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suppressAutoHyphens w:val="true"/>
        <w:jc w:val="center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Трубка эндотрахеальная стандартная, одноразового использования</w:t>
      </w:r>
    </w:p>
    <w:tbl>
      <w:tblPr>
        <w:tblW w:w="14909" w:type="dxa"/>
        <w:jc w:val="left"/>
        <w:tblInd w:w="-8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40"/>
        <w:gridCol w:w="13468"/>
      </w:tblGrid>
      <w:tr>
        <w:trPr>
          <w:trHeight w:val="57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>
        <w:trPr>
          <w:trHeight w:val="115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Иной метод: На основании ч. 12, 22 ст. 22 Федерального закона от 05.04.2013 №44-ФЗ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ascii="PT Astra Serif" w:hAnsi="PT Astra Serif"/>
                <w:bCs/>
                <w:sz w:val="20"/>
                <w:szCs w:val="20"/>
                <w:lang w:eastAsia="en-US"/>
              </w:rPr>
              <w:t>В  соответствии с Приказом Министерства здравоохранения РФ от 15 мая 2020 г. N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450н));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</w:t>
            </w:r>
          </w:p>
        </w:tc>
      </w:tr>
      <w:tr>
        <w:trPr>
          <w:trHeight w:val="8895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 Расчет цены единицы планируемого к закупке медицинского изделия, рассчитан посредством применения метода, указанного в подпункте а) пункта 9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 (далее - Порядок), утвержденного Приказом № 450н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(Метод сопоставимых рыночных цен)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формирования НМЦК Заказчиком были получены цены товара, от различных поставщиков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themeColor="text1" w:val="000000"/>
                <w:sz w:val="20"/>
                <w:szCs w:val="20"/>
                <w:u w:val="none"/>
                <w:shd w:fill="FFFFFF" w:val="clear"/>
              </w:rPr>
              <w:t>1)</w:t>
            </w: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Поставщик №1 коммерческое предложение вх. №.844 от 31.07.2026;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2)Поставщик №2 коммерческое предложение вх. №.845 от 03.08.2026;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3)Поставщик №3 коммерческое предложение вх. №.852/1 от 03.08.2026.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u w:val="none"/>
              </w:rPr>
            </w:pPr>
            <w:r>
              <w:rPr>
                <w:u w:val="non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Применение корректирующих коэффициентов не требуется. Коэффициент вариации &lt; 33% - совокупность цен принимается однородной.</w:t>
            </w:r>
          </w:p>
          <w:tbl>
            <w:tblPr>
              <w:tblW w:w="13101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85"/>
              <w:gridCol w:w="2337"/>
              <w:gridCol w:w="546"/>
              <w:gridCol w:w="722"/>
              <w:gridCol w:w="1390"/>
              <w:gridCol w:w="1402"/>
              <w:gridCol w:w="1378"/>
              <w:gridCol w:w="1361"/>
              <w:gridCol w:w="782"/>
              <w:gridCol w:w="1357"/>
              <w:gridCol w:w="1439"/>
            </w:tblGrid>
            <w:tr>
              <w:trPr>
                <w:trHeight w:val="283" w:hRule="atLeast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33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4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390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1</w:t>
                  </w:r>
                </w:p>
              </w:tc>
              <w:tc>
                <w:tcPr>
                  <w:tcW w:w="1402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2</w:t>
                  </w:r>
                </w:p>
              </w:tc>
              <w:tc>
                <w:tcPr>
                  <w:tcW w:w="1378" w:type="dxa"/>
                  <w:tcBorders>
                    <w:top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Поставщик 3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Средняя цена ед., руб. (без учета НДС)</w:t>
                  </w:r>
                </w:p>
              </w:tc>
              <w:tc>
                <w:tcPr>
                  <w:tcW w:w="7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Коэф-т вариации, %</w:t>
                  </w:r>
                </w:p>
              </w:tc>
              <w:tc>
                <w:tcPr>
                  <w:tcW w:w="135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средней цене, руб. (без учета НДС)</w:t>
                  </w:r>
                </w:p>
              </w:tc>
              <w:tc>
                <w:tcPr>
                  <w:tcW w:w="143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  <w:t>НМЦК по минимальной цене, руб. (без учета НДС)</w:t>
                  </w:r>
                </w:p>
              </w:tc>
            </w:tr>
            <w:tr>
              <w:trPr>
                <w:trHeight w:val="279" w:hRule="atLeast"/>
              </w:trPr>
              <w:tc>
                <w:tcPr>
                  <w:tcW w:w="385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2337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546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2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4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7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Цена за ед, руб. (без учета НДС)</w:t>
                  </w:r>
                </w:p>
              </w:tc>
              <w:tc>
                <w:tcPr>
                  <w:tcW w:w="1361" w:type="dxa"/>
                  <w:vMerge w:val="continue"/>
                  <w:tcBorders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782" w:type="dxa"/>
                  <w:vMerge w:val="continue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357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W w:w="1439" w:type="dxa"/>
                  <w:vMerge w:val="continue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7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0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0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78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61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82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12</w:t>
                  </w:r>
                </w:p>
              </w:tc>
            </w:tr>
            <w:tr>
              <w:trPr>
                <w:trHeight w:val="207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60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166,67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3,46</w:t>
                  </w:r>
                </w:p>
              </w:tc>
              <w:tc>
                <w:tcPr>
                  <w:tcW w:w="1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10 000,</w:t>
                  </w:r>
                  <w:r>
                    <w:rPr>
                      <w:sz w:val="20"/>
                      <w:szCs w:val="20"/>
                      <w:lang w:val="ru-RU"/>
                    </w:rPr>
                    <w:t>20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9 600,00</w:t>
                  </w:r>
                </w:p>
              </w:tc>
            </w:tr>
            <w:tr>
              <w:trPr>
                <w:trHeight w:val="861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shd w:fill="FFFFFF" w:val="clear"/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180</w:t>
                  </w:r>
                </w:p>
              </w:tc>
              <w:tc>
                <w:tcPr>
                  <w:tcW w:w="1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166,67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3,46</w:t>
                  </w:r>
                </w:p>
              </w:tc>
              <w:tc>
                <w:tcPr>
                  <w:tcW w:w="1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30 000,60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28 800,00</w:t>
                  </w:r>
                </w:p>
              </w:tc>
            </w:tr>
            <w:tr>
              <w:trPr>
                <w:trHeight w:val="179" w:hRule="atLeast"/>
              </w:trPr>
              <w:tc>
                <w:tcPr>
                  <w:tcW w:w="3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546" w:type="dxa"/>
                  <w:tcBorders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шт</w:t>
                  </w:r>
                </w:p>
              </w:tc>
              <w:tc>
                <w:tcPr>
                  <w:tcW w:w="7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50</w:t>
                  </w:r>
                </w:p>
              </w:tc>
              <w:tc>
                <w:tcPr>
                  <w:tcW w:w="13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402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78" w:type="dxa"/>
                  <w:tcBorders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170,00</w:t>
                  </w:r>
                </w:p>
              </w:tc>
              <w:tc>
                <w:tcPr>
                  <w:tcW w:w="136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166,67</w:t>
                  </w:r>
                </w:p>
              </w:tc>
              <w:tc>
                <w:tcPr>
                  <w:tcW w:w="78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3,46</w:t>
                  </w:r>
                </w:p>
              </w:tc>
              <w:tc>
                <w:tcPr>
                  <w:tcW w:w="1357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8 333,50</w:t>
                  </w:r>
                </w:p>
              </w:tc>
              <w:tc>
                <w:tcPr>
                  <w:tcW w:w="143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8 000,00</w:t>
                  </w:r>
                </w:p>
              </w:tc>
            </w:tr>
            <w:tr>
              <w:trPr>
                <w:trHeight w:val="321" w:hRule="atLeast"/>
              </w:trPr>
              <w:tc>
                <w:tcPr>
                  <w:tcW w:w="10303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Style25"/>
                    <w:rPr/>
                  </w:pPr>
                  <w:r>
                    <w:rPr/>
                    <w:t>итого</w:t>
                  </w:r>
                </w:p>
              </w:tc>
              <w:tc>
                <w:tcPr>
                  <w:tcW w:w="1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4"/>
                    <w:ind w:hanging="0" w:left="0" w:righ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48 334,30</w:t>
                  </w:r>
                </w:p>
              </w:tc>
              <w:tc>
                <w:tcPr>
                  <w:tcW w:w="1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46 400,00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2. Расчет начальной (максимальной) цены контракта НМЦК определяется по формуле: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2219325" cy="581025"/>
                  <wp:effectExtent l="0" t="0" r="0" b="0"/>
                  <wp:docPr id="1" name="Рисунок 2" descr="http://base.garant.ru/files/base/74530562/26940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http://base.garant.ru/files/base/74530562/2694018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20"/>
                <w:szCs w:val="20"/>
              </w:rPr>
              <w:t>,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>
            <w:pPr>
              <w:pStyle w:val="Normal"/>
              <w:widowControl w:val="false"/>
              <w:ind w:firstLine="54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n - количество позиций закупаемых медицинских изделий;</w:t>
            </w:r>
          </w:p>
          <w:p>
            <w:pPr>
              <w:pStyle w:val="Normal"/>
              <w:widowControl w:val="false"/>
              <w:ind w:left="5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</w:t>
            </w:r>
            <w:r>
              <w:rPr>
                <w:rFonts w:ascii="PT Astra Serif" w:hAnsi="PT Astra Serif"/>
                <w:sz w:val="20"/>
                <w:szCs w:val="20"/>
              </w:rPr>
              <w:t>НЦЕi - начальная цена единицы i-й позиции медицинского изделия;</w:t>
            </w:r>
          </w:p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НДС - налог на добавленную стоимость (на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НДС); </w:t>
              <w:br/>
              <w:t xml:space="preserve">          Vi- количество (объем) i-й позиции закупаемого медицинского изделия</w:t>
            </w:r>
          </w:p>
          <w:tbl>
            <w:tblPr>
              <w:tblW w:w="13005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700"/>
              <w:gridCol w:w="4309"/>
              <w:gridCol w:w="916"/>
              <w:gridCol w:w="794"/>
              <w:gridCol w:w="1653"/>
              <w:gridCol w:w="1198"/>
              <w:gridCol w:w="1540"/>
              <w:gridCol w:w="1893"/>
            </w:tblGrid>
            <w:tr>
              <w:trPr>
                <w:trHeight w:val="543" w:hRule="atLeast"/>
              </w:trPr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№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430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1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both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6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НЦЕ без учета НДС, руб.</w:t>
                  </w:r>
                </w:p>
              </w:tc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НДС</w:t>
                  </w:r>
                </w:p>
              </w:tc>
              <w:tc>
                <w:tcPr>
                  <w:tcW w:w="1540" w:type="dxa"/>
                  <w:tcBorders>
                    <w:top w:val="single" w:sz="8" w:space="0" w:color="000000"/>
                    <w:bottom w:val="single" w:sz="8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НЦЕ сниж. </w:t>
                  </w: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</w:p>
              </w:tc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Times New Roman" w:hAnsi="Times New Roman"/>
                      <w:sz w:val="18"/>
                      <w:szCs w:val="18"/>
                    </w:rPr>
                    <w:t>п. 18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Приказа МЗ РФ</w:t>
                  </w:r>
                </w:p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от 15.05.2020г.</w:t>
                  </w:r>
                </w:p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sz w:val="18"/>
                      <w:szCs w:val="18"/>
                    </w:rPr>
                    <w:t>№</w:t>
                  </w:r>
                  <w:r>
                    <w:rPr>
                      <w:sz w:val="18"/>
                      <w:szCs w:val="18"/>
                    </w:rPr>
                    <w:t>450н</w:t>
                  </w:r>
                  <w:r>
                    <w:rPr>
                      <w:bCs/>
                      <w:sz w:val="18"/>
                      <w:szCs w:val="18"/>
                    </w:rPr>
                    <w:t>, руб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cs="Calibri"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09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bCs/>
                      <w:color w:val="000000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916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шт</w:t>
                  </w:r>
                </w:p>
              </w:tc>
              <w:tc>
                <w:tcPr>
                  <w:tcW w:w="794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89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9 600,00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09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916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sz w:val="20"/>
                      <w:szCs w:val="20"/>
                      <w:shd w:fill="FFFFFF" w:val="clear"/>
                      <w:lang w:val="ru-RU"/>
                    </w:rPr>
                    <w:t>шт</w:t>
                  </w:r>
                </w:p>
              </w:tc>
              <w:tc>
                <w:tcPr>
                  <w:tcW w:w="794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180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89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28 800,00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70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09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uppressAutoHyphens w:val="false"/>
                    <w:snapToGrid w:val="false"/>
                    <w:spacing w:before="0" w:after="200"/>
                    <w:jc w:val="left"/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  <w:lang w:eastAsia="en-US"/>
                    </w:rPr>
                    <w:t>Трубка эндотрахеальная стандартная, одноразового использования</w:t>
                  </w:r>
                </w:p>
              </w:tc>
              <w:tc>
                <w:tcPr>
                  <w:tcW w:w="916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шт</w:t>
                  </w:r>
                </w:p>
              </w:tc>
              <w:tc>
                <w:tcPr>
                  <w:tcW w:w="794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50</w:t>
                  </w:r>
                </w:p>
              </w:tc>
              <w:tc>
                <w:tcPr>
                  <w:tcW w:w="1653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198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160,00</w:t>
                  </w:r>
                </w:p>
              </w:tc>
              <w:tc>
                <w:tcPr>
                  <w:tcW w:w="189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8 000,00</w:t>
                  </w:r>
                </w:p>
              </w:tc>
            </w:tr>
            <w:tr>
              <w:trPr>
                <w:trHeight w:val="367" w:hRule="atLeast"/>
              </w:trPr>
              <w:tc>
                <w:tcPr>
                  <w:tcW w:w="1111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46 400,00</w:t>
                  </w:r>
                </w:p>
              </w:tc>
            </w:tr>
          </w:tbl>
          <w:p>
            <w:pPr>
              <w:pStyle w:val="Normal"/>
              <w:widowControl w:val="false"/>
              <w:ind w:hanging="0" w:left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uppressAutoHyphens w:val="tru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соответствии с п. 18 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изделий.</w:t>
            </w:r>
          </w:p>
          <w:p>
            <w:pPr>
              <w:pStyle w:val="Normal"/>
              <w:widowControl w:val="false"/>
              <w:jc w:val="both"/>
              <w:rPr>
                <w:bCs/>
                <w:color w:themeColor="text1" w:val="000000"/>
                <w:sz w:val="20"/>
                <w:szCs w:val="20"/>
              </w:rPr>
            </w:pPr>
            <w:r>
              <w:rPr>
                <w:bCs/>
                <w:color w:themeColor="text1" w:val="000000"/>
                <w:sz w:val="20"/>
                <w:szCs w:val="20"/>
              </w:rPr>
              <w:t xml:space="preserve">НМЦК составляет </w:t>
            </w:r>
            <w:r>
              <w:rPr>
                <w:b/>
                <w:bCs/>
                <w:color w:themeColor="text1" w:val="000000"/>
                <w:sz w:val="20"/>
                <w:szCs w:val="20"/>
              </w:rPr>
              <w:t>46 400,00</w:t>
            </w:r>
            <w:r>
              <w:rPr>
                <w:b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rFonts w:eastAsia="PT Astra Serif" w:ascii="PT Astra Serif" w:hAnsi="PT Astra Serif"/>
                <w:b/>
                <w:bCs/>
                <w:color w:themeColor="text1" w:val="000000"/>
                <w:sz w:val="20"/>
                <w:szCs w:val="20"/>
              </w:rPr>
              <w:t>руб.</w:t>
            </w:r>
          </w:p>
          <w:p>
            <w:pPr>
              <w:pStyle w:val="Normal"/>
              <w:widowControl w:val="false"/>
              <w:jc w:val="both"/>
              <w:rPr>
                <w:bCs/>
                <w:color w:themeColor="text1" w:val="000000"/>
                <w:sz w:val="20"/>
                <w:szCs w:val="20"/>
              </w:rPr>
            </w:pPr>
            <w:r>
              <w:rPr>
                <w:rFonts w:eastAsia="PT Astra Serif" w:ascii="PT Astra Serif" w:hAnsi="PT Astra Serif"/>
                <w:b/>
                <w:bCs/>
                <w:color w:themeColor="text1"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1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rFonts w:ascii="PT Astra Serif" w:hAnsi="PT Astra Serif"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0"/>
                <w:szCs w:val="20"/>
                <w:lang w:eastAsia="en-US"/>
              </w:rPr>
              <w:t>Дата подготовки обоснования:</w:t>
            </w:r>
          </w:p>
        </w:tc>
        <w:tc>
          <w:tcPr>
            <w:tcW w:w="1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rFonts w:ascii="PT Astra Serif" w:hAnsi="PT Astra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11</w:t>
            </w:r>
            <w:r>
              <w:rPr>
                <w:rFonts w:eastAsia="Calibri" w:ascii="PT Astra Serif" w:hAnsi="PT Astra Serif"/>
                <w:sz w:val="20"/>
                <w:szCs w:val="20"/>
                <w:lang w:val="en-US" w:eastAsia="en-US"/>
              </w:rPr>
              <w:t>.08.2026г</w:t>
            </w:r>
            <w:r>
              <w:rPr>
                <w:rFonts w:eastAsia="Calibri" w:ascii="PT Astra Serif" w:hAnsi="PT Astra Serif"/>
                <w:sz w:val="20"/>
                <w:szCs w:val="20"/>
                <w:lang w:eastAsia="en-US"/>
              </w:rPr>
              <w:t>.</w:t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20"/>
          <w:szCs w:val="22"/>
        </w:rPr>
      </w:r>
    </w:p>
    <w:tbl>
      <w:tblPr>
        <w:tblW w:w="1593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69"/>
        <w:gridCol w:w="2608"/>
        <w:gridCol w:w="481"/>
        <w:gridCol w:w="10972"/>
      </w:tblGrid>
      <w:tr>
        <w:trPr/>
        <w:tc>
          <w:tcPr>
            <w:tcW w:w="4959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Руководитель контрактной службы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Зам. гл. врача по финансово-экономическим вопросам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17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  <w:tc>
          <w:tcPr>
            <w:tcW w:w="16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Зюнова М.В.</w:t>
            </w:r>
          </w:p>
        </w:tc>
        <w:tc>
          <w:tcPr>
            <w:tcW w:w="4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4959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(подпись/ расшифровка подписи)</w:t>
            </w:r>
          </w:p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10972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rFonts w:ascii="PT Astra Serif" w:hAnsi="PT Astra Serif"/>
          <w:bCs/>
          <w:color w:val="000000"/>
          <w:sz w:val="20"/>
          <w:szCs w:val="22"/>
        </w:rPr>
      </w:pPr>
      <w:r>
        <w:rPr>
          <w:rFonts w:ascii="PT Astra Serif" w:hAnsi="PT Astra Serif"/>
          <w:bCs/>
          <w:color w:val="000000"/>
          <w:sz w:val="16"/>
          <w:szCs w:val="22"/>
          <w:u w:val="single"/>
        </w:rPr>
        <w:t>Кушнаренко С.С. (8422) 48 61 23___________</w:t>
      </w:r>
    </w:p>
    <w:p>
      <w:pPr>
        <w:pStyle w:val="Normal"/>
        <w:widowControl w:val="false"/>
        <w:rPr>
          <w:rFonts w:ascii="PT Astra Serif" w:hAnsi="PT Astra Serif"/>
          <w:sz w:val="16"/>
          <w:szCs w:val="16"/>
          <w:u w:val="single"/>
        </w:rPr>
      </w:pPr>
      <w:r>
        <w:rPr>
          <w:rFonts w:ascii="PT Astra Serif" w:hAnsi="PT Astra Serif"/>
          <w:bCs/>
          <w:color w:val="000000"/>
          <w:sz w:val="16"/>
          <w:szCs w:val="22"/>
        </w:rPr>
        <w:t>(Ф.И.О. исполнителя/ контактный телефон)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Arial Unicode MS"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74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5460a8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ze60" w:customStyle="1">
    <w:name w:val="size60"/>
    <w:basedOn w:val="DefaultParagraphFont"/>
    <w:qFormat/>
    <w:rsid w:val="0001788f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7720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qFormat/>
    <w:rsid w:val="0045587f"/>
    <w:rPr>
      <w:rFonts w:ascii="Times New Roman" w:hAnsi="Times New Roman" w:eastAsia="Times New Roman" w:cs="Times New Roman"/>
      <w:sz w:val="24"/>
      <w:szCs w:val="20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20b1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95613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">
    <w:name w:val="Символ сноски (user)"/>
    <w:uiPriority w:val="99"/>
    <w:semiHidden/>
    <w:unhideWhenUsed/>
    <w:qFormat/>
    <w:rsid w:val="0095613b"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50a93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5460a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9" w:customStyle="1">
    <w:name w:val="Без интервала Знак"/>
    <w:link w:val="NoSpacing"/>
    <w:uiPriority w:val="1"/>
    <w:qFormat/>
    <w:rsid w:val="00345e94"/>
    <w:rPr/>
  </w:style>
  <w:style w:type="character" w:styleId="ng-star-inserted">
    <w:name w:val="ng-star-inserted"/>
    <w:qFormat/>
    <w:rPr/>
  </w:style>
  <w:style w:type="character" w:styleId="Style20">
    <w:name w:val="Обычный (веб) Знак"/>
    <w:qFormat/>
    <w:rPr>
      <w:sz w:val="24"/>
      <w:szCs w:val="24"/>
    </w:rPr>
  </w:style>
  <w:style w:type="character" w:styleId="2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blk1">
    <w:name w:val="blk1"/>
    <w:qFormat/>
    <w:rPr>
      <w:vanish w:val="false"/>
    </w:rPr>
  </w:style>
  <w:style w:type="character" w:styleId="ConsPlusNormal">
    <w:name w:val="ConsPlusNormal Знак"/>
    <w:qFormat/>
    <w:rPr>
      <w:rFonts w:eastAsia="Calibri"/>
      <w:b/>
      <w:bCs/>
      <w:lang w:bidi="ar-SA"/>
    </w:rPr>
  </w:style>
  <w:style w:type="character" w:styleId="apple-converted-space">
    <w:name w:val="apple-converted-space"/>
    <w:qFormat/>
    <w:rPr/>
  </w:style>
  <w:style w:type="character" w:styleId="11">
    <w:name w:val="Основной шрифт абзаца1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sz w:val="24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WW8Num2z0">
    <w:name w:val="WW8Num2z0"/>
    <w:qFormat/>
    <w:rPr/>
  </w:style>
  <w:style w:type="character" w:styleId="Style21">
    <w:name w:val="Основной шрифт абзаца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rsid w:val="0045587f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ConsPlusNormal1" w:customStyle="1">
    <w:name w:val="ConsPlusNormal"/>
    <w:qFormat/>
    <w:rsid w:val="002d7d1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7720e"/>
    <w:pPr/>
    <w:rPr>
      <w:rFonts w:ascii="Tahoma" w:hAnsi="Tahoma" w:cs="Tahoma"/>
      <w:sz w:val="16"/>
      <w:szCs w:val="16"/>
    </w:rPr>
  </w:style>
  <w:style w:type="paragraph" w:styleId="3" w:customStyle="1">
    <w:name w:val="Стиль3 Знак Знак"/>
    <w:basedOn w:val="Normal"/>
    <w:qFormat/>
    <w:rsid w:val="00031f1b"/>
    <w:pPr>
      <w:widowControl w:val="false"/>
      <w:tabs>
        <w:tab w:val="clear" w:pos="708"/>
        <w:tab w:val="left" w:pos="2160" w:leader="none"/>
      </w:tabs>
      <w:ind w:hanging="360" w:left="2160"/>
      <w:jc w:val="both"/>
    </w:pPr>
    <w:rPr>
      <w:szCs w:val="20"/>
    </w:rPr>
  </w:style>
  <w:style w:type="paragraph" w:styleId="NormalWeb">
    <w:name w:val="Normal (Web)"/>
    <w:basedOn w:val="Normal"/>
    <w:qFormat/>
    <w:rsid w:val="0045587f"/>
    <w:pPr>
      <w:suppressAutoHyphens w:val="true"/>
      <w:spacing w:before="100" w:after="100"/>
    </w:pPr>
    <w:rPr>
      <w:rFonts w:ascii="Arial Unicode MS" w:hAnsi="Arial Unicode MS" w:eastAsia="Arial Unicode MS" w:cs="Arial Unicode MS"/>
      <w:lang w:eastAsia="ar-SA"/>
    </w:rPr>
  </w:style>
  <w:style w:type="paragraph" w:styleId="ListParagraph">
    <w:name w:val="List Paragraph"/>
    <w:basedOn w:val="Normal"/>
    <w:uiPriority w:val="34"/>
    <w:qFormat/>
    <w:rsid w:val="009144c1"/>
    <w:pPr>
      <w:spacing w:before="0" w:after="0"/>
      <w:ind w:left="720"/>
      <w:contextualSpacing/>
    </w:pPr>
    <w:rPr/>
  </w:style>
  <w:style w:type="paragraph" w:styleId="user3">
    <w:name w:val="Колонтитулы (user)"/>
    <w:basedOn w:val="Normal"/>
    <w:qFormat/>
    <w:pPr/>
    <w:rPr/>
  </w:style>
  <w:style w:type="paragraph" w:styleId="Style24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320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semiHidden/>
    <w:unhideWhenUsed/>
    <w:rsid w:val="0095613b"/>
    <w:pPr/>
    <w:rPr>
      <w:sz w:val="20"/>
      <w:szCs w:val="20"/>
    </w:rPr>
  </w:style>
  <w:style w:type="paragraph" w:styleId="Default" w:customStyle="1">
    <w:name w:val="Default"/>
    <w:uiPriority w:val="99"/>
    <w:qFormat/>
    <w:rsid w:val="00224ff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2" w:customStyle="1">
    <w:name w:val="Обычный1"/>
    <w:qFormat/>
    <w:rsid w:val="004808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link w:val="Style19"/>
    <w:uiPriority w:val="1"/>
    <w:qFormat/>
    <w:rsid w:val="00345e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7d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94326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56473-3714-4DE2-AA5C-D1B5F23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Application>LibreOffice/25.2.7.2$Windows_X86_64 LibreOffice_project/5cbfd1ab6520636bb5f7b99185aa69bd7456825d</Application>
  <AppVersion>15.0000</AppVersion>
  <Pages>3</Pages>
  <Words>600</Words>
  <Characters>3777</Characters>
  <CharactersWithSpaces>4267</CharactersWithSpaces>
  <Paragraphs>143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2025-07-31T07:56:00Z</dcterms:created>
  <dc:creator>USER</dc:creator>
  <dc:description/>
  <dc:language>ru-RU</dc:language>
  <cp:lastModifiedBy/>
  <cp:lastPrinted>2026-06-26T13:05:14Z</cp:lastPrinted>
  <dcterms:modified xsi:type="dcterms:W3CDTF">2026-08-11T13:19:16Z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