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Проект контракта</w:t>
      </w:r>
    </w:p>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Контракт ____</w:t>
      </w:r>
    </w:p>
    <w:p>
      <w:pPr>
        <w:pStyle w:val="12"/>
        <w:spacing w:lineRule="auto" w:line="240"/>
        <w:jc w:val="center"/>
        <w:rPr>
          <w:rFonts w:ascii="PT Astra Serif" w:hAnsi="PT Astra Serif" w:cs="PT Astra Serif"/>
          <w:sz w:val="18"/>
          <w:szCs w:val="18"/>
        </w:rPr>
      </w:pPr>
      <w:r>
        <w:rPr>
          <w:rFonts w:eastAsia="PT Astra Serif" w:cs="PT Astra Serif" w:ascii="PT Astra Serif" w:hAnsi="PT Astra Serif"/>
          <w:b/>
          <w:bCs/>
          <w:sz w:val="18"/>
          <w:szCs w:val="18"/>
        </w:rPr>
        <w:t xml:space="preserve">        </w:t>
      </w:r>
    </w:p>
    <w:p>
      <w:pPr>
        <w:pStyle w:val="12"/>
        <w:spacing w:lineRule="auto" w:line="240"/>
        <w:jc w:val="center"/>
        <w:rPr>
          <w:rFonts w:ascii="PT Astra Serif" w:hAnsi="PT Astra Serif" w:cs="PT Astra Serif"/>
          <w:b/>
          <w:sz w:val="18"/>
          <w:szCs w:val="18"/>
        </w:rPr>
      </w:pPr>
      <w:r>
        <w:rPr>
          <w:rFonts w:cs="PT Astra Serif" w:ascii="PT Astra Serif" w:hAnsi="PT Astra Serif"/>
          <w:sz w:val="18"/>
          <w:szCs w:val="18"/>
        </w:rPr>
        <w:t>г. Ульяновск                                                                                                                                                                    «____» ________ 2026 г.</w:t>
      </w:r>
    </w:p>
    <w:p>
      <w:pPr>
        <w:pStyle w:val="12"/>
        <w:spacing w:lineRule="auto" w:line="240"/>
        <w:jc w:val="both"/>
        <w:rPr>
          <w:rFonts w:ascii="PT Astra Serif" w:hAnsi="PT Astra Serif" w:cs="PT Astra Serif"/>
          <w:b/>
          <w:sz w:val="18"/>
          <w:szCs w:val="18"/>
        </w:rPr>
      </w:pPr>
      <w:r>
        <w:rPr>
          <w:rFonts w:cs="PT Astra Serif" w:ascii="PT Astra Serif" w:hAnsi="PT Astra Serif"/>
          <w:b/>
          <w:sz w:val="18"/>
          <w:szCs w:val="18"/>
        </w:rPr>
      </w:r>
    </w:p>
    <w:p>
      <w:pPr>
        <w:pStyle w:val="12"/>
        <w:ind w:firstLine="851" w:right="0"/>
        <w:jc w:val="both"/>
        <w:rPr>
          <w:rFonts w:ascii="PT Astra Serif" w:hAnsi="PT Astra Serif" w:cs="PT Astra Serif"/>
          <w:color w:val="000000"/>
          <w:sz w:val="18"/>
          <w:szCs w:val="18"/>
        </w:rPr>
      </w:pPr>
      <w:r>
        <w:rPr>
          <w:rFonts w:cs="PT Astra Serif" w:ascii="PT Astra Serif" w:hAnsi="PT Astra Serif"/>
          <w:b/>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w:t>
      </w:r>
      <w:r>
        <w:rPr>
          <w:rFonts w:cs="PT Astra Serif" w:ascii="PT Astra Serif" w:hAnsi="PT Astra Serif"/>
          <w:sz w:val="18"/>
          <w:szCs w:val="18"/>
        </w:rPr>
        <w:t xml:space="preserve"> (далее по тексту - </w:t>
      </w:r>
      <w:r>
        <w:rPr>
          <w:rFonts w:cs="PT Astra Serif" w:ascii="PT Astra Serif" w:hAnsi="PT Astra Serif"/>
          <w:sz w:val="18"/>
          <w:szCs w:val="18"/>
          <w:lang w:eastAsia="ru-RU"/>
        </w:rPr>
        <w:t>ГУЗ ЦКМСЧ им. В.А.Егорова</w:t>
      </w:r>
      <w:r>
        <w:rPr>
          <w:rFonts w:cs="PT Astra Serif" w:ascii="PT Astra Serif" w:hAnsi="PT Astra Serif"/>
          <w:sz w:val="18"/>
          <w:szCs w:val="18"/>
        </w:rPr>
        <w:t xml:space="preserve">), далее именуемое «Заказчик», в лице заместителя главного врача по финансово-экономическим вопросам Зюновой Марины Васильевны, действующего на основании МЧД №010125010000594181 от 28.01.25г, с одной стороны и </w:t>
      </w:r>
      <w:r>
        <w:rPr>
          <w:rFonts w:cs="PT Astra Serif" w:ascii="PT Astra Serif" w:hAnsi="PT Astra Serif"/>
          <w:b/>
          <w:sz w:val="18"/>
          <w:szCs w:val="18"/>
        </w:rPr>
        <w:t xml:space="preserve">_____,  </w:t>
      </w:r>
      <w:r>
        <w:rPr>
          <w:rFonts w:cs="PT Astra Serif" w:ascii="PT Astra Serif" w:hAnsi="PT Astra Serif"/>
          <w:sz w:val="18"/>
          <w:szCs w:val="18"/>
        </w:rPr>
        <w:t xml:space="preserve">именуемое в дальнейшем «Поставщик», в лице _______________, действующего на основании Устава, с другой стороны, именуемые по тексту контракта каждая по отдельности – «Сторона», а совместно – «Стороны», </w:t>
      </w:r>
      <w:r>
        <w:rPr>
          <w:rFonts w:cs="PT Astra Serif" w:ascii="PT Astra Serif" w:hAnsi="PT Astra Serif"/>
          <w:color w:val="000000"/>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12"/>
        <w:ind w:firstLine="851" w:right="0"/>
        <w:jc w:val="both"/>
        <w:rPr>
          <w:rFonts w:ascii="PT Astra Serif" w:hAnsi="PT Astra Serif" w:cs="PT Astra Serif"/>
          <w:color w:val="000000"/>
          <w:sz w:val="18"/>
          <w:szCs w:val="18"/>
        </w:rPr>
      </w:pPr>
      <w:r>
        <w:rPr>
          <w:rFonts w:cs="PT Astra Serif" w:ascii="PT Astra Serif" w:hAnsi="PT Astra Serif"/>
          <w:color w:val="000000"/>
          <w:sz w:val="18"/>
          <w:szCs w:val="18"/>
        </w:rPr>
      </w:r>
    </w:p>
    <w:p>
      <w:pPr>
        <w:pStyle w:val="12"/>
        <w:numPr>
          <w:ilvl w:val="0"/>
          <w:numId w:val="3"/>
        </w:numPr>
        <w:spacing w:lineRule="auto" w:line="240"/>
        <w:jc w:val="center"/>
        <w:rPr>
          <w:rFonts w:ascii="PT Astra Serif" w:hAnsi="PT Astra Serif" w:cs="PT Astra Serif"/>
          <w:sz w:val="18"/>
          <w:szCs w:val="18"/>
        </w:rPr>
      </w:pPr>
      <w:r>
        <w:rPr>
          <w:rFonts w:cs="PT Astra Serif" w:ascii="PT Astra Serif" w:hAnsi="PT Astra Serif"/>
          <w:b/>
          <w:sz w:val="18"/>
          <w:szCs w:val="18"/>
        </w:rPr>
        <w:t>ПРЕДМЕТ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Pr>
          <w:rFonts w:cs="PT Astra Serif" w:ascii="PT Astra Serif" w:hAnsi="PT Astra Serif"/>
          <w:b/>
          <w:bCs/>
          <w:color w:val="000000"/>
          <w:sz w:val="18"/>
          <w:szCs w:val="18"/>
        </w:rPr>
        <w:t>Трубка эндотрахеальная стандартная, одноразового использования</w:t>
      </w:r>
      <w:r>
        <w:rPr>
          <w:rFonts w:cs="PT Astra Serif" w:ascii="PT Astra Serif" w:hAnsi="PT Astra Serif"/>
          <w:b/>
          <w:sz w:val="20"/>
          <w:szCs w:val="18"/>
        </w:rPr>
        <w:t xml:space="preserve"> </w:t>
      </w:r>
      <w:r>
        <w:rPr>
          <w:rFonts w:cs="PT Astra Serif"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1.2. Номенклатура Товара и его количество определяются Спецификацией (приложение № 1 к Контракту).</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Pr>
          <w:rFonts w:cs="PT Astra Serif" w:ascii="PT Astra Serif" w:hAnsi="PT Astra Serif"/>
          <w:b/>
          <w:sz w:val="18"/>
          <w:szCs w:val="18"/>
        </w:rPr>
        <w:t>г. Ульяновск, ул. Лихачева, 12. (Аптека находится на 3 этаже, без лифта)</w:t>
      </w:r>
      <w:bookmarkEnd w:id="0"/>
      <w:r>
        <w:rPr>
          <w:rFonts w:cs="PT Astra Serif" w:ascii="PT Astra Serif" w:hAnsi="PT Astra Serif"/>
          <w:b/>
          <w:sz w:val="18"/>
          <w:szCs w:val="18"/>
        </w:rPr>
        <w:t xml:space="preserve"> </w:t>
      </w:r>
      <w:r>
        <w:rPr>
          <w:rFonts w:cs="PT Astra Serif" w:ascii="PT Astra Serif" w:hAnsi="PT Astra Serif"/>
          <w:sz w:val="18"/>
          <w:szCs w:val="18"/>
        </w:rPr>
        <w:t>(далее - Место доставки), своими силами и за свой счёт.</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2. ПРАВА И ОБЯЗАННОСТИ СТОРОН.</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 Обязанности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2.1.2. Поставить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2.1.3. Передать Заказчику документы на товар, предусмотренные пунктами 5.3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 Права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 Обязанности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2.3.2. Оформить пропуск на проезд на территорию Заказчика транспорта поставщика.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2.3.3. Оплатить поставленный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 Права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2.4.2. Запрашивать у Поставщика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2.4.3. Осуществлять контроль за порядком и сроками поставки товара;</w:t>
      </w:r>
    </w:p>
    <w:p>
      <w:pPr>
        <w:pStyle w:val="12"/>
        <w:spacing w:lineRule="auto" w:line="24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3. ЦЕНА КОНТРАКТА И ПОРЯДОК РАСЧЁТОВ.</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 xml:space="preserve">3.1. Цена контракта составляет: </w:t>
      </w:r>
      <w:r>
        <w:rPr>
          <w:rFonts w:cs="PT Astra Serif" w:ascii="PT Astra Serif" w:hAnsi="PT Astra Serif"/>
          <w:b/>
          <w:sz w:val="18"/>
          <w:szCs w:val="18"/>
        </w:rPr>
        <w:t>_______</w:t>
      </w:r>
      <w:r>
        <w:rPr>
          <w:rFonts w:cs="PT Astra Serif" w:ascii="PT Astra Serif" w:hAnsi="PT Astra Serif"/>
          <w:sz w:val="18"/>
          <w:szCs w:val="18"/>
        </w:rPr>
        <w:t xml:space="preserve"> </w:t>
      </w:r>
      <w:r>
        <w:rPr>
          <w:rFonts w:cs="PT Astra Serif" w:ascii="PT Astra Serif" w:hAnsi="PT Astra Serif"/>
          <w:b/>
          <w:sz w:val="18"/>
          <w:szCs w:val="18"/>
        </w:rPr>
        <w:t>(_________ ) рублей__  копеек, НДС__________</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3.3. Оплата за поставленный товар осуществляется заказчиком  в течение 7 рабочих дней с даты подписания Заказчиком документов о приемке товара (товарная накладная, счёт/счёт-фактура или универсальный передаточный документ).</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pPr>
        <w:pStyle w:val="12"/>
        <w:ind w:firstLine="851" w:right="0"/>
        <w:jc w:val="both"/>
        <w:rPr>
          <w:rFonts w:ascii="PT Astra Serif" w:hAnsi="PT Astra Serif" w:cs="PT Astra Serif"/>
          <w:b/>
          <w:sz w:val="18"/>
          <w:szCs w:val="18"/>
        </w:rPr>
      </w:pPr>
      <w:r>
        <w:rPr>
          <w:rFonts w:cs="PT Astra Serif" w:ascii="PT Astra Serif" w:hAnsi="PT Astra Serif"/>
          <w:sz w:val="18"/>
          <w:szCs w:val="18"/>
        </w:rPr>
        <w:t>3.6. Источник финансирования:</w:t>
      </w:r>
    </w:p>
    <w:p>
      <w:pPr>
        <w:pStyle w:val="ConsPlusNormal"/>
        <w:numPr>
          <w:ilvl w:val="0"/>
          <w:numId w:val="0"/>
        </w:numPr>
        <w:ind w:firstLine="567" w:left="0" w:right="0"/>
        <w:jc w:val="both"/>
        <w:outlineLvl w:val="1"/>
        <w:rPr>
          <w:rFonts w:ascii="PT Astra Serif" w:hAnsi="PT Astra Serif" w:cs="PT Astra Serif"/>
          <w:sz w:val="18"/>
          <w:szCs w:val="18"/>
        </w:rPr>
      </w:pPr>
      <w:r>
        <w:rPr>
          <w:rFonts w:cs="PT Astra Serif" w:ascii="PT Astra Serif" w:hAnsi="PT Astra Serif"/>
          <w:b/>
          <w:sz w:val="18"/>
          <w:szCs w:val="18"/>
        </w:rPr>
        <w:t>- Средства бюджетных учреждений (внебюджетный фонд, платные услуги) – средства ОМС на 2026 год.</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4. КАЧЕСТВО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4.5. Остаточные сроки годности поставляемых изделий медицинского назначения должны составлять на день поставки не менее 70% от общего срока годности.</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5. СРОКИ И ПОРЯДОК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5.1. Срок поставки товара: </w:t>
      </w:r>
      <w:r>
        <w:rPr>
          <w:rFonts w:cs="PT Astra Serif" w:ascii="PT Astra Serif" w:hAnsi="PT Astra Serif"/>
          <w:b/>
          <w:sz w:val="18"/>
          <w:szCs w:val="16"/>
        </w:rPr>
        <w:t>в течение 10 календарных дней c даты заключения контракта.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w:t>
      </w:r>
      <w:r>
        <w:rPr>
          <w:rFonts w:eastAsia="Times New Roman" w:cs="PT Astra Serif" w:ascii="PT Astra Serif" w:hAnsi="PT Astra Serif"/>
          <w:b/>
          <w:sz w:val="18"/>
          <w:szCs w:val="18"/>
          <w:lang w:eastAsia="ar-SA" w:bidi="ar-SA"/>
        </w:rPr>
        <w:t xml:space="preserve"> г. Ульяновск, ул. Лихачева, 12. (Аптека находится на 3 этаже, без лифта).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6. ПОРЯДОК СДАЧИ И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6.5. Право собственности на передаваемый товар переходит от Поставщика к Заказчику с даты, указанной на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6.9. Заказчик вправе, уведомив Поставщика, отказаться от принятия товара, поставка которого просрочена.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доставлен вне времени, установленного для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не оформлены или оформлены в ненадлежащей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представлены не в полном объёме;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поставлен с нарушением ассортимента, комплектности или количества;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характеристики товара не соответствуют характеристикам установленным в спецификации к настоящему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6.17. Риски случайной гибели, порчи или утраты товара лежат на Поставщике до передачи товара Заказчику.</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6.18. Факт доставки товара Заказчику подтверждается товарной накладной на соответствующую партию товара.</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cs="PT Astra Serif"/>
          <w:sz w:val="18"/>
          <w:szCs w:val="18"/>
        </w:rPr>
      </w:pPr>
      <w:r>
        <w:rPr>
          <w:rFonts w:eastAsia="Times New Roman" w:cs="PT Astra Serif" w:ascii="PT Astra Serif" w:hAnsi="PT Astra Serif"/>
          <w:b/>
          <w:sz w:val="18"/>
          <w:szCs w:val="18"/>
          <w:lang w:eastAsia="ar-SA" w:bidi="ar-SA"/>
        </w:rPr>
        <w:t>7. ОТВЕТСТВЕННОСТЬ СТОРОН.</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1000 рублей, если цена контракта не превышает 3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5000 рублей, если цена контракта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10000 рублей, если цена контракта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100000 рублей, если цена контракта превышает 100 млн.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 процентов цены контракта (этапа) в случае, если цена контракта (этапа) не превышает 3 млн. рублей;</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и) 0,1 процента цены контракта (этапа) в случае, если цена контракта (этапа) превышает 10 млрд.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right="0"/>
        <w:jc w:val="both"/>
        <w:rPr>
          <w:rFonts w:ascii="PT Astra Serif" w:hAnsi="PT Astra Serif" w:eastAsia="Times New Roman" w:cs="PT Astra Serif"/>
          <w:b/>
          <w:sz w:val="18"/>
          <w:szCs w:val="18"/>
          <w:lang w:eastAsia="ar-SA" w:bidi="ar-SA"/>
        </w:rPr>
      </w:pPr>
      <w:r>
        <w:rPr>
          <w:rFonts w:eastAsia="PT Astra Serif" w:cs="PT Astra Serif" w:ascii="PT Astra Serif" w:hAnsi="PT Astra Serif"/>
          <w:sz w:val="18"/>
          <w:szCs w:val="18"/>
        </w:rPr>
        <w:t xml:space="preserve">     </w:t>
      </w:r>
      <w:r>
        <w:rPr>
          <w:rFonts w:cs="PT Astra Serif" w:ascii="PT Astra Serif" w:hAnsi="PT Astra Serif"/>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kern w:val="0"/>
          <w:sz w:val="18"/>
          <w:szCs w:val="18"/>
          <w:lang w:eastAsia="en-US" w:bidi="en-US"/>
        </w:rPr>
      </w:pPr>
      <w:r>
        <w:rPr>
          <w:rFonts w:eastAsia="Times New Roman" w:cs="PT Astra Serif" w:ascii="PT Astra Serif" w:hAnsi="PT Astra Serif"/>
          <w:b/>
          <w:sz w:val="18"/>
          <w:szCs w:val="18"/>
          <w:lang w:eastAsia="ar-SA" w:bidi="ar-SA"/>
        </w:rPr>
        <w:t>8. ПОРЯДОК ИЗМЕНЕНИЯ И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8.4.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8.5.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8.7.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неоднократного (2 и более раз) нарушения Поставщиком сроков поставки товаров.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8.9.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 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8.11.3. В случае перемены заказчика права и обязанности заказчика, предусмотренные контрактом, переходят к новому заказчику.</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r>
    </w:p>
    <w:p>
      <w:pPr>
        <w:pStyle w:val="Normal"/>
        <w:widowControl/>
        <w:numPr>
          <w:ilvl w:val="0"/>
          <w:numId w:val="0"/>
        </w:numPr>
        <w:suppressAutoHyphens w:val="false"/>
        <w:ind w:firstLine="851" w:left="0" w:right="0"/>
        <w:jc w:val="center"/>
        <w:outlineLvl w:val="0"/>
        <w:rPr>
          <w:rFonts w:ascii="PT Astra Serif" w:hAnsi="PT Astra Serif" w:eastAsia="Calibri" w:cs="PT Astra Serif"/>
          <w:kern w:val="0"/>
          <w:sz w:val="18"/>
          <w:szCs w:val="18"/>
          <w:lang w:eastAsia="ru-RU" w:bidi="ar-SA"/>
        </w:rPr>
      </w:pPr>
      <w:r>
        <w:rPr>
          <w:rFonts w:eastAsia="Calibri" w:cs="PT Astra Serif" w:ascii="PT Astra Serif" w:hAnsi="PT Astra Serif"/>
          <w:b/>
          <w:kern w:val="0"/>
          <w:sz w:val="18"/>
          <w:szCs w:val="18"/>
          <w:lang w:eastAsia="ru-RU" w:bidi="ar-SA"/>
        </w:rPr>
        <w:t xml:space="preserve">9. </w:t>
      </w:r>
      <w:r>
        <w:rPr>
          <w:rFonts w:eastAsia="Calibri" w:cs="PT Astra Serif" w:ascii="PT Astra Serif" w:hAnsi="PT Astra Serif"/>
          <w:b/>
          <w:caps/>
          <w:kern w:val="0"/>
          <w:sz w:val="18"/>
          <w:szCs w:val="18"/>
          <w:lang w:eastAsia="ru-RU" w:bidi="ar-SA"/>
        </w:rPr>
        <w:t>Антикоррупционная оговорка.</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1" w:name="Par2"/>
      <w:bookmarkEnd w:id="1"/>
      <w:r>
        <w:rPr>
          <w:rFonts w:eastAsia="Calibri" w:cs="PT Astra Serif" w:ascii="PT Astra Serif" w:hAnsi="PT Astra Serif"/>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2" w:name="Par4"/>
      <w:bookmarkEnd w:id="2"/>
      <w:r>
        <w:rPr>
          <w:rFonts w:eastAsia="Calibri" w:cs="PT Astra Serif" w:ascii="PT Astra Serif" w:hAnsi="PT Astra Serif"/>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другой Стороной, ее аффилированными лицами, работниками или посредниками.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Сторона, получившая уведомление о нарушении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9.3. Стороны гарантируют осуществление надлежащего разбирательства по фактам нарушения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false"/>
        <w:ind w:firstLine="851" w:right="0"/>
        <w:jc w:val="both"/>
        <w:rPr>
          <w:rFonts w:ascii="PT Astra Serif" w:hAnsi="PT Astra Serif" w:cs="PT Astra Serif"/>
          <w:b/>
          <w:sz w:val="18"/>
          <w:szCs w:val="18"/>
        </w:rPr>
      </w:pPr>
      <w:r>
        <w:rPr>
          <w:rFonts w:eastAsia="Calibri" w:cs="PT Astra Serif" w:ascii="PT Astra Serif" w:hAnsi="PT Astra Serif"/>
          <w:kern w:val="0"/>
          <w:sz w:val="18"/>
          <w:szCs w:val="18"/>
          <w:lang w:eastAsia="ru-RU" w:bidi="ar-SA"/>
        </w:rPr>
        <w:t xml:space="preserve">9.4. В случае подтверждения факта нарушения одной Стороной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"Par4"</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пунктом 9.2</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pPr>
        <w:pStyle w:val="Normal"/>
        <w:widowControl/>
        <w:suppressAutoHyphens w:val="false"/>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10. ДЕЙСТВИЕ ОБСТОЯТЕЛЬСТВ НЕПРЕОДОЛИМОЙ СИЛЫ.</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11. ЗАКЛЮЧИТЕЛЬНЫЕ ПОЛОЖЕНИЯ.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11.1. 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11.3. Настоящий контракт вступает в силу с момента подписания его Сторонами и действует по 31.12.2026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11.4. Окончание срока действия Контракта не освобождает Стороны от ответственности за его нарушение.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11.7. Приложения, указанные в настоящем контракте, являются его неотъемлемой частью: </w:t>
      </w:r>
    </w:p>
    <w:p>
      <w:pPr>
        <w:pStyle w:val="Normal"/>
        <w:widowControl/>
        <w:ind w:firstLine="851" w:right="0"/>
        <w:jc w:val="both"/>
        <w:textAlignment w:val="baseline"/>
        <w:rPr>
          <w:rFonts w:ascii="PT Astra Serif" w:hAnsi="PT Astra Serif" w:cs="PT Astra Serif"/>
          <w:b/>
          <w:sz w:val="18"/>
          <w:szCs w:val="18"/>
        </w:rPr>
      </w:pPr>
      <w:r>
        <w:rPr>
          <w:rFonts w:eastAsia="Times New Roman" w:cs="PT Astra Serif" w:ascii="PT Astra Serif" w:hAnsi="PT Astra Serif"/>
          <w:sz w:val="18"/>
          <w:szCs w:val="18"/>
          <w:lang w:eastAsia="ar-SA" w:bidi="ar-SA"/>
        </w:rPr>
        <w:t>- Приложение №1 – спецификация</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12. ЮРИДИЧЕСКИЕ АДРЕСА, БАНКОВСКИЕ РЕКВИЗИТЫ</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И ПОДПИСИ СТОРОН:</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tbl>
      <w:tblPr>
        <w:tblW w:w="10136" w:type="dxa"/>
        <w:jc w:val="left"/>
        <w:tblInd w:w="0" w:type="dxa"/>
        <w:tblLayout w:type="fixed"/>
        <w:tblCellMar>
          <w:top w:w="0" w:type="dxa"/>
          <w:left w:w="108" w:type="dxa"/>
          <w:bottom w:w="0" w:type="dxa"/>
          <w:right w:w="108" w:type="dxa"/>
        </w:tblCellMar>
      </w:tblPr>
      <w:tblGrid>
        <w:gridCol w:w="5068"/>
        <w:gridCol w:w="5067"/>
      </w:tblGrid>
      <w:tr>
        <w:trPr>
          <w:trHeight w:val="6514" w:hRule="atLeast"/>
        </w:trPr>
        <w:tc>
          <w:tcPr>
            <w:tcW w:w="5068" w:type="dxa"/>
            <w:tcBorders/>
          </w:tcPr>
          <w:p>
            <w:pPr>
              <w:pStyle w:val="Normal"/>
              <w:rPr>
                <w:rFonts w:ascii="PT Astra Serif" w:hAnsi="PT Astra Serif" w:eastAsia="Times New Roman" w:cs="PT Astra Serif"/>
                <w:kern w:val="0"/>
                <w:sz w:val="18"/>
                <w:szCs w:val="18"/>
                <w:lang w:eastAsia="ru-RU" w:bidi="ar-SA"/>
              </w:rPr>
            </w:pPr>
            <w:r>
              <w:rPr>
                <w:rFonts w:cs="PT Astra Serif" w:ascii="PT Astra Serif" w:hAnsi="PT Astra Serif"/>
                <w:sz w:val="18"/>
                <w:szCs w:val="18"/>
              </w:rPr>
              <w:t>Заказчик: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432008 г.Ульяновск, ул. Лихачева,12</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Тел.:48-19-48, факс: 48-19-48</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Министерство финансов Ульяновской</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Области ГУЗ ЦКМСЧ им.В.А.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л/с 22261136В30)</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РЕКВИЗИТЫ:</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ИНН 7327025214</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КПП 732701001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ОКЦ №5 ВВГУ Банка России//</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УФК по Ульяновской области г.Ульяновск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Банковский счет 40102810645370000061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Казначейский счет 03224643730000006801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БИК 017308101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Заместитель главного врача по финансово-</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экономическим вопросам</w:t>
            </w:r>
          </w:p>
          <w:p>
            <w:pPr>
              <w:pStyle w:val="Normal"/>
              <w:shd w:val="clear" w:fill="FFFFFF"/>
              <w:suppressAutoHyphens w:val="false"/>
              <w:ind w:right="-94"/>
              <w:jc w:val="both"/>
              <w:rPr>
                <w:rFonts w:ascii="PT Astra Serif" w:hAnsi="PT Astra Serif" w:eastAsia="Times New Roman" w:cs="PT Astra Serif"/>
                <w:caps/>
                <w:kern w:val="0"/>
                <w:sz w:val="18"/>
                <w:szCs w:val="18"/>
                <w:lang w:eastAsia="ru-RU" w:bidi="ar-SA"/>
              </w:rPr>
            </w:pPr>
            <w:r>
              <w:rPr>
                <w:rFonts w:eastAsia="Times New Roman" w:cs="PT Astra Serif" w:ascii="PT Astra Serif" w:hAnsi="PT Astra Serif"/>
                <w:kern w:val="0"/>
                <w:sz w:val="18"/>
                <w:szCs w:val="18"/>
                <w:lang w:eastAsia="ru-RU" w:bidi="ar-SA"/>
              </w:rPr>
              <w:t>_____________________ /Зюнова М.В./</w:t>
            </w:r>
          </w:p>
          <w:p>
            <w:pPr>
              <w:pStyle w:val="Normal"/>
              <w:rPr>
                <w:rFonts w:ascii="PT Astra Serif" w:hAnsi="PT Astra Serif" w:cs="PT Astra Serif"/>
                <w:sz w:val="18"/>
                <w:szCs w:val="18"/>
              </w:rPr>
            </w:pPr>
            <w:r>
              <w:rPr>
                <w:rFonts w:eastAsia="Times New Roman" w:cs="PT Astra Serif" w:ascii="PT Astra Serif" w:hAnsi="PT Astra Serif"/>
                <w:caps/>
                <w:kern w:val="0"/>
                <w:sz w:val="18"/>
                <w:szCs w:val="18"/>
                <w:lang w:eastAsia="ru-RU" w:bidi="ar-SA"/>
              </w:rPr>
              <w:t>М.П.</w:t>
            </w:r>
          </w:p>
          <w:p>
            <w:pPr>
              <w:pStyle w:val="Normal"/>
              <w:rPr>
                <w:rFonts w:ascii="PT Astra Serif" w:hAnsi="PT Astra Serif" w:cs="PT Astra Serif"/>
                <w:sz w:val="18"/>
                <w:szCs w:val="18"/>
              </w:rPr>
            </w:pPr>
            <w:r>
              <w:rPr>
                <w:rFonts w:cs="PT Astra Serif" w:ascii="PT Astra Serif" w:hAnsi="PT Astra Serif"/>
                <w:sz w:val="18"/>
                <w:szCs w:val="18"/>
              </w:rPr>
            </w:r>
          </w:p>
        </w:tc>
        <w:tc>
          <w:tcPr>
            <w:tcW w:w="5067" w:type="dxa"/>
            <w:tcBorders/>
          </w:tcPr>
          <w:p>
            <w:pPr>
              <w:pStyle w:val="Normal"/>
              <w:rPr>
                <w:rFonts w:ascii="PT Astra Serif" w:hAnsi="PT Astra Serif" w:cs="PT Astra Serif"/>
                <w:sz w:val="18"/>
                <w:szCs w:val="18"/>
              </w:rPr>
            </w:pPr>
            <w:r>
              <w:rPr>
                <w:rFonts w:cs="PT Astra Serif" w:ascii="PT Astra Serif" w:hAnsi="PT Astra Serif"/>
                <w:sz w:val="18"/>
                <w:szCs w:val="18"/>
              </w:rPr>
              <w:t>Поставщик:</w:t>
            </w:r>
          </w:p>
          <w:p>
            <w:pPr>
              <w:pStyle w:val="Normal"/>
              <w:rPr>
                <w:rFonts w:ascii="PT Astra Serif" w:hAnsi="PT Astra Serif" w:cs="PT Astra Serif"/>
                <w:sz w:val="18"/>
                <w:szCs w:val="18"/>
              </w:rPr>
            </w:pPr>
            <w:r>
              <w:rPr>
                <w:rFonts w:cs="PT Astra Serif" w:ascii="PT Astra Serif" w:hAnsi="PT Astra Serif"/>
                <w:sz w:val="18"/>
                <w:szCs w:val="18"/>
              </w:rPr>
              <w:t>_</w:t>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t>___________________/ ___ /</w:t>
            </w:r>
          </w:p>
          <w:p>
            <w:pPr>
              <w:pStyle w:val="Normal"/>
              <w:rPr/>
            </w:pPr>
            <w:r>
              <w:rPr>
                <w:rFonts w:eastAsia="PT Astra Serif" w:cs="PT Astra Serif" w:ascii="PT Astra Serif" w:hAnsi="PT Astra Serif"/>
                <w:sz w:val="18"/>
                <w:szCs w:val="18"/>
              </w:rPr>
              <w:t xml:space="preserve"> </w:t>
            </w:r>
            <w:r>
              <w:rPr>
                <w:rFonts w:cs="PT Astra Serif" w:ascii="PT Astra Serif" w:hAnsi="PT Astra Serif"/>
                <w:sz w:val="18"/>
                <w:szCs w:val="18"/>
              </w:rPr>
              <w:t>М.П.</w:t>
            </w:r>
            <w:bookmarkStart w:id="3" w:name="_GoBack"/>
            <w:bookmarkEnd w:id="3"/>
          </w:p>
        </w:tc>
      </w:tr>
    </w:tbl>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sectPr>
          <w:type w:val="nextPage"/>
          <w:pgSz w:w="11906" w:h="16838"/>
          <w:pgMar w:left="1134" w:right="567" w:gutter="0" w:header="0" w:top="567" w:footer="0" w:bottom="425"/>
          <w:pgNumType w:fmt="decimal"/>
          <w:formProt w:val="false"/>
          <w:textDirection w:val="lrTb"/>
          <w:docGrid w:type="default" w:linePitch="100" w:charSpace="0"/>
        </w:sectPr>
        <w:pStyle w:val="Normal"/>
        <w:tabs>
          <w:tab w:val="clear" w:pos="709"/>
          <w:tab w:val="left" w:pos="2717" w:leader="none"/>
        </w:tabs>
        <w:rPr>
          <w:rFonts w:ascii="PT Astra Serif" w:hAnsi="PT Astra Serif" w:cs="PT Astra Serif"/>
          <w:bCs/>
          <w:sz w:val="16"/>
          <w:szCs w:val="20"/>
        </w:rPr>
      </w:pPr>
      <w:r>
        <w:rPr>
          <w:rFonts w:cs="PT Astra Serif" w:ascii="PT Astra Serif" w:hAnsi="PT Astra Serif"/>
          <w:sz w:val="18"/>
          <w:szCs w:val="18"/>
        </w:rPr>
        <w:tab/>
      </w:r>
    </w:p>
    <w:p>
      <w:pPr>
        <w:pStyle w:val="Normal"/>
        <w:jc w:val="right"/>
        <w:rPr>
          <w:rFonts w:ascii="PT Astra Serif" w:hAnsi="PT Astra Serif" w:cs="PT Astra Serif"/>
          <w:bCs/>
          <w:sz w:val="16"/>
          <w:szCs w:val="20"/>
        </w:rPr>
      </w:pPr>
      <w:r>
        <w:rPr>
          <w:rFonts w:cs="PT Astra Serif" w:ascii="PT Astra Serif" w:hAnsi="PT Astra Serif"/>
          <w:bCs/>
          <w:sz w:val="16"/>
          <w:szCs w:val="20"/>
        </w:rPr>
        <w:t>Приложение № 1</w:t>
      </w:r>
    </w:p>
    <w:p>
      <w:pPr>
        <w:pStyle w:val="Normal"/>
        <w:jc w:val="right"/>
        <w:rPr>
          <w:rFonts w:ascii="PT Astra Serif" w:hAnsi="PT Astra Serif" w:cs="PT Astra Serif"/>
          <w:bCs/>
          <w:sz w:val="16"/>
          <w:szCs w:val="20"/>
        </w:rPr>
      </w:pPr>
      <w:r>
        <w:rPr>
          <w:rFonts w:eastAsia="PT Astra Serif" w:cs="PT Astra Serif" w:ascii="PT Astra Serif" w:hAnsi="PT Astra Serif"/>
          <w:bCs/>
          <w:sz w:val="16"/>
          <w:szCs w:val="20"/>
        </w:rPr>
        <w:t xml:space="preserve">                                                                                                                                                                                  </w:t>
      </w:r>
      <w:r>
        <w:rPr>
          <w:rFonts w:cs="PT Astra Serif" w:ascii="PT Astra Serif" w:hAnsi="PT Astra Serif"/>
          <w:bCs/>
          <w:sz w:val="16"/>
          <w:szCs w:val="20"/>
        </w:rPr>
        <w:t>к Контракту №</w:t>
      </w:r>
      <w:r>
        <w:rPr>
          <w:sz w:val="20"/>
        </w:rPr>
        <w:t xml:space="preserve"> </w:t>
      </w:r>
      <w:r>
        <w:rPr>
          <w:rFonts w:cs="PT Astra Serif" w:ascii="PT Astra Serif" w:hAnsi="PT Astra Serif"/>
          <w:bCs/>
          <w:sz w:val="16"/>
          <w:szCs w:val="20"/>
        </w:rPr>
        <w:t>_</w:t>
      </w:r>
      <w:r>
        <w:rPr>
          <w:rFonts w:cs="PT Astra Serif" w:ascii="PT Astra Serif" w:hAnsi="PT Astra Serif"/>
          <w:sz w:val="16"/>
          <w:szCs w:val="20"/>
        </w:rPr>
        <w:t xml:space="preserve">   </w:t>
      </w:r>
      <w:r>
        <w:rPr>
          <w:rFonts w:cs="PT Astra Serif" w:ascii="PT Astra Serif" w:hAnsi="PT Astra Serif"/>
          <w:bCs/>
          <w:sz w:val="16"/>
          <w:szCs w:val="20"/>
        </w:rPr>
        <w:t xml:space="preserve"> </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16"/>
          <w:szCs w:val="20"/>
        </w:rPr>
        <w:t>от «__» ___2026 г.</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20"/>
          <w:szCs w:val="20"/>
        </w:rPr>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t>СПЕЦИФИКАЦИЯ</w:t>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tbl>
      <w:tblPr>
        <w:tblW w:w="15279" w:type="dxa"/>
        <w:jc w:val="left"/>
        <w:tblInd w:w="675" w:type="dxa"/>
        <w:tblLayout w:type="fixed"/>
        <w:tblCellMar>
          <w:top w:w="0" w:type="dxa"/>
          <w:left w:w="108" w:type="dxa"/>
          <w:bottom w:w="0" w:type="dxa"/>
          <w:right w:w="108" w:type="dxa"/>
        </w:tblCellMar>
      </w:tblPr>
      <w:tblGrid>
        <w:gridCol w:w="426"/>
        <w:gridCol w:w="2267"/>
        <w:gridCol w:w="1417"/>
        <w:gridCol w:w="4678"/>
        <w:gridCol w:w="2558"/>
        <w:gridCol w:w="851"/>
        <w:gridCol w:w="849"/>
        <w:gridCol w:w="993"/>
        <w:gridCol w:w="1238"/>
      </w:tblGrid>
      <w:tr>
        <w:trPr>
          <w:trHeight w:val="172" w:hRule="atLeast"/>
        </w:trPr>
        <w:tc>
          <w:tcPr>
            <w:tcW w:w="426" w:type="dxa"/>
            <w:tcBorders>
              <w:top w:val="single" w:sz="4" w:space="0" w:color="000000"/>
              <w:left w:val="single" w:sz="4" w:space="0" w:color="000000"/>
              <w:bottom w:val="single" w:sz="4" w:space="0" w:color="000000"/>
            </w:tcBorders>
            <w:vAlign w:val="center"/>
          </w:tcPr>
          <w:p>
            <w:pPr>
              <w:pStyle w:val="Normal"/>
              <w:jc w:val="center"/>
              <w:rPr/>
            </w:pPr>
            <w:r>
              <w:rPr>
                <w:sz w:val="20"/>
                <w:szCs w:val="20"/>
              </w:rPr>
              <w:t>№</w:t>
            </w:r>
            <w:r>
              <w:rPr>
                <w:rFonts w:eastAsia="Times New Roman" w:cs="Times New Roman"/>
                <w:sz w:val="20"/>
                <w:szCs w:val="20"/>
              </w:rPr>
              <w:t xml:space="preserve"> </w:t>
            </w:r>
            <w:r>
              <w:rPr>
                <w:sz w:val="20"/>
                <w:szCs w:val="20"/>
              </w:rPr>
              <w:t>п/п</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Товара, страна происхождения</w:t>
            </w:r>
          </w:p>
          <w:p>
            <w:pPr>
              <w:pStyle w:val="Normal"/>
              <w:jc w:val="center"/>
              <w:rPr>
                <w:sz w:val="20"/>
                <w:szCs w:val="20"/>
              </w:rPr>
            </w:pPr>
            <w:r>
              <w:rPr>
                <w:sz w:val="20"/>
                <w:szCs w:val="20"/>
              </w:rPr>
              <w:t>и производитель, РУ</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Код позиции</w:t>
            </w:r>
          </w:p>
        </w:tc>
        <w:tc>
          <w:tcPr>
            <w:tcW w:w="7236"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Ед. изм. товара</w:t>
            </w:r>
          </w:p>
        </w:tc>
        <w:tc>
          <w:tcPr>
            <w:tcW w:w="84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Кол-во</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Цена за ед., руб.</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Сумма, руб.</w:t>
            </w:r>
          </w:p>
        </w:tc>
      </w:tr>
      <w:tr>
        <w:trPr>
          <w:trHeight w:val="68"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467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w:t>
            </w:r>
          </w:p>
        </w:tc>
        <w:tc>
          <w:tcPr>
            <w:tcW w:w="2558"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6</w:t>
            </w:r>
          </w:p>
        </w:tc>
        <w:tc>
          <w:tcPr>
            <w:tcW w:w="84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8</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r>
      <w:tr>
        <w:trPr>
          <w:trHeight w:val="23" w:hRule="atLeast"/>
        </w:trPr>
        <w:tc>
          <w:tcPr>
            <w:tcW w:w="426"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2267"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417"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c>
          <w:tcPr>
            <w:tcW w:w="4678"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2558"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851"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849"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993"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238"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r>
      <w:tr>
        <w:trPr>
          <w:trHeight w:val="23" w:hRule="atLeast"/>
        </w:trPr>
        <w:tc>
          <w:tcPr>
            <w:tcW w:w="2693" w:type="dxa"/>
            <w:gridSpan w:val="2"/>
            <w:tcBorders>
              <w:top w:val="single" w:sz="4" w:space="0" w:color="000000"/>
              <w:left w:val="single" w:sz="4" w:space="0" w:color="000000"/>
              <w:bottom w:val="single" w:sz="4" w:space="0" w:color="000000"/>
            </w:tcBorders>
          </w:tcPr>
          <w:p>
            <w:pPr>
              <w:pStyle w:val="Normal"/>
              <w:snapToGrid w:val="false"/>
              <w:jc w:val="both"/>
              <w:rPr>
                <w:sz w:val="20"/>
                <w:szCs w:val="20"/>
              </w:rPr>
            </w:pPr>
            <w:r>
              <w:rPr>
                <w:sz w:val="20"/>
                <w:szCs w:val="20"/>
              </w:rPr>
            </w:r>
          </w:p>
        </w:tc>
        <w:tc>
          <w:tcPr>
            <w:tcW w:w="11346" w:type="dxa"/>
            <w:gridSpan w:val="6"/>
            <w:tcBorders>
              <w:top w:val="single" w:sz="4" w:space="0" w:color="000000"/>
              <w:left w:val="single" w:sz="4" w:space="0" w:color="000000"/>
              <w:bottom w:val="single" w:sz="4" w:space="0" w:color="000000"/>
            </w:tcBorders>
          </w:tcPr>
          <w:p>
            <w:pPr>
              <w:pStyle w:val="Normal"/>
              <w:jc w:val="right"/>
              <w:rPr>
                <w:sz w:val="20"/>
                <w:szCs w:val="20"/>
              </w:rPr>
            </w:pPr>
            <w:r>
              <w:rPr>
                <w:sz w:val="20"/>
                <w:szCs w:val="20"/>
              </w:rPr>
              <w:t>Итого:</w:t>
            </w:r>
          </w:p>
        </w:tc>
        <w:tc>
          <w:tcPr>
            <w:tcW w:w="123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sz w:val="20"/>
                <w:szCs w:val="20"/>
              </w:rPr>
            </w:pPr>
            <w:r>
              <w:rPr>
                <w:sz w:val="20"/>
                <w:szCs w:val="20"/>
              </w:rPr>
            </w:r>
          </w:p>
        </w:tc>
      </w:tr>
    </w:tbl>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p>
      <w:pPr>
        <w:pStyle w:val="Normal"/>
        <w:shd w:val="clear" w:fill="FFFFFF"/>
        <w:tabs>
          <w:tab w:val="clear" w:pos="709"/>
          <w:tab w:val="left" w:pos="2266" w:leader="underscore"/>
        </w:tabs>
        <w:spacing w:lineRule="atLeast" w:line="100"/>
        <w:rPr>
          <w:rFonts w:ascii="PT Astra Serif" w:hAnsi="PT Astra Serif" w:cs="PT Astra Serif"/>
          <w:b/>
          <w:caps/>
          <w:sz w:val="20"/>
          <w:szCs w:val="20"/>
        </w:rPr>
      </w:pPr>
      <w:r>
        <w:rPr>
          <w:rFonts w:cs="PT Astra Serif" w:ascii="PT Astra Serif" w:hAnsi="PT Astra Serif"/>
          <w:b/>
          <w:caps/>
          <w:sz w:val="20"/>
          <w:szCs w:val="20"/>
        </w:rPr>
      </w:r>
    </w:p>
    <w:p>
      <w:pPr>
        <w:pStyle w:val="Normal"/>
        <w:rPr>
          <w:rFonts w:ascii="PT Astra Serif" w:hAnsi="PT Astra Serif" w:cs="PT Astra Serif"/>
          <w:b/>
          <w:caps/>
          <w:sz w:val="20"/>
          <w:szCs w:val="20"/>
        </w:rPr>
      </w:pPr>
      <w:r>
        <w:rPr>
          <w:rFonts w:cs="PT Astra Serif" w:ascii="PT Astra Serif" w:hAnsi="PT Astra Serif"/>
          <w:b/>
          <w:caps/>
          <w:sz w:val="20"/>
          <w:szCs w:val="20"/>
        </w:rPr>
      </w:r>
    </w:p>
    <w:tbl>
      <w:tblPr>
        <w:tblW w:w="13234" w:type="dxa"/>
        <w:jc w:val="center"/>
        <w:tblInd w:w="0" w:type="dxa"/>
        <w:tblLayout w:type="fixed"/>
        <w:tblCellMar>
          <w:top w:w="0" w:type="dxa"/>
          <w:left w:w="108" w:type="dxa"/>
          <w:bottom w:w="0" w:type="dxa"/>
          <w:right w:w="108" w:type="dxa"/>
        </w:tblCellMar>
      </w:tblPr>
      <w:tblGrid>
        <w:gridCol w:w="6979"/>
        <w:gridCol w:w="6254"/>
      </w:tblGrid>
      <w:tr>
        <w:trPr>
          <w:trHeight w:val="1095" w:hRule="atLeast"/>
        </w:trPr>
        <w:tc>
          <w:tcPr>
            <w:tcW w:w="6979" w:type="dxa"/>
            <w:tcBorders/>
          </w:tcPr>
          <w:p>
            <w:pPr>
              <w:pStyle w:val="Normal"/>
              <w:rPr>
                <w:rFonts w:ascii="PT Astra Serif" w:hAnsi="PT Astra Serif" w:eastAsia="Times New Roman" w:cs="PT Astra Serif"/>
                <w:lang w:eastAsia="ru-RU"/>
              </w:rPr>
            </w:pPr>
            <w:r>
              <w:rPr>
                <w:rFonts w:cs="PT Astra Serif" w:ascii="PT Astra Serif" w:hAnsi="PT Astra Serif"/>
              </w:rPr>
              <w:t>Заказчик:</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Заместитель главного врача по финансово-</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экономическим вопросам</w:t>
            </w:r>
          </w:p>
          <w:p>
            <w:pPr>
              <w:pStyle w:val="Normal"/>
              <w:spacing w:lineRule="atLeast" w:line="100"/>
              <w:rPr>
                <w:rFonts w:ascii="PT Astra Serif" w:hAnsi="PT Astra Serif" w:cs="PT Astra Serif"/>
              </w:rPr>
            </w:pPr>
            <w:r>
              <w:rPr>
                <w:rFonts w:eastAsia="Times New Roman" w:cs="PT Astra Serif" w:ascii="PT Astra Serif" w:hAnsi="PT Astra Serif"/>
                <w:lang w:eastAsia="ru-RU"/>
              </w:rPr>
              <w:t>_________________/ Зюнова М.В./</w:t>
            </w:r>
          </w:p>
          <w:p>
            <w:pPr>
              <w:pStyle w:val="Normal"/>
              <w:rPr>
                <w:rFonts w:ascii="PT Astra Serif" w:hAnsi="PT Astra Serif" w:cs="PT Astra Serif"/>
              </w:rPr>
            </w:pPr>
            <w:r>
              <w:rPr>
                <w:rFonts w:cs="PT Astra Serif" w:ascii="PT Astra Serif" w:hAnsi="PT Astra Serif"/>
              </w:rPr>
              <w:t>М.П.</w:t>
            </w:r>
          </w:p>
        </w:tc>
        <w:tc>
          <w:tcPr>
            <w:tcW w:w="6254" w:type="dxa"/>
            <w:tcBorders/>
          </w:tcPr>
          <w:p>
            <w:pPr>
              <w:pStyle w:val="Normal"/>
              <w:jc w:val="both"/>
              <w:rPr>
                <w:rFonts w:ascii="PT Astra Serif" w:hAnsi="PT Astra Serif" w:cs="PT Astra Serif"/>
              </w:rPr>
            </w:pPr>
            <w:r>
              <w:rPr>
                <w:rFonts w:cs="PT Astra Serif" w:ascii="PT Astra Serif" w:hAnsi="PT Astra Serif"/>
              </w:rPr>
              <w:t>Поставщик:</w:t>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t>___________________/ ___  /</w:t>
            </w:r>
          </w:p>
          <w:p>
            <w:pPr>
              <w:pStyle w:val="Normal"/>
              <w:jc w:val="both"/>
              <w:rPr/>
            </w:pPr>
            <w:r>
              <w:rPr>
                <w:rFonts w:eastAsia="PT Astra Serif" w:cs="PT Astra Serif" w:ascii="PT Astra Serif" w:hAnsi="PT Astra Serif"/>
              </w:rPr>
              <w:t xml:space="preserve"> </w:t>
            </w:r>
            <w:r>
              <w:rPr>
                <w:rFonts w:cs="PT Astra Serif" w:ascii="PT Astra Serif" w:hAnsi="PT Astra Serif"/>
              </w:rPr>
              <w:t>М.П.</w:t>
            </w:r>
          </w:p>
        </w:tc>
      </w:tr>
    </w:tbl>
    <w:p>
      <w:pPr>
        <w:pStyle w:val="Normal"/>
        <w:shd w:val="clear" w:fill="FFFFFF"/>
        <w:tabs>
          <w:tab w:val="clear" w:pos="709"/>
          <w:tab w:val="left" w:pos="2266" w:leader="underscore"/>
        </w:tabs>
        <w:spacing w:lineRule="atLeast" w:line="100"/>
        <w:rPr>
          <w:rFonts w:ascii="PT Astra Serif" w:hAnsi="PT Astra Serif" w:cs="PT Astra Serif"/>
          <w:sz w:val="21"/>
          <w:szCs w:val="21"/>
        </w:rPr>
      </w:pPr>
      <w:r>
        <w:rPr>
          <w:rFonts w:cs="PT Astra Serif" w:ascii="PT Astra Serif" w:hAnsi="PT Astra Serif"/>
          <w:sz w:val="21"/>
          <w:szCs w:val="21"/>
        </w:rPr>
      </w:r>
    </w:p>
    <w:sectPr>
      <w:type w:val="nextPage"/>
      <w:pgSz w:orient="landscape" w:w="16838" w:h="11906"/>
      <w:pgMar w:left="142" w:right="851" w:gutter="0" w:header="0" w:top="1701" w:footer="0"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ET">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swiss"/>
    <w:pitch w:val="variable"/>
  </w:font>
  <w:font w:name="Arial">
    <w:charset w:val="cc"/>
    <w:family w:val="swiss"/>
    <w:pitch w:val="variable"/>
  </w:font>
  <w:font w:name="Liberation Sans">
    <w:altName w:val="Arial"/>
    <w:charset w:val="cc"/>
    <w:family w:val="roman"/>
    <w:pitch w:val="variable"/>
  </w:font>
  <w:font w:name="PT Astra 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64" w:hanging="360"/>
      </w:pPr>
      <w:rPr>
        <w:rFonts w:ascii="Symbol" w:hAnsi="Symbol" w:cs="Symbol" w:hint="default"/>
      </w:rPr>
    </w:lvl>
    <w:lvl w:ilvl="1">
      <w:start w:val="1"/>
      <w:numFmt w:val="bullet"/>
      <w:lvlText w:val="o"/>
      <w:lvlJc w:val="left"/>
      <w:pPr>
        <w:tabs>
          <w:tab w:val="num" w:pos="0"/>
        </w:tabs>
        <w:ind w:left="1484" w:hanging="360"/>
      </w:pPr>
      <w:rPr>
        <w:rFonts w:ascii="Courier New" w:hAnsi="Courier New" w:cs="Courier New" w:hint="default"/>
      </w:rPr>
    </w:lvl>
    <w:lvl w:ilvl="2">
      <w:start w:val="1"/>
      <w:numFmt w:val="bullet"/>
      <w:lvlText w:val=""/>
      <w:lvlJc w:val="left"/>
      <w:pPr>
        <w:tabs>
          <w:tab w:val="num" w:pos="0"/>
        </w:tabs>
        <w:ind w:left="2204" w:hanging="360"/>
      </w:pPr>
      <w:rPr>
        <w:rFonts w:ascii="Wingdings" w:hAnsi="Wingdings" w:cs="Wingdings" w:hint="default"/>
      </w:rPr>
    </w:lvl>
    <w:lvl w:ilvl="3">
      <w:start w:val="1"/>
      <w:numFmt w:val="bullet"/>
      <w:lvlText w:val=""/>
      <w:lvlJc w:val="left"/>
      <w:pPr>
        <w:tabs>
          <w:tab w:val="num" w:pos="0"/>
        </w:tabs>
        <w:ind w:left="2924" w:hanging="360"/>
      </w:pPr>
      <w:rPr>
        <w:rFonts w:ascii="Symbol" w:hAnsi="Symbol" w:cs="Symbol" w:hint="default"/>
      </w:rPr>
    </w:lvl>
    <w:lvl w:ilvl="4">
      <w:start w:val="1"/>
      <w:numFmt w:val="bullet"/>
      <w:lvlText w:val="o"/>
      <w:lvlJc w:val="left"/>
      <w:pPr>
        <w:tabs>
          <w:tab w:val="num" w:pos="0"/>
        </w:tabs>
        <w:ind w:left="3644" w:hanging="360"/>
      </w:pPr>
      <w:rPr>
        <w:rFonts w:ascii="Courier New" w:hAnsi="Courier New" w:cs="Courier New" w:hint="default"/>
      </w:rPr>
    </w:lvl>
    <w:lvl w:ilvl="5">
      <w:start w:val="1"/>
      <w:numFmt w:val="bullet"/>
      <w:lvlText w:val=""/>
      <w:lvlJc w:val="left"/>
      <w:pPr>
        <w:tabs>
          <w:tab w:val="num" w:pos="0"/>
        </w:tabs>
        <w:ind w:left="4364" w:hanging="360"/>
      </w:pPr>
      <w:rPr>
        <w:rFonts w:ascii="Wingdings" w:hAnsi="Wingdings" w:cs="Wingdings" w:hint="default"/>
      </w:rPr>
    </w:lvl>
    <w:lvl w:ilvl="6">
      <w:start w:val="1"/>
      <w:numFmt w:val="bullet"/>
      <w:lvlText w:val=""/>
      <w:lvlJc w:val="left"/>
      <w:pPr>
        <w:tabs>
          <w:tab w:val="num" w:pos="0"/>
        </w:tabs>
        <w:ind w:left="5084" w:hanging="360"/>
      </w:pPr>
      <w:rPr>
        <w:rFonts w:ascii="Symbol" w:hAnsi="Symbol" w:cs="Symbol" w:hint="default"/>
      </w:rPr>
    </w:lvl>
    <w:lvl w:ilvl="7">
      <w:start w:val="1"/>
      <w:numFmt w:val="bullet"/>
      <w:lvlText w:val="o"/>
      <w:lvlJc w:val="left"/>
      <w:pPr>
        <w:tabs>
          <w:tab w:val="num" w:pos="0"/>
        </w:tabs>
        <w:ind w:left="5804" w:hanging="360"/>
      </w:pPr>
      <w:rPr>
        <w:rFonts w:ascii="Courier New" w:hAnsi="Courier New" w:cs="Courier New" w:hint="default"/>
      </w:rPr>
    </w:lvl>
    <w:lvl w:ilvl="8">
      <w:start w:val="1"/>
      <w:numFmt w:val="bullet"/>
      <w:lvlText w:val=""/>
      <w:lvlJc w:val="left"/>
      <w:pPr>
        <w:tabs>
          <w:tab w:val="num" w:pos="0"/>
        </w:tabs>
        <w:ind w:left="6524" w:hanging="360"/>
      </w:pPr>
      <w:rPr>
        <w:rFonts w:ascii="Wingdings" w:hAnsi="Wingdings" w:cs="Wingdings" w:hint="default"/>
      </w:rPr>
    </w:lvl>
  </w:abstractNum>
  <w:abstractNum w:abstractNumId="3">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Heading3">
    <w:name w:val="heading 3"/>
    <w:basedOn w:val="Normal"/>
    <w:next w:val="Normal"/>
    <w:qFormat/>
    <w:pPr>
      <w:widowControl/>
      <w:numPr>
        <w:ilvl w:val="2"/>
        <w:numId w:val="1"/>
      </w:numPr>
      <w:suppressAutoHyphens w:val="false"/>
      <w:spacing w:before="120" w:after="120"/>
      <w:ind w:hanging="567" w:left="709" w:right="1127"/>
      <w:outlineLvl w:val="2"/>
    </w:pPr>
    <w:rPr>
      <w:rFonts w:ascii="TimesET" w:hAnsi="TimesET" w:eastAsia="Times New Roman" w:cs="Times New Roman"/>
      <w:kern w:val="0"/>
      <w:sz w:val="22"/>
      <w:szCs w:val="20"/>
      <w:lang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yperlink">
    <w:name w:val="Hyperlink"/>
    <w:rPr>
      <w:color w:val="000080"/>
      <w:u w:val="single"/>
    </w:rPr>
  </w:style>
  <w:style w:type="character" w:styleId="3">
    <w:name w:val="Заголовок 3 Знак"/>
    <w:qFormat/>
    <w:rPr>
      <w:rFonts w:ascii="TimesET" w:hAnsi="TimesET" w:cs="TimesET"/>
      <w:sz w:val="22"/>
    </w:rPr>
  </w:style>
  <w:style w:type="character" w:styleId="Style13">
    <w:name w:val="Текст выноски Знак"/>
    <w:basedOn w:val="DefaultParagraphFont"/>
    <w:qFormat/>
    <w:rPr>
      <w:rFonts w:ascii="Tahoma" w:hAnsi="Tahoma" w:eastAsia="Lucida Sans Unicode" w:cs="Mangal"/>
      <w:kern w:val="2"/>
      <w:sz w:val="16"/>
      <w:szCs w:val="14"/>
      <w:lang w:eastAsia="hi-IN" w:bidi="hi-IN"/>
    </w:rPr>
  </w:style>
  <w:style w:type="character" w:styleId="Style14">
    <w:name w:val="Без интервала Знак"/>
    <w:basedOn w:val="DefaultParagraphFont"/>
    <w:qFormat/>
    <w:rPr>
      <w:rFonts w:eastAsia="Arial"/>
      <w:sz w:val="24"/>
      <w:szCs w:val="24"/>
      <w:lang w:eastAsia="ar-SA"/>
    </w:rPr>
  </w:style>
  <w:style w:type="paragraph" w:styleId="Style15">
    <w:name w:val="Заголовок"/>
    <w:basedOn w:val="Normal"/>
    <w:next w:val="BodyText"/>
    <w:qFormat/>
    <w:pPr>
      <w:keepNext w:val="true"/>
      <w:spacing w:before="240" w:after="120"/>
    </w:pPr>
    <w:rPr>
      <w:rFonts w:ascii="Arial" w:hAnsi="Arial" w:cs="Arial"/>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1">
    <w:name w:val="Название1"/>
    <w:basedOn w:val="Normal"/>
    <w:qFormat/>
    <w:pPr>
      <w:suppressLineNumbers/>
      <w:spacing w:before="120" w:after="120"/>
    </w:pPr>
    <w:rPr>
      <w:i/>
      <w:iCs/>
    </w:rPr>
  </w:style>
  <w:style w:type="paragraph" w:styleId="11">
    <w:name w:val="Указатель1"/>
    <w:basedOn w:val="Normal"/>
    <w:qFormat/>
    <w:pPr>
      <w:suppressLineNumbers/>
    </w:pPr>
    <w:rPr/>
  </w:style>
  <w:style w:type="paragraph" w:styleId="12">
    <w:name w:val="Обычный1"/>
    <w:qFormat/>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2"/>
      <w:sz w:val="24"/>
      <w:szCs w:val="24"/>
      <w:lang w:val="ru-RU" w:eastAsia="ar-SA" w:bidi="ar-SA"/>
    </w:rPr>
  </w:style>
  <w:style w:type="paragraph" w:styleId="gmail-msolistparagraphcxspmiddlemailrucssattributepostfixmailrucssattributepostfix">
    <w:name w:val="gmail-msolistparagraphcxspmiddle_mailru_css_attribute_postfix_mailru_css_attribute_postfix"/>
    <w:basedOn w:val="Normal"/>
    <w:qFormat/>
    <w:pPr>
      <w:spacing w:lineRule="atLeast" w:line="100" w:before="100" w:after="100"/>
    </w:pPr>
    <w:rPr>
      <w:rFonts w:eastAsia="Times New Roman"/>
    </w:rPr>
  </w:style>
  <w:style w:type="paragraph" w:styleId="BalloonText">
    <w:name w:val="Balloon Text"/>
    <w:basedOn w:val="Normal"/>
    <w:qFormat/>
    <w:pPr/>
    <w:rPr>
      <w:rFonts w:ascii="Tahoma" w:hAnsi="Tahoma" w:cs="Tahoma"/>
      <w:sz w:val="16"/>
      <w:szCs w:val="14"/>
    </w:rPr>
  </w:style>
  <w:style w:type="paragraph" w:styleId="ListParagraph">
    <w:name w:val="List Paragraph"/>
    <w:basedOn w:val="Normal"/>
    <w:qFormat/>
    <w:pPr>
      <w:spacing w:before="0" w:after="0"/>
      <w:ind w:hanging="0" w:left="720" w:right="0"/>
      <w:contextualSpacing/>
    </w:pPr>
    <w:rPr>
      <w:szCs w:val="21"/>
    </w:rPr>
  </w:style>
  <w:style w:type="paragraph" w:styleId="ConsPlusNormal">
    <w:name w:val="ConsPlusNormal"/>
    <w:qFormat/>
    <w:pPr>
      <w:widowControl/>
      <w:suppressAutoHyphens w:val="true"/>
      <w:bidi w:val="0"/>
      <w:spacing w:before="0" w:after="0"/>
      <w:jc w:val="left"/>
    </w:pPr>
    <w:rPr>
      <w:rFonts w:ascii="Times New Roman" w:hAnsi="Times New Roman" w:eastAsia="Calibri" w:cs="Times New Roman"/>
      <w:color w:val="auto"/>
      <w:kern w:val="0"/>
      <w:sz w:val="28"/>
      <w:szCs w:val="28"/>
      <w:lang w:val="ru-RU" w:eastAsia="en-US" w:bidi="ar-SA"/>
    </w:rPr>
  </w:style>
  <w:style w:type="paragraph" w:styleId="NoSpacing">
    <w:name w:val="No Spacing"/>
    <w:qFormat/>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194</TotalTime>
  <Application>LibreOffice/25.2.7.2$Windows_X86_64 LibreOffice_project/5cbfd1ab6520636bb5f7b99185aa69bd7456825d</Application>
  <AppVersion>15.0000</AppVersion>
  <Pages>6</Pages>
  <Words>3575</Words>
  <Characters>25624</Characters>
  <CharactersWithSpaces>29447</CharactersWithSpaces>
  <Paragraphs>205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2022-05-20T05:23:00Z</dcterms:created>
  <dc:creator/>
  <dc:description/>
  <dc:language>ru-RU</dc:language>
  <cp:lastModifiedBy/>
  <cp:lastPrinted>2022-11-28T08:48:00Z</cp:lastPrinted>
  <dcterms:modified xsi:type="dcterms:W3CDTF">2026-08-12T15:09:59Z</dcterms:modified>
  <cp:revision>96</cp:revision>
  <dc:subject/>
  <dc:title/>
</cp:coreProperties>
</file>

<file path=docProps/custom.xml><?xml version="1.0" encoding="utf-8"?>
<Properties xmlns="http://schemas.openxmlformats.org/officeDocument/2006/custom-properties" xmlns:vt="http://schemas.openxmlformats.org/officeDocument/2006/docPropsVTypes"/>
</file>