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0" w:firstLine="709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outlineLvl w:val="1"/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ГОСУДАРСТВЕНН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ЫЙ КОНТРАКТ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№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оказание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услуг по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техническому обслуживанию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и ремонту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(Идентификационный код закупки №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261673005505067300100100230000000244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val="ru" w:eastAsia="ru-RU"/>
        </w:rPr>
        <w:t xml:space="preserve">)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ind w:left="-180" w:firstLine="180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«___» _______ 20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г.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                   </w:t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г.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0" w:right="-26"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Управление Федеральной службы государственной регистрации, кадастра и картографии по Смоленской области (Управление Росреест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 по Смоленской области), именуемое в дальнейшем «Заказчик», в лице и.о. руководителя С.В. Сафоновой, действующего на основании Положения об Управлении Федеральной службы государственной регистрации, кадастра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 картографии по Смоленской области, утвержденного приказом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Росреестра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от 06.04.2023 № П/0117, приказа Росреестра от 02.04.2026 № 82-к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 одной стороны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и ________________________________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именуемое в дальнейшем </w:t>
      </w:r>
      <w:r>
        <w:rPr>
          <w:rFonts w:ascii="Times New Roman" w:hAnsi="Times New Roman" w:eastAsia="Arial Unicode MS" w:cs="Times New Roman"/>
          <w:b w:val="0"/>
          <w:bCs w:val="0"/>
          <w:color w:val="000000"/>
          <w:sz w:val="24"/>
          <w:szCs w:val="24"/>
          <w:lang w:val="ru" w:eastAsia="ar-SA"/>
        </w:rPr>
        <w:t xml:space="preserve">«Исполнитель»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в лице </w:t>
      </w:r>
      <w:r>
        <w:rPr>
          <w:rFonts w:ascii="Times New Roman" w:hAnsi="Times New Roman"/>
          <w:sz w:val="24"/>
          <w:szCs w:val="24"/>
          <w:lang w:val="ru" w:eastAsia="ru-RU"/>
        </w:rPr>
        <w:t xml:space="preserve">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действующего на основании _____________________,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с другой стороны, вместе именуемые «Стороны»,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 основании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п. 4 ч.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ст.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93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от 5 апреля 2013 г.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заключили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настоящий 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осударственный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 (далее - Контракт) о нижеследующем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6" w:firstLine="567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Предмет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по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техническому обслуживанию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транспорт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ных средств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(д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алее – услуги), а Заказчик обязуется принять оказанные услуги и оплатить их.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Условия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2.1. Услуги оказываются Исполнителем в соответствии с требованиями технического задания (приложение № 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), являющегося неотъемлемой частью Контр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Взаимодействие Сторон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3.1. Исполнитель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привлекать к выполнению Контракта соисполнителей.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отношении соисполнителей Исполнитель выполняет функции заказчика. Исполнитель несет ответственность за неисполнение или ненадлежащее исполнение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 соисполнителями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рамках оказания соответствующих услуг в соответствии с гражданским законодательством.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по согласованию с Заказчиком (путем заключения дополнительного соглашения) оказать услуги, качество, технические и функциональные характери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со </w:t>
      </w:r>
      <w:hyperlink r:id="rId10" w:tooltip="consultantplus://offline/ref=782E9CC4CCC6932545801925E3B536176E50B53C1FD70BD7655CABC93DB89C271041D8CD0197EEC2617428125779CB07805FED4BE83BV7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статьей 14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д)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Исполнитель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оказать услуги в соответствии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техническим заданием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предусмотренный Контрактом срок;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соответствие результатов оказанн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за свой счет устранение недостатков, выявленных при приемке 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оказанных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требовать от Исполнителя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надлежащего исполнения обязательств, установленных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Контракта, причиненных по вине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3.4.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провести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экспертизу оказанных услуг для проверки их соответствия условиям Контракта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требовать уплаты неустоек (штрафов, пеней) в соответствии с разделом X Контракта.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280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Место и 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роки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Style w:val="889"/>
        <w:numPr>
          <w:ilvl w:val="1"/>
          <w:numId w:val="1"/>
        </w:numPr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Услуги оказываются в сроки, указанные в контракте.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Начало оказания услуг – с даты заключения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Окончание оказания услуг –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17.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04.20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4.2. Датой исполнения Исполнителем обязательств по Контракту считается дата подписания Сторонами акта сдачи-приемки оказанных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4.3. Место оказания услуг: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39"/>
        <w:jc w:val="center"/>
        <w:keepNext/>
        <w:spacing w:before="240" w:after="6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V. Порядок сдачи и приемки оказанных 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Исполнитель представляет Заказчику акт сдачи-приемки оказанных услуг в 2-х экземплярах в срок не позднее 2 рабочих дней с момента окончания оказания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Для проверки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предоставленных Исполнителем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результатов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предусмотренных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экспертные организации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 течение 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рабочих дней 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получения акта сдачи-приемки оказанных услуг и документов, указанных в пункт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5.1 Контракта, осуществляет проверку оказанных Исполнителем услуг по Контракту на предмет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оказанных услуг с перечнем выявленных недостатков и с указанием сроков их устранения.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5.4.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этих услуг и устранено Исполнителем.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shd w:val="clear" w:color="auto" w:fill="ffffff"/>
        <w:tabs>
          <w:tab w:val="left" w:pos="1176" w:leader="none"/>
          <w:tab w:val="left" w:pos="2093" w:leader="none"/>
          <w:tab w:val="left" w:pos="3686" w:leader="none"/>
          <w:tab w:val="left" w:pos="5131" w:leader="none"/>
          <w:tab w:val="left" w:pos="7493" w:leader="none"/>
        </w:tabs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Цена Контракта и порядок расчетов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Контракта составляет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 (_______)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рублей   __ копеек, в том числе НДС ____________ (______) рублей __ копеек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(НДС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облагается)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6.3.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Цена Контракта включает в себя все расходы, связан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  <w:t xml:space="preserve"> 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1" w:tooltip="consultantplus://offline/ref=70866C93C4936329F0C455254E34A6CAC6C7834FF2B62DD46D84312D009DFEDF1ED7917825447EF92CC4307C66QBmFI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/>
      <w:bookmarkStart w:id="0" w:name="P889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Источник финансирования Контракта– федеральный бюджет.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Расчеты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между Заказчиком и Исполнителем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оказанные услуги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производятся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позднее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рабочих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дней с даты подписания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акта сдачи-приемки оказанных услуг.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течении трех рабочих дней с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изме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center"/>
        <w:keepNext/>
        <w:spacing w:after="0" w:line="276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VII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" w:eastAsia="ru-RU"/>
        </w:rPr>
        <w:t xml:space="preserve">. Обеспечение исполнения 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7.1. Обеспечение исполнения Контракт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устанавливается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851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I. Гарантийные обязательства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8.1. Исполнитель гарантирует Заказчику качество оказания услуг в соответствии с требованиями,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предусмотренными Контрактом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8.2. Гарантийный срок на оказанные услуги с 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подписания акта сдачи-приемки оказанных услуг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месяцев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8.3. Если в период гарантийного срока обнаружатся недостатки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дефекты (скрытые недостатки и/или дефекты), то Исполнитель (в случае если не докажет отсутстви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дефектов.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pStyle w:val="890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Обеспечение гарантийных обязательств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851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9.1. Обеспечение гарантийных обязательств не устанавливается</w:t>
      </w:r>
      <w:r>
        <w:t xml:space="preserve">.</w:t>
      </w:r>
      <w:r/>
    </w:p>
    <w:p>
      <w:pPr>
        <w:ind w:firstLine="851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40"/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Ответственность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полного (частичного) неисполнения условий Контракта одной из Сторон эта Сторона обязана возместить другой Стороне причиненные убытки в части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непокрытой неустойкой.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просрочки исполнения Исполнителем обязательств, предусмотренных Контрактом, Исполнитель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исполнения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(далее – Правила)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%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цены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2" w:tooltip="consultantplus://offline/ref=782E9CC4CCC6932545801925E3B536176E57B6381BDA0BD7655CABC93DB89C271041D8CF0ACBB4D2653D7F184B7ED2198541ED34VB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Правилами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 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В случае просрочки исполнения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определяет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ся в соответствии с Правилами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.8.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расторжения Контракта в связи с односторонним отказом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keepNext/>
        <w:spacing w:before="240" w:after="6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3-х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Рассмотрение и разрешение споров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Претензия оформляется в письменной форме. В претензии перечисляются доп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Срок рассмотрения претензии не может превышать 3-х рабочих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При неурегулировании Сторонами спора в досудебном порядке спор разрешается в судебном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XII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Срок действия Контракта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Контракт вступает в силу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его подписания обеими Сторонами и действует по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08.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05.20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Иные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 положения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pStyle w:val="89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Контракт составлен в двух экземплярах, идентичных по содержанию и имеющих одинаковую юридическую силу, один из которых передан Исполнителю, второй - находится у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10 дней с даты внесения в единый государственный реестр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юридических лиц указанных изменений письменно известить об этом другую Сторону.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Изменение условий Ко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нтракта при его исполнении не допускается за исключением случаев,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ветствии с гражданским законодательством в порядке, предусмотренном частями 9 – 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.8.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. Перечень приложений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Неотъемлемой частью Контракта являются следующие приложения: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ческое задание ТО 0 Lada NIVA TRAVEL (приложение № 1);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перечень цен единиц услуг ТО 0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Lada NIVA TRAVEL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(приложение № 2)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Адреса и банковские реквизиты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left="280" w:firstLine="708"/>
        <w:jc w:val="center"/>
        <w:spacing w:after="0" w:line="276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471"/>
        <w:gridCol w:w="4542"/>
      </w:tblGrid>
      <w:tr>
        <w:tblPrEx/>
        <w:trPr>
          <w:trHeight w:val="1098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4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по Смоленской области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ИНН 6730055050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КПП 673001001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ОГРН 1046758340507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Наименование органа Федерального казначейства УФК по Смоленской области г. Смоленск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Банковские реквизиты счета, открытого органу Федерального казначейства: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ОКЦ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№ 1 Волго-Вятского ГУ Банка России //УФК по Нижегородской области г. Нижний Новгород: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счет 03211643000000013216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сч. №40102810745370000024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Лицевой счет 03631А39190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БИК 012202102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</w:r>
            <w:hyperlink r:id="rId13" w:tooltip="consultantplus://offline/ref=00E1C201CF2CFBE43691BDF595F15F0BF2C4513BF222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ОКОПФ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75104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sz w:val="24"/>
                <w:szCs w:val="24"/>
              </w:rPr>
            </w:r>
            <w:hyperlink r:id="rId14" w:tooltip="consultantplus://offline/ref=00E1C201CF2CFBE43691BDF595F15F0BF2C25339FE2E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ОКВЭД2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84.11.12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местонахождения: 214025,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г. Смоленск, ул. Полтавская, д. 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электронной почты: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67_upr@rosreestr.ru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Телефон: (4812) 35-12-50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И.о. руководителя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 С.В. Сафонова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5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11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7020"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right="-289"/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Техническое задание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оказание услуг по техническому обслуживанию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Требования к проведению технического осмотра 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00 -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0км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right="0" w:firstLine="725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Автомобиль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LADA NIVA Travel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944 ТС 67,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VIN XTA212300S0947785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 года выпуска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находится на гарантийном обслуживании.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Комплекс-сервис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ехническое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обслуживание» ТО-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Регламентные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9"/>
        <w:numPr>
          <w:ilvl w:val="0"/>
          <w:numId w:val="27"/>
        </w:numPr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масло в коробке передач, раздаточной коробке, переднем и заднем мостах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889"/>
        <w:numPr>
          <w:ilvl w:val="0"/>
          <w:numId w:val="27"/>
        </w:numPr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Отрегулировать направление световых пучков фар, включая противотуманные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Диагностические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наличие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сколов, трещин и очагов коррозии лакокрасочного покрытия кузова, повреждений мастики арок колес и днища; работу замков дверей и капота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элементов передней и задней подвесок, их резинометалличе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ских шарниров; шаровых опор; шарниров рулевых тяг и их защитных колпачков; защитных чехлов приводов передних колес; буферов отбоя; состояние резиновых подушек стабилизатора поперечной устойчивости; состояние гидравлических амортизаторов и резиновых втулок;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суммарный люфт в рулевом управлении;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систем охлаждения, питания и гидравлического привода тормозов, сцепления и гидроусилителя рулевого управления; состояние шлангов, трубок и соединений;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уплотнений узлов и агрегатов;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уровни жидкости в бачках гидропривода тормозов и сцепления; работу сигнализатора уровня жидкости в бачке гидропривода тормозов;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охлаждающей жидкости в расширительном бачке;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и натяжение ремней привода вспомогательных агрегатов и компрессора кондиционера (при наличии);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генератора, систем освещения, световой и звуковой сигнализации,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электрокорректора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фар, контрольных приборов, стеклоочистителей,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омывателей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вентиляторов, обогрева заднего стекла, электропривода наружных зеркал, обогрева передних сидений (при наличии),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электроблокировки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замков дверей, кондиционера (при наличии), подушек безопасности (при наличии), АБС (при наличии);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отсутствие посторонних шумов и стуков в двигателе, узлах и агрегатах трансмиссии;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эффективность работы передних и задних тормозов; регулировку стояночного тормоза и ход педали тормоза; работоспособность регулятора давления (или АБС) и вакуумного усилителя тормозов;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жидкости в бачке гидроусилителя рулевого управления;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работоспособность диагностической лампы «ПРОВЕРЬТЕ ДВИГАТЕЛЬ» – при включении зажигания лампа загорается и гаснет после того, как двигатель заведется. Отсутствие в памяти контроллера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кодов неисправностей ЭСУД, и если коды имеются, устранить причины их возникновения и удалить коды из памяти контроллера;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системы вызова экстренных оперативных служб (при наличии). При наличии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кодов неисправностей системы вызова экстренных оперативных служб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устранить причины их возникновения и удалить коды из памяти блока «ЭРА-ГЛОНАСС»;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  <w14:ligatures w14:val="none"/>
        </w:rPr>
      </w:r>
    </w:p>
    <w:p>
      <w:pPr>
        <w:pStyle w:val="889"/>
        <w:numPr>
          <w:ilvl w:val="0"/>
          <w:numId w:val="26"/>
        </w:numPr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масла в двигателе.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709"/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Работы должны быть выполнены в сертифицированном автомобильном центре (уполномоченной организации изготовителя из числа указанных в сервисной книжке автомобиля)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для соблюдения условий гарантийного обслуживания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 на территории города Смоленска.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11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tbl>
      <w:tblPr>
        <w:tblStyle w:val="891"/>
        <w:tblW w:w="0" w:type="auto"/>
        <w:tblInd w:w="125" w:type="dxa"/>
        <w:tblLayout w:type="fixed"/>
        <w:tblLook w:val="04A0" w:firstRow="1" w:lastRow="0" w:firstColumn="1" w:lastColumn="0" w:noHBand="0" w:noVBand="1"/>
      </w:tblPr>
      <w:tblGrid>
        <w:gridCol w:w="721"/>
        <w:gridCol w:w="2754"/>
        <w:gridCol w:w="1497"/>
        <w:gridCol w:w="1658"/>
        <w:gridCol w:w="1658"/>
        <w:gridCol w:w="1658"/>
      </w:tblGrid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754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49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Цена, руб.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754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Очиститель универсальный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49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754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Масло трансмиссионный 75w90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49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98"/>
        </w:trPr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754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Автомобиль: ТО-0 2000-3000 км TRAVEL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49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н/ч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1,990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8288" w:type="dxa"/>
            <w:textDirection w:val="lrTb"/>
            <w:noWrap w:val="false"/>
          </w:tcPr>
          <w:p>
            <w:pPr>
              <w:jc w:val="left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58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20" w:right="-289"/>
        <w:spacing w:after="0" w:line="240" w:lineRule="auto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sectPr>
      <w:footnotePr/>
      <w:endnotePr/>
      <w:type w:val="nextPage"/>
      <w:pgSz w:w="11906" w:h="16838" w:orient="portrait"/>
      <w:pgMar w:top="539" w:right="748" w:bottom="539" w:left="107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>
    <w:name w:val="Heading 1"/>
    <w:basedOn w:val="882"/>
    <w:next w:val="882"/>
    <w:link w:val="7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9">
    <w:name w:val="Heading 1 Char"/>
    <w:basedOn w:val="883"/>
    <w:link w:val="708"/>
    <w:uiPriority w:val="9"/>
    <w:rPr>
      <w:rFonts w:ascii="Arial" w:hAnsi="Arial" w:eastAsia="Arial" w:cs="Arial"/>
      <w:sz w:val="40"/>
      <w:szCs w:val="40"/>
    </w:rPr>
  </w:style>
  <w:style w:type="paragraph" w:styleId="710">
    <w:name w:val="Heading 2"/>
    <w:basedOn w:val="882"/>
    <w:next w:val="882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1">
    <w:name w:val="Heading 2 Char"/>
    <w:basedOn w:val="883"/>
    <w:link w:val="710"/>
    <w:uiPriority w:val="9"/>
    <w:rPr>
      <w:rFonts w:ascii="Arial" w:hAnsi="Arial" w:eastAsia="Arial" w:cs="Arial"/>
      <w:sz w:val="34"/>
    </w:rPr>
  </w:style>
  <w:style w:type="paragraph" w:styleId="712">
    <w:name w:val="Heading 3"/>
    <w:basedOn w:val="882"/>
    <w:next w:val="882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3">
    <w:name w:val="Heading 3 Char"/>
    <w:basedOn w:val="883"/>
    <w:link w:val="712"/>
    <w:uiPriority w:val="9"/>
    <w:rPr>
      <w:rFonts w:ascii="Arial" w:hAnsi="Arial" w:eastAsia="Arial" w:cs="Arial"/>
      <w:sz w:val="30"/>
      <w:szCs w:val="30"/>
    </w:rPr>
  </w:style>
  <w:style w:type="paragraph" w:styleId="714">
    <w:name w:val="Heading 4"/>
    <w:basedOn w:val="882"/>
    <w:next w:val="882"/>
    <w:link w:val="7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5">
    <w:name w:val="Heading 4 Char"/>
    <w:basedOn w:val="883"/>
    <w:link w:val="714"/>
    <w:uiPriority w:val="9"/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basedOn w:val="883"/>
    <w:link w:val="716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83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83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2"/>
    <w:next w:val="882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83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2"/>
    <w:next w:val="882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83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2"/>
    <w:next w:val="882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basedOn w:val="883"/>
    <w:link w:val="727"/>
    <w:uiPriority w:val="10"/>
    <w:rPr>
      <w:sz w:val="48"/>
      <w:szCs w:val="48"/>
    </w:rPr>
  </w:style>
  <w:style w:type="paragraph" w:styleId="729">
    <w:name w:val="Subtitle"/>
    <w:basedOn w:val="882"/>
    <w:next w:val="882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basedOn w:val="883"/>
    <w:link w:val="729"/>
    <w:uiPriority w:val="11"/>
    <w:rPr>
      <w:sz w:val="24"/>
      <w:szCs w:val="24"/>
    </w:rPr>
  </w:style>
  <w:style w:type="paragraph" w:styleId="731">
    <w:name w:val="Quote"/>
    <w:basedOn w:val="882"/>
    <w:next w:val="882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2"/>
    <w:next w:val="882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82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basedOn w:val="883"/>
    <w:link w:val="735"/>
    <w:uiPriority w:val="99"/>
  </w:style>
  <w:style w:type="paragraph" w:styleId="737">
    <w:name w:val="Footer"/>
    <w:basedOn w:val="882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basedOn w:val="883"/>
    <w:link w:val="737"/>
    <w:uiPriority w:val="99"/>
  </w:style>
  <w:style w:type="paragraph" w:styleId="739">
    <w:name w:val="Caption"/>
    <w:basedOn w:val="882"/>
    <w:next w:val="8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</w:style>
  <w:style w:type="table" w:styleId="741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0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1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2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3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4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5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4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5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6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7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8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9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character" w:styleId="867">
    <w:name w:val="Footnote Text Char"/>
    <w:link w:val="886"/>
    <w:uiPriority w:val="99"/>
    <w:rPr>
      <w:sz w:val="18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83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paragraph" w:styleId="886">
    <w:name w:val="footnote text"/>
    <w:basedOn w:val="882"/>
    <w:link w:val="88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7" w:customStyle="1">
    <w:name w:val="Текст сноски Знак"/>
    <w:basedOn w:val="883"/>
    <w:link w:val="886"/>
    <w:uiPriority w:val="99"/>
    <w:semiHidden/>
    <w:rPr>
      <w:sz w:val="20"/>
      <w:szCs w:val="20"/>
    </w:rPr>
  </w:style>
  <w:style w:type="character" w:styleId="888">
    <w:name w:val="footnote reference"/>
    <w:rPr>
      <w:vertAlign w:val="superscript"/>
    </w:rPr>
  </w:style>
  <w:style w:type="paragraph" w:styleId="889">
    <w:name w:val="List Paragraph"/>
    <w:basedOn w:val="882"/>
    <w:uiPriority w:val="34"/>
    <w:qFormat/>
    <w:pPr>
      <w:contextualSpacing/>
      <w:ind w:left="720"/>
    </w:pPr>
  </w:style>
  <w:style w:type="paragraph" w:styleId="89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891">
    <w:name w:val="Table Grid"/>
    <w:basedOn w:val="88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1" Type="http://schemas.openxmlformats.org/officeDocument/2006/relationships/hyperlink" Target="consultantplus://offline/ref=70866C93C4936329F0C455254E34A6CAC6C7834FF2B62DD46D84312D009DFEDF1ED7917825447EF92CC4307C66QBmFI" TargetMode="Externa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3" Type="http://schemas.openxmlformats.org/officeDocument/2006/relationships/hyperlink" Target="consultantplus://offline/ref=00E1C201CF2CFBE43691BDF595F15F0BF2C4513BF2220FBB060B5246E130B0C5D4717608AF8389373D5B1E4DDBP728G" TargetMode="External"/><Relationship Id="rId14" Type="http://schemas.openxmlformats.org/officeDocument/2006/relationships/hyperlink" Target="consultantplus://offline/ref=00E1C201CF2CFBE43691BDF595F15F0BF2C25339FE2E0FBB060B5246E130B0C5D4717608AF8389373D5B1E4DDBP728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3983-5F83-4608-A759-F9FC29C4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Управление Росреестра по Смоленской области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Светлана Алексеевна</dc:creator>
  <cp:revision>32</cp:revision>
  <dcterms:created xsi:type="dcterms:W3CDTF">2023-01-25T07:05:00Z</dcterms:created>
  <dcterms:modified xsi:type="dcterms:W3CDTF">2026-04-08T10:50:09Z</dcterms:modified>
</cp:coreProperties>
</file>