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на поставку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расходных материалов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для выполнения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лабораторных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исслед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ований.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  1.  Порядок организации поставки и объем товара.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Расходные материалы для выполнения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лабораторных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исследований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(далее по тексту- товар), поставляем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ые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по данному техническому заданию указан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в таблице №1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SimSu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Таблица №1</w:t>
      </w:r>
      <w:r>
        <w:rPr>
          <w:rFonts w:ascii="Times New Roman" w:hAnsi="Times New Roman" w:eastAsia="SimSun" w:cs="Times New Roman"/>
          <w:sz w:val="20"/>
          <w:szCs w:val="20"/>
          <w:lang w:eastAsia="ru-RU"/>
        </w:rPr>
      </w:r>
      <w:r>
        <w:rPr>
          <w:rFonts w:ascii="Times New Roman" w:hAnsi="Times New Roman" w:eastAsia="SimSun" w:cs="Times New Roman"/>
          <w:sz w:val="20"/>
          <w:szCs w:val="20"/>
          <w:lang w:eastAsia="ru-RU"/>
        </w:rPr>
      </w:r>
    </w:p>
    <w:tbl>
      <w:tblPr>
        <w:tblW w:w="5003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897"/>
        <w:gridCol w:w="6777"/>
        <w:gridCol w:w="1593"/>
        <w:gridCol w:w="1494"/>
      </w:tblGrid>
      <w:tr>
        <w:tblPrEx/>
        <w:trPr>
          <w:trHeight w:val="227"/>
        </w:trPr>
        <w:tc>
          <w:tcPr>
            <w:shd w:val="clear" w:color="000000" w:fill="f2f2f2"/>
            <w:tcW w:w="41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2f2f2"/>
            <w:tcW w:w="314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2f2f2"/>
            <w:tcW w:w="74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Ед. измерения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000000" w:fill="f2f2f2"/>
            <w:tcW w:w="69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227"/>
        </w:trPr>
        <w:tc>
          <w:tcPr>
            <w:shd w:val="clear" w:color="ffffff" w:fill="ffffff"/>
            <w:tcW w:w="417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149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Олигонуклеотиды синтетические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шкала синтеза 0,04 мкмоль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74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ш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т.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694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  <w:t xml:space="preserve">14454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Синтетические олигонуклеотиды поставляются по заявке Заказчика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срок,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не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eastAsia="ru-RU"/>
        </w:rPr>
        <w:t xml:space="preserve">превышающий 20 рабочих дней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Форма заявки приведена в Приложении №1 к данному Техническому заданию.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Формулы последовательностей олигонуклеотидов, которые должны быть синтезированы и поставлены заказчику, указ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ываются в Заявке.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Крайний срок направления Заявок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Заказчиком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eastAsia="ru-RU"/>
        </w:rPr>
        <w:t xml:space="preserve">не поздне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eastAsia="ru-RU"/>
        </w:rPr>
        <w:t xml:space="preserve">е 30.11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eastAsia="ru-RU"/>
        </w:rPr>
        <w:t xml:space="preserve">.2026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Крайний срок поставки товаров по Заявкам: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eastAsia="ru-RU"/>
        </w:rPr>
        <w:t xml:space="preserve">не позднее 10.12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eastAsia="ru-RU"/>
        </w:rPr>
        <w:t xml:space="preserve">.2026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</w:t>
      </w:r>
      <w:bookmarkStart w:id="0" w:name="undefined"/>
      <w:r/>
      <w:bookmarkEnd w:id="0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2. Характеристики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товара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характеристики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общие для всех синтезированных фрагментов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олигонуклеотидов, последовательность синтеза излагается при формировании Заказа по Заявке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изложены в Таблице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</w:r>
    </w:p>
    <w:p>
      <w:pPr>
        <w:jc w:val="left"/>
        <w:rPr>
          <w:sz w:val="18"/>
          <w:szCs w:val="18"/>
          <w:lang w:eastAsia="zh-CN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  <w:lang w:eastAsia="ru-RU"/>
        </w:rPr>
        <w:t xml:space="preserve">ОКПД2:</w:t>
      </w:r>
      <w:r>
        <w:rPr>
          <w:lang w:val="en-US" w:eastAsia="zh-CN" w:bidi="ar"/>
        </w:rPr>
        <w:t xml:space="preserve">20.59.59.900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jc w:val="right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Таблица №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2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tbl>
      <w:tblPr>
        <w:tblStyle w:val="715"/>
        <w:tblW w:w="507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36"/>
        <w:gridCol w:w="1974"/>
        <w:gridCol w:w="2659"/>
        <w:gridCol w:w="1592"/>
        <w:gridCol w:w="1597"/>
        <w:gridCol w:w="1632"/>
      </w:tblGrid>
      <w:tr>
        <w:tblPrEx/>
        <w:trPr/>
        <w:tc>
          <w:tcPr>
            <w:shd w:val="clear" w:color="ffffff" w:fill="d9d9d9" w:themeFill="background1" w:themeFillShade="D9"/>
            <w:tcW w:w="436" w:type="dxa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W w:w="1974" w:type="dxa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Требуемый товар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Требуемые характеристики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Требуемое значение параметра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показателя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d9d9d9" w:themeFill="background1" w:themeFillShade="D9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по заполнению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436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Синтетические олигонуклеотиды, шкала синтеза 0,04 мкмоль; кол-во в ОE (для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праймера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длиной 20 оснований): 5.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Синтетические олигонуклеотиды длиной до 135 оснований, шкала синтеза 0,04 мкмоль.  синтезирован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ы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 в соответствии с заданной заказчиком последовательностью.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pStyle w:val="887"/>
              <w:ind w:left="104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Обессолен, не содержит посторонних примесей солей.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Borders>
              <w:bottom w:val="single" w:color="000000" w:sz="4" w:space="0"/>
            </w:tcBorders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273"/>
        </w:trPr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ind w:left="0" w:right="57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</w:rPr>
              <w:t xml:space="preserve">Степень чистоты,%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</w:rPr>
              <w:t xml:space="preserve">≥ 98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tcW w:w="1597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  <w:p>
            <w:pPr>
              <w:ind w:left="57" w:right="57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  <w:r>
              <w:rPr>
                <w:rFonts w:ascii="XO Thames" w:hAnsi="XO Thames" w:cs="XO Thames"/>
                <w:b w:val="0"/>
                <w:bCs w:val="0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Пробирки промаркированы и должны быть упакованы в транспортную защитную тару. В транспортной таре должно находиться краткое описание товара: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Наличие паспорта качества с указанием наименования, последовательности, условий хранения и срока годности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Упаковка: герметично укупоренные (пробирки объемом 2 мл).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63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 товаром в обязательном порядке предоставляются: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  <w:p>
            <w:pPr>
              <w:numPr>
                <w:ilvl w:val="0"/>
                <w:numId w:val="13"/>
              </w:numPr>
              <w:ind w:left="426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  <w:lang w:eastAsia="ru-RU"/>
              </w:rPr>
              <w:t xml:space="preserve">паспорт качества производителя.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390"/>
        </w:trPr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Количество, в одной пробирке не менее 25 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нмоль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390"/>
        </w:trPr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Олигонуклеотиды в растворе, финальная концентрация  100 пкМоль/мкл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2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7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vMerge w:val="restart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390"/>
        </w:trPr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Наличие маркировки с указанием наименования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 (последовательности олигонуклеотидов)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</w:tr>
      <w:tr>
        <w:tblPrEx/>
        <w:trPr>
          <w:trHeight w:val="1014"/>
        </w:trPr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63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 товаром в обязательном порядке предоставляются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 </w:t>
            </w:r>
            <w:r>
              <w:rPr>
                <w:rFonts w:ascii="XO Thames" w:hAnsi="XO Thames" w:eastAsia="XO Thames" w:cs="XO Thames"/>
                <w:sz w:val="20"/>
                <w:szCs w:val="20"/>
                <w:lang w:eastAsia="ru-RU"/>
              </w:rPr>
              <w:t xml:space="preserve">инструкция по применению и хранению</w:t>
            </w:r>
            <w:r>
              <w:rPr>
                <w:rFonts w:ascii="XO Thames" w:hAnsi="XO Thames" w:eastAsia="XO Thames" w:cs="XO Thames"/>
                <w:sz w:val="20"/>
                <w:szCs w:val="20"/>
                <w:lang w:eastAsia="ru-RU"/>
              </w:rPr>
              <w:t xml:space="preserve">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Гарантийный срок хранения при температуре хранения в диапазоне от –25 до -15 °C, не менее 12 месяцев.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b/>
                <w:bCs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  <w:r>
              <w:rPr>
                <w:rFonts w:ascii="XO Thames" w:hAnsi="XO Thames" w:cs="XO Thames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707"/>
        </w:trPr>
        <w:tc>
          <w:tcPr>
            <w:shd w:val="clear" w:color="ffffff" w:fill="ffffff"/>
            <w:tcW w:w="436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1974" w:type="dxa"/>
            <w:vMerge w:val="continue"/>
            <w:textDirection w:val="lrTb"/>
            <w:noWrap w:val="false"/>
          </w:tcPr>
          <w:p>
            <w:pPr>
              <w:ind w:left="57" w:right="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W w:w="2659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Остаточный срок годности на момент поставки, не менее 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80</w:t>
            </w: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% от срока годности, установленного производителем.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shd w:val="clear" w:color="ffffff" w:fill="ffffff"/>
            <w:tcW w:w="159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Соответствие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tcW w:w="1597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Качественный показатель.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  <w:tc>
          <w:tcPr>
            <w:shd w:val="clear" w:color="ffffff" w:fill="ffffff"/>
            <w:tcW w:w="1632" w:type="dxa"/>
            <w:textDirection w:val="lrTb"/>
            <w:noWrap w:val="false"/>
          </w:tcPr>
          <w:p>
            <w:pPr>
              <w:ind w:left="57" w:right="57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hAnsi="XO Thames" w:eastAsia="XO Thames" w:cs="XO Thames"/>
                <w:sz w:val="20"/>
                <w:szCs w:val="20"/>
              </w:rPr>
              <w:t xml:space="preserve">Значение параметра не может изменяться Участником</w:t>
            </w:r>
            <w:r>
              <w:rPr>
                <w:rFonts w:ascii="XO Thames" w:hAnsi="XO Thames" w:cs="XO Thames"/>
                <w:sz w:val="20"/>
                <w:szCs w:val="20"/>
              </w:rPr>
            </w:r>
            <w:r>
              <w:rPr>
                <w:rFonts w:ascii="XO Thames" w:hAnsi="XO Thames" w:cs="XO Thames"/>
                <w:sz w:val="20"/>
                <w:szCs w:val="20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61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2"/>
        </w:rPr>
        <w:t xml:space="preserve">Общие требования, предъявляемые к товару</w:t>
      </w:r>
      <w:r/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Поставщиком должен исполняться комплекс мероприятий по организации холодовых цепей на базе измерителей-регистраторов, которые применяются для контроля температуры при доставке товара до момента передачи его заказчику.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Независимо от количества привлекаемых для доставки товара субподрядных организаций должна обеспечиваться возможность документирования температурного режима груза от момента отгрузки товара и до момента получения груза Заказчиком. В каждом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термоконтейнере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должен находиться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терморегистратор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 отправке груза Поставщик обязан: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0"/>
          <w:numId w:val="15"/>
        </w:numPr>
        <w:contextualSpacing/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не менее чем за 48 часов уведомить Заказчика о дате прибытия товара;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0"/>
          <w:numId w:val="15"/>
        </w:numPr>
        <w:contextualSpacing/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температурном режиме хранения его отдельных компонентов;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0"/>
          <w:numId w:val="15"/>
        </w:numPr>
        <w:contextualSpacing/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схеме раскладки по промаркированным Поставщиком для упрощения проверки по номенклатуре и количеству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термоконтейнерам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и иной транспортной таре (коробкам, контейнерам, ящикам);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0"/>
          <w:numId w:val="15"/>
        </w:numPr>
        <w:contextualSpacing/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номера пломбировочных устройств и номера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термоиндикаторов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 местами их закладки.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Упаковки, содержащие товар с заданным температурным диапазоном хранения и перевозки, должны иметь соответствующую маркировку.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Принимая во внимание сложно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сть поставляемых компонентов и его высокую стоимость, при приемке товара должен присутствовать представитель Поставщика, действующий по доверенности, выданной уполномоченным руководителем Поставщика для проведения действий по передаче товара по Контракту.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случае отказа Поставщика от направления представителя для передачи тов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ара в месте получения груза Заказчиком или его отсутствии при прибытии указанного товара к месту выгрузки, в акте приемки товара Заказчиком указывается об отсутствии уполномоченного представителя Поставщика. В этом случае проверка груза проводится представ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ителями Заказчика самостоятельно и его результаты (проверка результатов контроля холодовой цепи, состояние груза и недостатки, выявленные путем внешнего осмотра груза и проведение измерений температуры поступившего груза, не могут оспариваться Поставщиком.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Поступивший груз должен быть доставлен по адресу: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197376, г. Санкт-Петербург, ул. Профессора Попова, д.15/17, лит. Б, (лаборатория молекулярной вирусологии, 2 этаж, лифт отсутствует)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Поставка товара включает в себя: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0"/>
          <w:numId w:val="14"/>
        </w:num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доставку в специализированной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термо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упаковке 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для реагентов требующих соблюдения температурного диапазона при хранении и транспортировке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по адресу Заказчика;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numPr>
          <w:ilvl w:val="0"/>
          <w:numId w:val="14"/>
        </w:num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распаковку,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доставку товара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к месту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размещения на складе Заказчика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оказание указанных услуг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Поставщиком входит в стоимость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Договор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а);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numPr>
          <w:ilvl w:val="0"/>
          <w:numId w:val="14"/>
        </w:num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неукоснительное соблюдение Поставщиком мероприятий по осуществлению контроля холодовой цепи. Терморегистраторы должны находиться в опечатанных вместе с товаром 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numPr>
          <w:ilvl w:val="0"/>
          <w:numId w:val="14"/>
        </w:num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выполнение совместно с представителями Заказчика контроля температурного режима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доставленного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товара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(товар, поставленный с нарушением режима температуры хранения Заказчиком не принимается и подлежит замене)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;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firstLine="284"/>
        <w:jc w:val="right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 Все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поставляемые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товары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должны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име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ть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 действующие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Сертификат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ы соответствия,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сертификаты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качества (при их оформлении на территории Российской Федерации для данного вида продукции), являться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 новыми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, без повреждений заводской упаковки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, не перепакованными, с остаточным сроком годности </w:t>
      </w:r>
      <w:r>
        <w:rPr>
          <w:rFonts w:ascii="Times New Roman" w:hAnsi="Times New Roman" w:eastAsia="Times New Roman" w:cs="Times New Roman"/>
          <w:bCs/>
          <w:sz w:val="20"/>
          <w:szCs w:val="20"/>
          <w:u w:val="single"/>
          <w:lang w:eastAsia="ru-RU"/>
        </w:rPr>
        <w:t xml:space="preserve">в соответствии с Техническим заданием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Приложение №1: Форма заявки на поставку товара на 1 л.</w:t>
      </w:r>
      <w:r>
        <w:rPr>
          <w:rFonts w:ascii="Times New Roman" w:hAnsi="Times New Roman" w:cs="Times New Roman"/>
          <w:i/>
          <w:iCs/>
          <w:sz w:val="20"/>
          <w:szCs w:val="20"/>
        </w:rPr>
      </w:r>
      <w:r>
        <w:rPr>
          <w:rFonts w:ascii="Times New Roman" w:hAnsi="Times New Roman" w:cs="Times New Roman"/>
          <w:i/>
          <w:iCs/>
          <w:sz w:val="20"/>
          <w:szCs w:val="20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outlineLvl w:val="0"/>
      </w:pP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 xml:space="preserve">Приложение к техническому заданию N 1.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lang w:eastAsia="ru-RU"/>
        </w:rPr>
        <w:t xml:space="preserve">ФОРМА ЗАЯВКИ НА ПОСТАВКУ ТОВАРА</w:t>
      </w: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sz w:val="20"/>
          <w:szCs w:val="20"/>
          <w:highlight w:val="none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 xml:space="preserve">Заявка на поставку Товара N __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 xml:space="preserve">к Контракту от "__" _____ 20__ г. N ____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г. Санкт-Петербург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ab/>
        <w:t xml:space="preserve">от «____» _______________ 202__ г.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r>
    </w:p>
    <w:tbl>
      <w:tblPr>
        <w:tblW w:w="10197" w:type="dxa"/>
        <w:tblInd w:w="-8" w:type="dxa"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16"/>
        <w:gridCol w:w="1144"/>
        <w:gridCol w:w="2551"/>
        <w:gridCol w:w="992"/>
        <w:gridCol w:w="1418"/>
        <w:gridCol w:w="2268"/>
        <w:gridCol w:w="1408"/>
      </w:tblGrid>
      <w:tr>
        <w:tblPrEx/>
        <w:trPr/>
        <w:tc>
          <w:tcPr>
            <w:shd w:val="clear" w:color="ffffff" w:fill="d9d9d9" w:themeFill="background1" w:themeFillShade="D9"/>
            <w:tcBorders>
              <w:top w:val="single" w:color="000000" w:sz="6" w:space="0"/>
              <w:left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N 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Требуемая дата поставки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left w:val="single" w:color="000000" w:sz="4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Наименование Товара, требуемая последовательность олигонуклеотидов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Единицы измерения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Количество в единицах измерения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Цена за единицу измерения, руб. (включая НДС) (если облагается НДС)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Стоимость, руб. (включая НДС) (если облагается НДС)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d9d9d9" w:themeFill="background1" w:themeFillShade="D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d9d9d9" w:themeFill="background1" w:themeFillShade="D9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416" w:type="dxa"/>
            <w:textDirection w:val="lrTb"/>
            <w:noWrap w:val="false"/>
          </w:tcPr>
          <w:p>
            <w:pPr>
              <w:pStyle w:val="701"/>
              <w:numPr>
                <w:ilvl w:val="0"/>
                <w:numId w:val="16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4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55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226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14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  <w:t xml:space="preserve">*Заявка может содержать требуемые даты поставок на более продолжительный период (например, помесячный или более детальный график).</w:t>
      </w:r>
      <w:r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  <w:t xml:space="preserve"> По договоренности, для исключения ошибок в передаче синтезируемых последовательностей олигонуклеотидов, может оформляться заявка в электронной форме.</w:t>
      </w:r>
      <w:r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</w:pPr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iCs/>
          <w:vanish/>
          <w:color w:val="000000"/>
          <w:sz w:val="20"/>
          <w:szCs w:val="20"/>
          <w:lang w:eastAsia="ru-RU"/>
        </w:rPr>
      </w:r>
    </w:p>
    <w:tbl>
      <w:tblPr>
        <w:tblW w:w="5000" w:type="pct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50"/>
        <w:gridCol w:w="359"/>
        <w:gridCol w:w="5150"/>
      </w:tblGrid>
      <w:tr>
        <w:tblPrEx/>
        <w:trPr/>
        <w:tc>
          <w:tcPr>
            <w:gridSpan w:val="3"/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Адрес поставки Товара: 197376, г. Санкт-Петербург, ул. Профессора Попова, д.15/17, лит. Б, (2 этаж, лифт отсутствует)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Подпись: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От Заказчика: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От Поставщика: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Borders>
              <w:bottom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u w:val="singl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</w:tcBorders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М.П. (при наличии)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М.П. (при наличии)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Mar>
              <w:left w:w="60" w:type="dxa"/>
              <w:top w:w="90" w:type="dxa"/>
              <w:right w:w="60" w:type="dxa"/>
              <w:bottom w:w="9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  <w:r>
        <w:rPr>
          <w:rFonts w:ascii="Times New Roman" w:hAnsi="Times New Roman" w:cs="Times New Roman"/>
          <w:lang w:val="ru-RU"/>
        </w:rPr>
      </w:r>
    </w:p>
    <w:sectPr>
      <w:footnotePr/>
      <w:endnotePr/>
      <w:type w:val="nextPage"/>
      <w:pgSz w:w="11907" w:h="16839" w:orient="portrait"/>
      <w:pgMar w:top="567" w:right="687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/>
      </w:pPr>
      <w:r>
        <w:separator/>
      </w:r>
      <w:r/>
    </w:p>
  </w:endnote>
  <w:endnote w:type="continuationSeparator" w:id="0">
    <w:p>
      <w:pPr>
        <w:spacing w:before="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imSun">
    <w:panose1 w:val="02000604000000000000"/>
  </w:font>
  <w:font w:name="Wingdings">
    <w:panose1 w:val="05010000000000000000"/>
  </w:font>
  <w:font w:name="Symbol">
    <w:panose1 w:val="05050102000706020507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/>
      </w:pPr>
      <w:r>
        <w:separator/>
      </w:r>
      <w:r/>
    </w:p>
  </w:footnote>
  <w:footnote w:type="continuationSeparator" w:id="0">
    <w:p>
      <w:pPr>
        <w:spacing w:before="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3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b3b3b7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b3b3b7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b3b3b7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b3b3b7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b3b3b7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b3b3b7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b3b3b7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b3b3b7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b3b3b7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5"/>
    <w:lvlOverride w:ilvl="0">
      <w:lvl w:ilvl="0">
        <w:start w:val="1"/>
        <w:numFmt w:val="decimal"/>
        <w:isLgl w:val="false"/>
        <w:suff w:val="tab"/>
        <w:lvlText w:val=""/>
        <w:lvlJc w:val="left"/>
        <w:pPr/>
      </w:lvl>
    </w:lvlOverride>
    <w:lvlOverride w:ilvl="1">
      <w:lvl w:ilvl="1">
        <w:start w:val="1"/>
        <w:numFmt w:val="decimal"/>
        <w:isLgl w:val="false"/>
        <w:suff w:val="tab"/>
        <w:lvlText w:val="%2."/>
        <w:lvlJc w:val="left"/>
        <w:pPr>
          <w:ind w:left="0" w:firstLine="0"/>
        </w:pPr>
        <w:rPr>
          <w:rFonts w:hint="default" w:ascii="Courier New" w:hAnsi="Courier New" w:cs="Times New Roman"/>
          <w:sz w:val="20"/>
        </w:rPr>
      </w:lvl>
    </w:lvlOverride>
    <w:lvlOverride w:ilvl="2">
      <w:lvl w:ilvl="2">
        <w:start w:val="1"/>
        <w:numFmt w:val="decimal"/>
        <w:isLgl w:val="false"/>
        <w:suff w:val="tab"/>
        <w:lvlText w:val=""/>
        <w:lvlJc w:val="left"/>
        <w:pPr/>
      </w:lvl>
    </w:lvlOverride>
    <w:lvlOverride w:ilvl="3">
      <w:lvl w:ilvl="3">
        <w:start w:val="1"/>
        <w:numFmt w:val="decimal"/>
        <w:isLgl w:val="false"/>
        <w:suff w:val="tab"/>
        <w:lvlText w:val=""/>
        <w:lvlJc w:val="left"/>
        <w:pPr/>
      </w:lvl>
    </w:lvlOverride>
    <w:lvlOverride w:ilvl="4">
      <w:lvl w:ilvl="4">
        <w:start w:val="1"/>
        <w:numFmt w:val="decimal"/>
        <w:isLgl w:val="false"/>
        <w:suff w:val="tab"/>
        <w:lvlText w:val=""/>
        <w:lvlJc w:val="left"/>
        <w:pPr/>
      </w:lvl>
    </w:lvlOverride>
    <w:lvlOverride w:ilvl="5">
      <w:lvl w:ilvl="5">
        <w:start w:val="1"/>
        <w:numFmt w:val="decimal"/>
        <w:isLgl w:val="false"/>
        <w:suff w:val="tab"/>
        <w:lvlText w:val=""/>
        <w:lvlJc w:val="left"/>
        <w:pPr/>
      </w:lvl>
    </w:lvlOverride>
    <w:lvlOverride w:ilvl="6">
      <w:lvl w:ilvl="6">
        <w:start w:val="1"/>
        <w:numFmt w:val="decimal"/>
        <w:isLgl w:val="false"/>
        <w:suff w:val="tab"/>
        <w:lvlText w:val=""/>
        <w:lvlJc w:val="left"/>
        <w:pPr/>
      </w:lvl>
    </w:lvlOverride>
    <w:lvlOverride w:ilvl="7">
      <w:lvl w:ilvl="7">
        <w:start w:val="1"/>
        <w:numFmt w:val="decimal"/>
        <w:isLgl w:val="false"/>
        <w:suff w:val="tab"/>
        <w:lvlText w:val=""/>
        <w:lvlJc w:val="left"/>
        <w:pPr/>
      </w:lvl>
    </w:lvlOverride>
    <w:lvlOverride w:ilvl="8">
      <w:lvl w:ilvl="8">
        <w:start w:val="1"/>
        <w:numFmt w:val="decimal"/>
        <w:isLgl w:val="false"/>
        <w:suff w:val="tab"/>
        <w:lvlText w:val=""/>
        <w:lvlJc w:val="left"/>
        <w:pPr/>
      </w:lvl>
    </w:lvlOverride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1 Char"/>
    <w:basedOn w:val="862"/>
    <w:link w:val="859"/>
    <w:uiPriority w:val="9"/>
    <w:rPr>
      <w:rFonts w:ascii="Arial" w:hAnsi="Arial" w:eastAsia="Arial" w:cs="Arial"/>
      <w:sz w:val="40"/>
      <w:szCs w:val="40"/>
    </w:rPr>
  </w:style>
  <w:style w:type="character" w:styleId="687">
    <w:name w:val="Heading 2 Char"/>
    <w:basedOn w:val="862"/>
    <w:link w:val="860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basedOn w:val="862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basedOn w:val="862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92">
    <w:name w:val="Heading 5 Char"/>
    <w:basedOn w:val="862"/>
    <w:link w:val="86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58"/>
    <w:next w:val="858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basedOn w:val="862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58"/>
    <w:next w:val="858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basedOn w:val="862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58"/>
    <w:next w:val="858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basedOn w:val="862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58"/>
    <w:next w:val="858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basedOn w:val="862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List Paragraph"/>
    <w:basedOn w:val="858"/>
    <w:uiPriority w:val="34"/>
    <w:qFormat/>
    <w:pPr>
      <w:contextualSpacing/>
      <w:ind w:left="720"/>
    </w:p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58"/>
    <w:next w:val="858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basedOn w:val="862"/>
    <w:link w:val="703"/>
    <w:uiPriority w:val="10"/>
    <w:rPr>
      <w:sz w:val="48"/>
      <w:szCs w:val="48"/>
    </w:rPr>
  </w:style>
  <w:style w:type="paragraph" w:styleId="705">
    <w:name w:val="Subtitle"/>
    <w:basedOn w:val="858"/>
    <w:next w:val="858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basedOn w:val="862"/>
    <w:link w:val="705"/>
    <w:uiPriority w:val="11"/>
    <w:rPr>
      <w:sz w:val="24"/>
      <w:szCs w:val="24"/>
    </w:rPr>
  </w:style>
  <w:style w:type="paragraph" w:styleId="707">
    <w:name w:val="Quote"/>
    <w:basedOn w:val="858"/>
    <w:next w:val="858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58"/>
    <w:next w:val="858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character" w:styleId="711">
    <w:name w:val="Header Char"/>
    <w:basedOn w:val="862"/>
    <w:link w:val="866"/>
    <w:uiPriority w:val="99"/>
  </w:style>
  <w:style w:type="character" w:styleId="712">
    <w:name w:val="Footer Char"/>
    <w:basedOn w:val="862"/>
    <w:link w:val="868"/>
    <w:uiPriority w:val="99"/>
  </w:style>
  <w:style w:type="paragraph" w:styleId="713">
    <w:name w:val="Caption"/>
    <w:basedOn w:val="858"/>
    <w:next w:val="858"/>
    <w:link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862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"/>
    <w:basedOn w:val="86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Table Grid Light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8">
    <w:name w:val="Grid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9">
    <w:name w:val="Grid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0">
    <w:name w:val="Grid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1">
    <w:name w:val="Grid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2">
    <w:name w:val="Grid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4">
    <w:name w:val="List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5">
    <w:name w:val="List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6">
    <w:name w:val="List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7">
    <w:name w:val="List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8">
    <w:name w:val="List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9">
    <w:name w:val="List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0">
    <w:name w:val="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basedOn w:val="862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basedOn w:val="862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</w:style>
  <w:style w:type="paragraph" w:styleId="859">
    <w:name w:val="Heading 1"/>
    <w:basedOn w:val="858"/>
    <w:next w:val="858"/>
    <w:link w:val="865"/>
    <w:uiPriority w:val="9"/>
    <w:qFormat/>
    <w:pPr>
      <w:keepLines/>
      <w:keepNext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60">
    <w:name w:val="Heading 2"/>
    <w:basedOn w:val="858"/>
    <w:next w:val="858"/>
    <w:link w:val="879"/>
    <w:uiPriority w:val="9"/>
    <w:unhideWhenUsed/>
    <w:qFormat/>
    <w:pPr>
      <w:keepLines/>
      <w:keepNext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861">
    <w:name w:val="Heading 5"/>
    <w:basedOn w:val="858"/>
    <w:next w:val="858"/>
    <w:link w:val="871"/>
    <w:uiPriority w:val="9"/>
    <w:semiHidden/>
    <w:unhideWhenUsed/>
    <w:qFormat/>
    <w:pPr>
      <w:keepLines/>
      <w:keepNext/>
      <w:spacing w:before="40" w:after="0"/>
      <w:outlineLvl w:val="4"/>
    </w:pPr>
    <w:rPr>
      <w:rFonts w:asciiTheme="majorHAnsi" w:hAnsiTheme="majorHAnsi" w:eastAsiaTheme="majorEastAsia" w:cstheme="majorBidi"/>
      <w:color w:val="365f91" w:themeColor="accent1" w:themeShade="BF"/>
    </w:rPr>
  </w:style>
  <w:style w:type="character" w:styleId="862" w:default="1">
    <w:name w:val="Default Paragraph Font"/>
    <w:uiPriority w:val="1"/>
    <w:semiHidden/>
    <w:unhideWhenUsed/>
  </w:style>
  <w:style w:type="table" w:styleId="8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4" w:default="1">
    <w:name w:val="No List"/>
    <w:uiPriority w:val="99"/>
    <w:semiHidden/>
    <w:unhideWhenUsed/>
  </w:style>
  <w:style w:type="character" w:styleId="865" w:customStyle="1">
    <w:name w:val="Заголовок 1 Знак"/>
    <w:basedOn w:val="862"/>
    <w:link w:val="85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66">
    <w:name w:val="Header"/>
    <w:basedOn w:val="858"/>
    <w:link w:val="867"/>
    <w:uiPriority w:val="99"/>
    <w:unhideWhenUsed/>
    <w:pPr>
      <w:spacing w:before="0" w:after="0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2"/>
    <w:link w:val="866"/>
    <w:uiPriority w:val="99"/>
  </w:style>
  <w:style w:type="paragraph" w:styleId="868">
    <w:name w:val="Footer"/>
    <w:basedOn w:val="858"/>
    <w:link w:val="869"/>
    <w:uiPriority w:val="99"/>
    <w:unhideWhenUsed/>
    <w:pPr>
      <w:spacing w:before="0" w:after="0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62"/>
    <w:link w:val="868"/>
    <w:uiPriority w:val="99"/>
  </w:style>
  <w:style w:type="character" w:styleId="870" w:customStyle="1">
    <w:name w:val="elementor-icon-list-text"/>
    <w:basedOn w:val="862"/>
  </w:style>
  <w:style w:type="character" w:styleId="871" w:customStyle="1">
    <w:name w:val="Заголовок 5 Знак"/>
    <w:basedOn w:val="862"/>
    <w:link w:val="861"/>
    <w:uiPriority w:val="9"/>
    <w:semiHidden/>
    <w:rPr>
      <w:rFonts w:asciiTheme="majorHAnsi" w:hAnsiTheme="majorHAnsi" w:eastAsiaTheme="majorEastAsia" w:cstheme="majorBidi"/>
      <w:color w:val="365f91" w:themeColor="accent1" w:themeShade="BF"/>
    </w:rPr>
  </w:style>
  <w:style w:type="character" w:styleId="872">
    <w:name w:val="Hyperlink"/>
    <w:basedOn w:val="862"/>
    <w:uiPriority w:val="99"/>
    <w:unhideWhenUsed/>
    <w:rPr>
      <w:color w:val="0000ff"/>
      <w:u w:val="single"/>
    </w:rPr>
  </w:style>
  <w:style w:type="character" w:styleId="873">
    <w:name w:val="Unresolved Mention"/>
    <w:basedOn w:val="862"/>
    <w:uiPriority w:val="99"/>
    <w:semiHidden/>
    <w:unhideWhenUsed/>
    <w:rPr>
      <w:color w:val="605e5c"/>
      <w:shd w:val="clear" w:color="auto" w:fill="e1dfdd"/>
    </w:rPr>
  </w:style>
  <w:style w:type="paragraph" w:styleId="874" w:customStyle="1">
    <w:name w:val="card-tabs-props-list-item"/>
    <w:basedOn w:val="858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75" w:customStyle="1">
    <w:name w:val="_typography_fsyzi_47"/>
    <w:basedOn w:val="862"/>
  </w:style>
  <w:style w:type="character" w:styleId="876">
    <w:name w:val="Emphasis"/>
    <w:basedOn w:val="862"/>
    <w:uiPriority w:val="20"/>
    <w:qFormat/>
    <w:rPr>
      <w:i/>
      <w:iCs/>
    </w:rPr>
  </w:style>
  <w:style w:type="paragraph" w:styleId="877">
    <w:name w:val="Normal (Web)"/>
    <w:basedOn w:val="858"/>
    <w:uiPriority w:val="99"/>
    <w:semiHidden/>
    <w:unhideWhenUsed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78" w:customStyle="1">
    <w:name w:val="header__top-list_item"/>
    <w:basedOn w:val="858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79" w:customStyle="1">
    <w:name w:val="Заголовок 2 Знак"/>
    <w:basedOn w:val="862"/>
    <w:link w:val="860"/>
    <w:uiPriority w:val="9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880" w:customStyle="1">
    <w:name w:val="organictitlecontentspan"/>
    <w:basedOn w:val="862"/>
  </w:style>
  <w:style w:type="paragraph" w:styleId="881" w:customStyle="1">
    <w:name w:val="footer_contacts_icons_text"/>
    <w:basedOn w:val="858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82" w:customStyle="1">
    <w:name w:val="text-justify"/>
    <w:basedOn w:val="858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883" w:customStyle="1">
    <w:name w:val="product-info-specifications-value__value"/>
    <w:basedOn w:val="862"/>
  </w:style>
  <w:style w:type="character" w:styleId="884" w:customStyle="1">
    <w:name w:val="product-info-specifications-value__unit"/>
    <w:basedOn w:val="862"/>
  </w:style>
  <w:style w:type="paragraph" w:styleId="885">
    <w:name w:val="HTML Preformatted"/>
    <w:basedOn w:val="858"/>
    <w:link w:val="886"/>
    <w:uiPriority w:val="99"/>
    <w:semiHidden/>
    <w:unhideWhenUsed/>
    <w:pPr>
      <w:spacing w:before="0" w:beforeAutospacing="0" w:after="0" w:afterAutospacing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val="ru-RU" w:eastAsia="ru-RU"/>
    </w:rPr>
  </w:style>
  <w:style w:type="character" w:styleId="886" w:customStyle="1">
    <w:name w:val="Стандартный HTML Знак"/>
    <w:basedOn w:val="862"/>
    <w:link w:val="885"/>
    <w:uiPriority w:val="99"/>
    <w:semiHidden/>
    <w:rPr>
      <w:rFonts w:ascii="Courier New" w:hAnsi="Courier New" w:eastAsia="Times New Roman" w:cs="Courier New"/>
      <w:sz w:val="20"/>
      <w:szCs w:val="20"/>
      <w:lang w:val="ru-RU" w:eastAsia="ru-RU"/>
    </w:rPr>
  </w:style>
  <w:style w:type="paragraph" w:styleId="887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Штырева</dc:creator>
  <dc:description>Подготовлено экспертами Группы Актион</dc:description>
  <cp:lastModifiedBy>oksana.bratchenko</cp:lastModifiedBy>
  <cp:revision>24</cp:revision>
  <dcterms:created xsi:type="dcterms:W3CDTF">2025-10-22T19:48:00Z</dcterms:created>
  <dcterms:modified xsi:type="dcterms:W3CDTF">2026-08-20T13:50:56Z</dcterms:modified>
</cp:coreProperties>
</file>