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5DC04" w14:textId="77777777" w:rsidR="004B265E" w:rsidRPr="00CB78D8" w:rsidRDefault="004B265E" w:rsidP="004B265E">
      <w:pPr>
        <w:spacing w:line="276" w:lineRule="auto"/>
        <w:ind w:right="-1" w:firstLine="567"/>
        <w:jc w:val="center"/>
        <w:rPr>
          <w:b/>
        </w:rPr>
      </w:pPr>
      <w:r w:rsidRPr="00CB78D8">
        <w:rPr>
          <w:b/>
        </w:rPr>
        <w:t>ТЕХНИЧЕСКОЕ ЗАДАНИЕ</w:t>
      </w:r>
    </w:p>
    <w:p w14:paraId="25B66D75" w14:textId="30390792" w:rsidR="004B265E" w:rsidRPr="00CB78D8" w:rsidRDefault="001F11DD" w:rsidP="001F11DD">
      <w:pPr>
        <w:suppressAutoHyphens/>
        <w:spacing w:line="276" w:lineRule="auto"/>
        <w:ind w:right="-1" w:firstLine="567"/>
        <w:jc w:val="center"/>
        <w:rPr>
          <w:rFonts w:eastAsia="Andale Sans UI"/>
          <w:b/>
          <w:kern w:val="2"/>
          <w:lang w:eastAsia="ar-SA"/>
        </w:rPr>
      </w:pPr>
      <w:r w:rsidRPr="00CB78D8">
        <w:rPr>
          <w:b/>
        </w:rPr>
        <w:t>на выполнение</w:t>
      </w:r>
      <w:r w:rsidR="00A932AC">
        <w:rPr>
          <w:b/>
        </w:rPr>
        <w:t xml:space="preserve"> </w:t>
      </w:r>
      <w:r w:rsidR="00054FB4">
        <w:rPr>
          <w:b/>
        </w:rPr>
        <w:t>услуг</w:t>
      </w:r>
      <w:r w:rsidR="00A932AC">
        <w:rPr>
          <w:b/>
        </w:rPr>
        <w:t xml:space="preserve"> по</w:t>
      </w:r>
      <w:r w:rsidR="00A932AC" w:rsidRPr="00CB78D8">
        <w:rPr>
          <w:b/>
        </w:rPr>
        <w:t xml:space="preserve"> разработке проектно-сметной документации на оснащение системой пожарной сигнализации, системой оповещения и управления эвакуацией </w:t>
      </w:r>
      <w:r w:rsidR="00DA59CB">
        <w:rPr>
          <w:b/>
        </w:rPr>
        <w:t xml:space="preserve">людей при пожаре здания </w:t>
      </w:r>
      <w:r w:rsidR="00054FB4">
        <w:rPr>
          <w:b/>
        </w:rPr>
        <w:t>ФГБУ «Земля леопарда»</w:t>
      </w:r>
      <w:r w:rsidR="00A932AC" w:rsidRPr="00CB78D8">
        <w:rPr>
          <w:b/>
        </w:rPr>
        <w:t>, расположенно</w:t>
      </w:r>
      <w:r w:rsidR="00A932AC">
        <w:rPr>
          <w:b/>
        </w:rPr>
        <w:t>го</w:t>
      </w:r>
      <w:r w:rsidR="00A932AC" w:rsidRPr="00CB78D8">
        <w:rPr>
          <w:b/>
        </w:rPr>
        <w:t xml:space="preserve"> по адресу: </w:t>
      </w:r>
      <w:r w:rsidR="00054FB4">
        <w:rPr>
          <w:b/>
        </w:rPr>
        <w:t xml:space="preserve">Приморский край, </w:t>
      </w:r>
      <w:proofErr w:type="spellStart"/>
      <w:r w:rsidR="00A37E5C">
        <w:rPr>
          <w:b/>
        </w:rPr>
        <w:t>г.Владивосток</w:t>
      </w:r>
      <w:proofErr w:type="spellEnd"/>
      <w:r w:rsidR="00054FB4">
        <w:rPr>
          <w:b/>
        </w:rPr>
        <w:t xml:space="preserve">, </w:t>
      </w:r>
      <w:proofErr w:type="spellStart"/>
      <w:r w:rsidR="00054FB4">
        <w:rPr>
          <w:b/>
        </w:rPr>
        <w:t>ул.</w:t>
      </w:r>
      <w:r w:rsidR="00A37E5C">
        <w:rPr>
          <w:b/>
        </w:rPr>
        <w:t>Дальзаводская</w:t>
      </w:r>
      <w:proofErr w:type="spellEnd"/>
      <w:r w:rsidR="00A37E5C">
        <w:rPr>
          <w:b/>
        </w:rPr>
        <w:t xml:space="preserve">, </w:t>
      </w:r>
      <w:proofErr w:type="spellStart"/>
      <w:r w:rsidR="00A37E5C">
        <w:rPr>
          <w:b/>
        </w:rPr>
        <w:t>д.2</w:t>
      </w:r>
      <w:proofErr w:type="spellEnd"/>
      <w:r w:rsidR="00A37E5C">
        <w:rPr>
          <w:b/>
        </w:rPr>
        <w:t xml:space="preserve"> «А</w:t>
      </w:r>
      <w:r w:rsidR="00054FB4">
        <w:rPr>
          <w:b/>
        </w:rPr>
        <w:t>»</w:t>
      </w:r>
      <w:r w:rsidR="00A37E5C">
        <w:rPr>
          <w:b/>
        </w:rPr>
        <w:t>, этаж-4</w:t>
      </w:r>
    </w:p>
    <w:p w14:paraId="6291D979" w14:textId="77777777" w:rsidR="004B265E" w:rsidRPr="00CB78D8" w:rsidRDefault="004B265E" w:rsidP="004B265E">
      <w:pPr>
        <w:tabs>
          <w:tab w:val="left" w:pos="9781"/>
        </w:tabs>
        <w:spacing w:line="276" w:lineRule="auto"/>
        <w:ind w:right="49"/>
        <w:jc w:val="center"/>
        <w:rPr>
          <w:spacing w:val="-3"/>
        </w:rPr>
      </w:pPr>
    </w:p>
    <w:p w14:paraId="1050EB19" w14:textId="77777777" w:rsidR="004B265E" w:rsidRPr="00946A5C" w:rsidRDefault="004B265E" w:rsidP="004B265E">
      <w:pPr>
        <w:numPr>
          <w:ilvl w:val="0"/>
          <w:numId w:val="12"/>
        </w:numPr>
        <w:spacing w:line="276" w:lineRule="auto"/>
        <w:contextualSpacing/>
        <w:jc w:val="center"/>
        <w:rPr>
          <w:rFonts w:eastAsia="WenQuanYi Micro Hei"/>
          <w:b/>
          <w:kern w:val="1"/>
          <w:lang w:eastAsia="en-US"/>
        </w:rPr>
      </w:pPr>
      <w:r w:rsidRPr="00CB78D8">
        <w:rPr>
          <w:rFonts w:eastAsia="WenQuanYi Micro Hei"/>
          <w:b/>
          <w:kern w:val="1"/>
          <w:lang w:eastAsia="en-US"/>
        </w:rPr>
        <w:t>Общие сведения.</w:t>
      </w:r>
    </w:p>
    <w:p w14:paraId="15B71080" w14:textId="023E1C0D" w:rsidR="00054FB4" w:rsidRDefault="004B265E" w:rsidP="004B265E">
      <w:pPr>
        <w:spacing w:line="276" w:lineRule="auto"/>
        <w:ind w:firstLine="567"/>
        <w:jc w:val="both"/>
        <w:rPr>
          <w:color w:val="22272F"/>
        </w:rPr>
      </w:pPr>
      <w:r w:rsidRPr="00CB78D8">
        <w:rPr>
          <w:b/>
          <w:bCs/>
        </w:rPr>
        <w:t xml:space="preserve">Место </w:t>
      </w:r>
      <w:r w:rsidR="00054FB4">
        <w:rPr>
          <w:b/>
          <w:bCs/>
        </w:rPr>
        <w:t>оказание</w:t>
      </w:r>
      <w:r w:rsidRPr="00CB78D8">
        <w:rPr>
          <w:b/>
          <w:bCs/>
        </w:rPr>
        <w:t xml:space="preserve"> </w:t>
      </w:r>
      <w:r w:rsidR="00054FB4">
        <w:rPr>
          <w:b/>
          <w:bCs/>
        </w:rPr>
        <w:t>услуг</w:t>
      </w:r>
      <w:r w:rsidRPr="00CB78D8">
        <w:rPr>
          <w:b/>
          <w:bCs/>
        </w:rPr>
        <w:t xml:space="preserve">: </w:t>
      </w:r>
      <w:r w:rsidR="00054FB4" w:rsidRPr="00054FB4">
        <w:rPr>
          <w:color w:val="22272F"/>
        </w:rPr>
        <w:t xml:space="preserve">Приморский край, </w:t>
      </w:r>
      <w:proofErr w:type="spellStart"/>
      <w:r w:rsidR="00A37E5C">
        <w:rPr>
          <w:color w:val="22272F"/>
        </w:rPr>
        <w:t>г.Владивосток</w:t>
      </w:r>
      <w:proofErr w:type="spellEnd"/>
      <w:r w:rsidR="00054FB4" w:rsidRPr="00054FB4">
        <w:rPr>
          <w:color w:val="22272F"/>
        </w:rPr>
        <w:t xml:space="preserve">, </w:t>
      </w:r>
      <w:proofErr w:type="spellStart"/>
      <w:r w:rsidR="00054FB4" w:rsidRPr="00054FB4">
        <w:rPr>
          <w:color w:val="22272F"/>
        </w:rPr>
        <w:t>ул.</w:t>
      </w:r>
      <w:r w:rsidR="00A37E5C">
        <w:rPr>
          <w:color w:val="22272F"/>
        </w:rPr>
        <w:t>Дальзаводская</w:t>
      </w:r>
      <w:proofErr w:type="spellEnd"/>
      <w:r w:rsidR="00A37E5C">
        <w:rPr>
          <w:color w:val="22272F"/>
        </w:rPr>
        <w:t xml:space="preserve">, </w:t>
      </w:r>
      <w:proofErr w:type="spellStart"/>
      <w:r w:rsidR="00A37E5C">
        <w:rPr>
          <w:color w:val="22272F"/>
        </w:rPr>
        <w:t>д.2</w:t>
      </w:r>
      <w:proofErr w:type="spellEnd"/>
      <w:r w:rsidR="00A37E5C">
        <w:rPr>
          <w:color w:val="22272F"/>
        </w:rPr>
        <w:t xml:space="preserve"> «А</w:t>
      </w:r>
      <w:r w:rsidR="00054FB4" w:rsidRPr="00054FB4">
        <w:rPr>
          <w:color w:val="22272F"/>
        </w:rPr>
        <w:t>»</w:t>
      </w:r>
      <w:r w:rsidR="00A37E5C">
        <w:rPr>
          <w:color w:val="22272F"/>
        </w:rPr>
        <w:t>, этаж-4</w:t>
      </w:r>
    </w:p>
    <w:p w14:paraId="2C5823C4" w14:textId="7948FBF1" w:rsidR="004B265E" w:rsidRPr="00CB78D8" w:rsidRDefault="004B265E" w:rsidP="004B265E">
      <w:pPr>
        <w:spacing w:line="276" w:lineRule="auto"/>
        <w:ind w:firstLine="567"/>
        <w:jc w:val="both"/>
      </w:pPr>
      <w:r w:rsidRPr="00CB78D8">
        <w:rPr>
          <w:b/>
        </w:rPr>
        <w:t xml:space="preserve">Вид </w:t>
      </w:r>
      <w:r w:rsidR="00054FB4">
        <w:rPr>
          <w:b/>
        </w:rPr>
        <w:t>услуг</w:t>
      </w:r>
      <w:r w:rsidRPr="00CB78D8">
        <w:rPr>
          <w:b/>
        </w:rPr>
        <w:t xml:space="preserve">: </w:t>
      </w:r>
      <w:r w:rsidR="00054FB4">
        <w:t>разработка проектной документации</w:t>
      </w:r>
      <w:r w:rsidRPr="00CB78D8">
        <w:t xml:space="preserve"> </w:t>
      </w:r>
    </w:p>
    <w:p w14:paraId="7A0B2DED" w14:textId="2AE5C9E0" w:rsidR="004B265E" w:rsidRPr="00CB78D8" w:rsidRDefault="004B265E" w:rsidP="004B265E">
      <w:pPr>
        <w:spacing w:line="276" w:lineRule="auto"/>
        <w:ind w:firstLine="567"/>
        <w:jc w:val="both"/>
      </w:pPr>
      <w:r w:rsidRPr="00CB78D8">
        <w:rPr>
          <w:b/>
        </w:rPr>
        <w:t xml:space="preserve">Сроки начала и окончания </w:t>
      </w:r>
      <w:r w:rsidR="00054FB4">
        <w:rPr>
          <w:b/>
        </w:rPr>
        <w:t>услуг</w:t>
      </w:r>
      <w:r w:rsidRPr="00CB78D8">
        <w:rPr>
          <w:b/>
        </w:rPr>
        <w:t xml:space="preserve">: </w:t>
      </w:r>
      <w:r w:rsidR="00054FB4">
        <w:t>Исполнитель</w:t>
      </w:r>
      <w:r w:rsidRPr="00CB78D8">
        <w:t xml:space="preserve"> обязан выполнить </w:t>
      </w:r>
      <w:r w:rsidR="00054FB4">
        <w:t>услуги</w:t>
      </w:r>
      <w:r w:rsidRPr="00CB78D8">
        <w:t xml:space="preserve"> в течение 30 (тридцати) календарных дней с момента (даты) заключения Контракта</w:t>
      </w:r>
      <w:r w:rsidR="00A37E5C">
        <w:t>, но не позднее 31.07</w:t>
      </w:r>
      <w:bookmarkStart w:id="0" w:name="_GoBack"/>
      <w:bookmarkEnd w:id="0"/>
      <w:r w:rsidR="00F248B7">
        <w:t>.2026 года,</w:t>
      </w:r>
      <w:r w:rsidRPr="00CB78D8">
        <w:t xml:space="preserve"> в объеме и в порядке, установленном Техническим заданием.</w:t>
      </w:r>
    </w:p>
    <w:p w14:paraId="19EDE82B" w14:textId="77777777" w:rsidR="00205206" w:rsidRDefault="00205206" w:rsidP="00205206">
      <w:pPr>
        <w:widowControl w:val="0"/>
        <w:tabs>
          <w:tab w:val="left" w:pos="7088"/>
        </w:tabs>
        <w:suppressAutoHyphens/>
        <w:autoSpaceDE w:val="0"/>
        <w:ind w:firstLine="720"/>
        <w:jc w:val="right"/>
        <w:rPr>
          <w:rFonts w:eastAsia="Arial"/>
          <w:lang w:eastAsia="ar-SA"/>
        </w:rPr>
      </w:pPr>
    </w:p>
    <w:tbl>
      <w:tblPr>
        <w:tblStyle w:val="GR1"/>
        <w:tblW w:w="10206" w:type="dxa"/>
        <w:tblLayout w:type="fixed"/>
        <w:tblLook w:val="04A0" w:firstRow="1" w:lastRow="0" w:firstColumn="1" w:lastColumn="0" w:noHBand="0" w:noVBand="1"/>
      </w:tblPr>
      <w:tblGrid>
        <w:gridCol w:w="567"/>
        <w:gridCol w:w="2415"/>
        <w:gridCol w:w="7224"/>
      </w:tblGrid>
      <w:tr w:rsidR="000D09F0" w:rsidRPr="00CB78D8" w14:paraId="15BD7CA6" w14:textId="77777777" w:rsidTr="004D0C30">
        <w:trPr>
          <w:trHeight w:val="399"/>
        </w:trPr>
        <w:tc>
          <w:tcPr>
            <w:tcW w:w="567" w:type="dxa"/>
            <w:tcBorders>
              <w:top w:val="single" w:sz="4" w:space="0" w:color="auto"/>
            </w:tcBorders>
            <w:vAlign w:val="center"/>
            <w:hideMark/>
          </w:tcPr>
          <w:p w14:paraId="3EE4768C" w14:textId="77777777" w:rsidR="000D09F0" w:rsidRPr="00CB78D8" w:rsidRDefault="000D09F0" w:rsidP="004D0C30">
            <w:pPr>
              <w:pStyle w:val="3"/>
              <w:jc w:val="center"/>
              <w:rPr>
                <w:rStyle w:val="FontStyle12"/>
                <w:sz w:val="24"/>
                <w:szCs w:val="24"/>
              </w:rPr>
            </w:pPr>
            <w:r w:rsidRPr="00CB78D8">
              <w:rPr>
                <w:rStyle w:val="FontStyle12"/>
                <w:sz w:val="24"/>
                <w:szCs w:val="24"/>
              </w:rPr>
              <w:t xml:space="preserve">№ </w:t>
            </w:r>
            <w:proofErr w:type="spellStart"/>
            <w:r w:rsidRPr="00CB78D8">
              <w:rPr>
                <w:rStyle w:val="FontStyle12"/>
                <w:sz w:val="24"/>
                <w:szCs w:val="24"/>
              </w:rPr>
              <w:t>п.п</w:t>
            </w:r>
            <w:proofErr w:type="spellEnd"/>
          </w:p>
        </w:tc>
        <w:tc>
          <w:tcPr>
            <w:tcW w:w="2415" w:type="dxa"/>
            <w:tcBorders>
              <w:top w:val="single" w:sz="4" w:space="0" w:color="auto"/>
            </w:tcBorders>
            <w:vAlign w:val="center"/>
          </w:tcPr>
          <w:p w14:paraId="5DA4A4D6" w14:textId="77777777" w:rsidR="000D09F0" w:rsidRPr="00CB78D8" w:rsidRDefault="000D09F0" w:rsidP="004D0C30">
            <w:pPr>
              <w:pStyle w:val="3"/>
              <w:jc w:val="center"/>
              <w:rPr>
                <w:rStyle w:val="FontStyle12"/>
                <w:sz w:val="24"/>
                <w:szCs w:val="24"/>
              </w:rPr>
            </w:pPr>
            <w:r w:rsidRPr="00CB78D8">
              <w:rPr>
                <w:rStyle w:val="FontStyle12"/>
                <w:sz w:val="24"/>
                <w:szCs w:val="24"/>
              </w:rPr>
              <w:t>Перечень основных данных и требований</w:t>
            </w:r>
          </w:p>
        </w:tc>
        <w:tc>
          <w:tcPr>
            <w:tcW w:w="7224" w:type="dxa"/>
            <w:tcBorders>
              <w:top w:val="single" w:sz="4" w:space="0" w:color="auto"/>
            </w:tcBorders>
            <w:vAlign w:val="center"/>
          </w:tcPr>
          <w:p w14:paraId="105486A1" w14:textId="77777777" w:rsidR="000D09F0" w:rsidRPr="00CB78D8" w:rsidRDefault="000D09F0" w:rsidP="004D0C30">
            <w:pPr>
              <w:pStyle w:val="3"/>
              <w:jc w:val="both"/>
              <w:rPr>
                <w:rStyle w:val="FontStyle12"/>
                <w:sz w:val="24"/>
                <w:szCs w:val="24"/>
              </w:rPr>
            </w:pPr>
            <w:r w:rsidRPr="00CB78D8">
              <w:rPr>
                <w:rStyle w:val="FontStyle12"/>
                <w:sz w:val="24"/>
                <w:szCs w:val="24"/>
              </w:rPr>
              <w:t>Основные данные и требования</w:t>
            </w:r>
          </w:p>
        </w:tc>
      </w:tr>
      <w:tr w:rsidR="000D09F0" w:rsidRPr="00CB78D8" w14:paraId="2B1A0F27" w14:textId="77777777" w:rsidTr="004D0C30">
        <w:trPr>
          <w:trHeight w:val="399"/>
        </w:trPr>
        <w:tc>
          <w:tcPr>
            <w:tcW w:w="567" w:type="dxa"/>
            <w:tcBorders>
              <w:top w:val="single" w:sz="4" w:space="0" w:color="auto"/>
            </w:tcBorders>
            <w:vAlign w:val="center"/>
          </w:tcPr>
          <w:p w14:paraId="21639B96" w14:textId="77777777" w:rsidR="000D09F0" w:rsidRPr="00CB78D8" w:rsidRDefault="000D09F0" w:rsidP="004D0C30">
            <w:pPr>
              <w:pStyle w:val="3"/>
              <w:jc w:val="center"/>
              <w:rPr>
                <w:rStyle w:val="FontStyle12"/>
                <w:sz w:val="24"/>
                <w:szCs w:val="24"/>
              </w:rPr>
            </w:pPr>
            <w:r>
              <w:rPr>
                <w:rStyle w:val="FontStyle12"/>
                <w:sz w:val="24"/>
                <w:szCs w:val="24"/>
              </w:rPr>
              <w:t>1</w:t>
            </w:r>
          </w:p>
        </w:tc>
        <w:tc>
          <w:tcPr>
            <w:tcW w:w="2415" w:type="dxa"/>
            <w:tcBorders>
              <w:top w:val="single" w:sz="4" w:space="0" w:color="auto"/>
            </w:tcBorders>
            <w:vAlign w:val="center"/>
          </w:tcPr>
          <w:p w14:paraId="05549493" w14:textId="77777777" w:rsidR="000D09F0" w:rsidRPr="006242A4" w:rsidRDefault="000D09F0" w:rsidP="004D0C30">
            <w:pPr>
              <w:pStyle w:val="3"/>
              <w:jc w:val="center"/>
              <w:rPr>
                <w:rStyle w:val="FontStyle12"/>
                <w:sz w:val="24"/>
                <w:szCs w:val="24"/>
              </w:rPr>
            </w:pPr>
            <w:r w:rsidRPr="006242A4">
              <w:rPr>
                <w:rStyle w:val="FontStyle12"/>
                <w:sz w:val="24"/>
                <w:szCs w:val="24"/>
              </w:rPr>
              <w:t>Основание для проектирования</w:t>
            </w:r>
          </w:p>
        </w:tc>
        <w:tc>
          <w:tcPr>
            <w:tcW w:w="7224" w:type="dxa"/>
            <w:tcBorders>
              <w:top w:val="single" w:sz="4" w:space="0" w:color="auto"/>
            </w:tcBorders>
            <w:vAlign w:val="center"/>
          </w:tcPr>
          <w:p w14:paraId="18D47F08" w14:textId="5FE2DF0D" w:rsidR="000D09F0" w:rsidRPr="006242A4" w:rsidRDefault="00054FB4" w:rsidP="004D0C30">
            <w:pPr>
              <w:pStyle w:val="3"/>
              <w:jc w:val="both"/>
              <w:rPr>
                <w:rStyle w:val="FontStyle12"/>
                <w:b w:val="0"/>
                <w:bCs w:val="0"/>
                <w:color w:val="000000" w:themeColor="text1"/>
                <w:sz w:val="24"/>
                <w:szCs w:val="24"/>
              </w:rPr>
            </w:pPr>
            <w:r>
              <w:rPr>
                <w:rFonts w:ascii="Times New Roman" w:eastAsia="Calibri" w:hAnsi="Times New Roman"/>
                <w:sz w:val="24"/>
                <w:szCs w:val="24"/>
                <w:lang w:eastAsia="ru-RU"/>
              </w:rPr>
              <w:t>Заключенный контракт</w:t>
            </w:r>
          </w:p>
        </w:tc>
      </w:tr>
      <w:tr w:rsidR="000D09F0" w:rsidRPr="00CB78D8" w14:paraId="489108FC" w14:textId="77777777" w:rsidTr="004D0C30">
        <w:trPr>
          <w:trHeight w:val="587"/>
        </w:trPr>
        <w:tc>
          <w:tcPr>
            <w:tcW w:w="567" w:type="dxa"/>
          </w:tcPr>
          <w:p w14:paraId="188269E8" w14:textId="146B424A" w:rsidR="000D09F0" w:rsidRPr="00CB78D8" w:rsidRDefault="00054FB4" w:rsidP="004D0C30">
            <w:pPr>
              <w:jc w:val="center"/>
              <w:rPr>
                <w:rFonts w:eastAsiaTheme="minorHAnsi"/>
                <w:b/>
                <w:color w:val="000000"/>
                <w:lang w:eastAsia="en-US"/>
              </w:rPr>
            </w:pPr>
            <w:r>
              <w:rPr>
                <w:rFonts w:eastAsiaTheme="minorHAnsi"/>
                <w:b/>
                <w:color w:val="000000"/>
                <w:lang w:eastAsia="en-US"/>
              </w:rPr>
              <w:t>2</w:t>
            </w:r>
          </w:p>
        </w:tc>
        <w:tc>
          <w:tcPr>
            <w:tcW w:w="2415" w:type="dxa"/>
          </w:tcPr>
          <w:p w14:paraId="5E259E41" w14:textId="0A64D0FE" w:rsidR="000D09F0" w:rsidRPr="00CB78D8" w:rsidRDefault="000D09F0" w:rsidP="00054FB4">
            <w:pPr>
              <w:jc w:val="center"/>
              <w:rPr>
                <w:rFonts w:eastAsiaTheme="minorHAnsi"/>
                <w:b/>
                <w:bCs/>
                <w:color w:val="000000"/>
                <w:lang w:eastAsia="en-US"/>
              </w:rPr>
            </w:pPr>
            <w:r w:rsidRPr="00CB78D8">
              <w:rPr>
                <w:rFonts w:eastAsia="Calibri"/>
                <w:b/>
              </w:rPr>
              <w:t xml:space="preserve">Содержание и объемы </w:t>
            </w:r>
            <w:r w:rsidR="00054FB4">
              <w:rPr>
                <w:rFonts w:eastAsia="Calibri"/>
                <w:b/>
              </w:rPr>
              <w:t>услуг</w:t>
            </w:r>
          </w:p>
        </w:tc>
        <w:tc>
          <w:tcPr>
            <w:tcW w:w="7224" w:type="dxa"/>
            <w:vAlign w:val="center"/>
          </w:tcPr>
          <w:p w14:paraId="64350D8F" w14:textId="77777777" w:rsidR="000D09F0" w:rsidRPr="00CB78D8" w:rsidRDefault="000D09F0" w:rsidP="004D0C30">
            <w:pPr>
              <w:jc w:val="both"/>
              <w:rPr>
                <w:rFonts w:eastAsia="Calibri"/>
                <w:u w:val="single"/>
              </w:rPr>
            </w:pPr>
            <w:r w:rsidRPr="00CB78D8">
              <w:rPr>
                <w:rFonts w:eastAsia="Calibri"/>
                <w:u w:val="single"/>
                <w:lang w:val="en-US"/>
              </w:rPr>
              <w:t>I</w:t>
            </w:r>
            <w:r w:rsidRPr="00CB78D8">
              <w:rPr>
                <w:rFonts w:eastAsia="Calibri"/>
                <w:u w:val="single"/>
              </w:rPr>
              <w:t xml:space="preserve"> этап работ</w:t>
            </w:r>
          </w:p>
          <w:p w14:paraId="62562101" w14:textId="77777777" w:rsidR="000D09F0" w:rsidRPr="00CB78D8" w:rsidRDefault="000D09F0" w:rsidP="004D0C30">
            <w:pPr>
              <w:jc w:val="both"/>
              <w:rPr>
                <w:rFonts w:eastAsia="Calibri"/>
              </w:rPr>
            </w:pPr>
            <w:r w:rsidRPr="00CB78D8">
              <w:rPr>
                <w:rFonts w:eastAsia="Calibri"/>
              </w:rPr>
              <w:t>- Проведение обследования объекта силами Исполнителя совместно с представителями Заказчика (ответственного за эксплуатацию систем пожарной безопасности);</w:t>
            </w:r>
          </w:p>
          <w:p w14:paraId="1D3D1F72" w14:textId="77777777" w:rsidR="000D09F0" w:rsidRPr="00CB78D8" w:rsidRDefault="000D09F0" w:rsidP="004D0C30">
            <w:pPr>
              <w:jc w:val="both"/>
              <w:rPr>
                <w:rFonts w:eastAsia="Calibri"/>
              </w:rPr>
            </w:pPr>
            <w:r w:rsidRPr="00CB78D8">
              <w:rPr>
                <w:rFonts w:eastAsia="Calibri"/>
              </w:rPr>
              <w:t>- Определение состава существующего оборудования АПС, СОУЭ, подлежащего выводу из эксплуатации и демонтажу (при наличии).</w:t>
            </w:r>
          </w:p>
          <w:p w14:paraId="4CEC2A76" w14:textId="77777777" w:rsidR="000D09F0" w:rsidRPr="00CB78D8" w:rsidRDefault="000D09F0" w:rsidP="004D0C30">
            <w:pPr>
              <w:jc w:val="both"/>
              <w:rPr>
                <w:rFonts w:eastAsia="Calibri"/>
                <w:u w:val="single"/>
              </w:rPr>
            </w:pPr>
            <w:r w:rsidRPr="00CB78D8">
              <w:rPr>
                <w:rFonts w:eastAsia="Calibri"/>
                <w:u w:val="single"/>
                <w:lang w:val="en-US"/>
              </w:rPr>
              <w:t>II</w:t>
            </w:r>
            <w:r w:rsidRPr="00CB78D8">
              <w:rPr>
                <w:rFonts w:eastAsia="Calibri"/>
                <w:u w:val="single"/>
              </w:rPr>
              <w:t xml:space="preserve"> этап работ</w:t>
            </w:r>
          </w:p>
          <w:p w14:paraId="1B25C6BD" w14:textId="012200A2" w:rsidR="000D09F0" w:rsidRPr="00CB78D8" w:rsidRDefault="000D09F0" w:rsidP="004D0C30">
            <w:pPr>
              <w:jc w:val="both"/>
              <w:rPr>
                <w:rFonts w:eastAsia="Calibri"/>
              </w:rPr>
            </w:pPr>
            <w:r w:rsidRPr="00CB78D8">
              <w:rPr>
                <w:rFonts w:eastAsia="Calibri"/>
              </w:rPr>
              <w:t xml:space="preserve">- </w:t>
            </w:r>
            <w:r>
              <w:rPr>
                <w:rFonts w:eastAsia="Calibri"/>
              </w:rPr>
              <w:t>Раз</w:t>
            </w:r>
            <w:r w:rsidRPr="00CB78D8">
              <w:rPr>
                <w:rFonts w:eastAsia="Calibri"/>
              </w:rPr>
              <w:t>работка докуме</w:t>
            </w:r>
            <w:r w:rsidR="00054FB4">
              <w:rPr>
                <w:rFonts w:eastAsia="Calibri"/>
              </w:rPr>
              <w:t>нтации систем С</w:t>
            </w:r>
            <w:r w:rsidRPr="00CB78D8">
              <w:rPr>
                <w:rFonts w:eastAsia="Calibri"/>
              </w:rPr>
              <w:t>ПС, СОУЭ объекта;</w:t>
            </w:r>
          </w:p>
          <w:p w14:paraId="1345FA48" w14:textId="77777777" w:rsidR="000D09F0" w:rsidRPr="00CB78D8" w:rsidRDefault="000D09F0" w:rsidP="004D0C30">
            <w:pPr>
              <w:jc w:val="both"/>
              <w:rPr>
                <w:rFonts w:eastAsia="Calibri"/>
              </w:rPr>
            </w:pPr>
            <w:r w:rsidRPr="00CB78D8">
              <w:rPr>
                <w:rFonts w:eastAsia="Calibri"/>
              </w:rPr>
              <w:t xml:space="preserve">- При </w:t>
            </w:r>
            <w:r>
              <w:rPr>
                <w:rFonts w:eastAsia="Calibri"/>
              </w:rPr>
              <w:t>раз</w:t>
            </w:r>
            <w:r w:rsidRPr="00CB78D8">
              <w:rPr>
                <w:rFonts w:eastAsia="Calibri"/>
              </w:rPr>
              <w:t>работке документации следует руководствоваться действующими нормативными документами по строительству, а также ведомственными и прочими документами, предоставляемыми Заказчиком;</w:t>
            </w:r>
          </w:p>
          <w:p w14:paraId="7E9F69C7" w14:textId="77777777" w:rsidR="000D09F0" w:rsidRPr="00CB78D8" w:rsidRDefault="000D09F0" w:rsidP="004D0C30">
            <w:pPr>
              <w:jc w:val="both"/>
              <w:rPr>
                <w:rFonts w:eastAsia="Calibri"/>
              </w:rPr>
            </w:pPr>
            <w:r w:rsidRPr="00CB78D8">
              <w:rPr>
                <w:rFonts w:eastAsia="Calibri"/>
              </w:rPr>
              <w:t>-  Разработка сметной документации;</w:t>
            </w:r>
          </w:p>
          <w:p w14:paraId="3F121F56" w14:textId="77777777" w:rsidR="000D09F0" w:rsidRDefault="000D09F0" w:rsidP="004D0C30">
            <w:pPr>
              <w:jc w:val="both"/>
              <w:rPr>
                <w:rFonts w:eastAsia="Calibri"/>
              </w:rPr>
            </w:pPr>
            <w:r w:rsidRPr="00CB78D8">
              <w:rPr>
                <w:rFonts w:eastAsia="Calibri"/>
              </w:rPr>
              <w:t>- В состав проектно-сметной документации включить раздел по демонтажу оборудования, выводимого из эксплуатации (при наличии).</w:t>
            </w:r>
          </w:p>
          <w:p w14:paraId="285B2AC8" w14:textId="5830CF9F" w:rsidR="009F57AE" w:rsidRPr="009F57AE" w:rsidRDefault="00181A7A" w:rsidP="004D0C30">
            <w:pPr>
              <w:jc w:val="both"/>
              <w:rPr>
                <w:rFonts w:eastAsia="Calibri"/>
                <w:u w:val="single"/>
              </w:rPr>
            </w:pPr>
            <w:r>
              <w:rPr>
                <w:rFonts w:eastAsia="Calibri"/>
                <w:u w:val="single"/>
                <w:lang w:val="en-US"/>
              </w:rPr>
              <w:t>III</w:t>
            </w:r>
            <w:r w:rsidR="009F57AE" w:rsidRPr="009F57AE">
              <w:rPr>
                <w:rFonts w:eastAsia="Calibri"/>
                <w:u w:val="single"/>
              </w:rPr>
              <w:t xml:space="preserve"> этап работ</w:t>
            </w:r>
          </w:p>
          <w:p w14:paraId="44A9FE64" w14:textId="33824EFC" w:rsidR="009F57AE" w:rsidRPr="00CB78D8" w:rsidRDefault="00181A7A" w:rsidP="004D0C30">
            <w:pPr>
              <w:jc w:val="both"/>
              <w:rPr>
                <w:rFonts w:eastAsiaTheme="minorHAnsi"/>
                <w:lang w:eastAsia="en-US"/>
              </w:rPr>
            </w:pPr>
            <w:r>
              <w:rPr>
                <w:rFonts w:eastAsiaTheme="minorHAnsi"/>
                <w:lang w:eastAsia="en-US"/>
              </w:rPr>
              <w:t>Получение положительного заключения государственной экспертизы, в части проверки достоверности определения сметной стоимости</w:t>
            </w:r>
            <w:r w:rsidR="009F57AE">
              <w:rPr>
                <w:rFonts w:eastAsiaTheme="minorHAnsi"/>
                <w:lang w:eastAsia="en-US"/>
              </w:rPr>
              <w:t>.</w:t>
            </w:r>
          </w:p>
        </w:tc>
      </w:tr>
      <w:tr w:rsidR="000D09F0" w:rsidRPr="00CB78D8" w14:paraId="3BB7DD6E" w14:textId="77777777" w:rsidTr="004D0C30">
        <w:trPr>
          <w:trHeight w:val="587"/>
        </w:trPr>
        <w:tc>
          <w:tcPr>
            <w:tcW w:w="567" w:type="dxa"/>
          </w:tcPr>
          <w:p w14:paraId="04FCACFE" w14:textId="766FBB2E" w:rsidR="000D09F0" w:rsidRPr="00CB78D8" w:rsidRDefault="00054FB4" w:rsidP="004D0C30">
            <w:pPr>
              <w:jc w:val="center"/>
              <w:rPr>
                <w:rFonts w:eastAsiaTheme="minorHAnsi"/>
                <w:b/>
                <w:color w:val="000000"/>
                <w:lang w:eastAsia="en-US"/>
              </w:rPr>
            </w:pPr>
            <w:r>
              <w:rPr>
                <w:rFonts w:eastAsiaTheme="minorHAnsi"/>
                <w:b/>
                <w:color w:val="000000"/>
                <w:lang w:eastAsia="en-US"/>
              </w:rPr>
              <w:t>3</w:t>
            </w:r>
          </w:p>
        </w:tc>
        <w:tc>
          <w:tcPr>
            <w:tcW w:w="2415" w:type="dxa"/>
          </w:tcPr>
          <w:p w14:paraId="6C853A34" w14:textId="77777777" w:rsidR="000D09F0" w:rsidRPr="00CB78D8" w:rsidRDefault="000D09F0" w:rsidP="004D0C30">
            <w:pPr>
              <w:jc w:val="center"/>
              <w:rPr>
                <w:rFonts w:eastAsiaTheme="minorHAnsi"/>
                <w:b/>
                <w:bCs/>
                <w:color w:val="000000"/>
                <w:lang w:eastAsia="en-US"/>
              </w:rPr>
            </w:pPr>
            <w:r w:rsidRPr="00CB78D8">
              <w:rPr>
                <w:rFonts w:eastAsia="Calibri"/>
                <w:b/>
              </w:rPr>
              <w:t>Технические требования к проектируемым системам</w:t>
            </w:r>
          </w:p>
        </w:tc>
        <w:tc>
          <w:tcPr>
            <w:tcW w:w="7224" w:type="dxa"/>
          </w:tcPr>
          <w:p w14:paraId="4E16C3FE" w14:textId="77777777" w:rsidR="000D09F0" w:rsidRPr="00CB78D8" w:rsidRDefault="000D09F0" w:rsidP="004D0C30">
            <w:pPr>
              <w:jc w:val="both"/>
              <w:rPr>
                <w:rFonts w:eastAsia="Calibri"/>
              </w:rPr>
            </w:pPr>
            <w:r w:rsidRPr="00CB78D8">
              <w:rPr>
                <w:rFonts w:eastAsia="Calibri"/>
              </w:rPr>
              <w:t>Предусмотреть применение адресной системы пожарной сигнализации.</w:t>
            </w:r>
          </w:p>
          <w:p w14:paraId="5A69BEB7" w14:textId="77777777" w:rsidR="000D09F0" w:rsidRPr="00CB78D8" w:rsidRDefault="000D09F0" w:rsidP="004D0C30">
            <w:pPr>
              <w:jc w:val="both"/>
              <w:rPr>
                <w:rFonts w:eastAsia="Calibri"/>
                <w:highlight w:val="yellow"/>
              </w:rPr>
            </w:pPr>
            <w:r w:rsidRPr="00CB78D8">
              <w:rPr>
                <w:rFonts w:eastAsia="Calibri"/>
              </w:rPr>
              <w:t>- Для прокладки линий связи и питания использовать кабель в соответствии с требованиями ГОСТ 31565-2012;</w:t>
            </w:r>
          </w:p>
          <w:p w14:paraId="25C64B59" w14:textId="77777777" w:rsidR="000D09F0" w:rsidRPr="00CB78D8" w:rsidRDefault="000D09F0" w:rsidP="004D0C30">
            <w:pPr>
              <w:jc w:val="both"/>
              <w:rPr>
                <w:rFonts w:eastAsia="Calibri"/>
              </w:rPr>
            </w:pPr>
            <w:r w:rsidRPr="00CB78D8">
              <w:rPr>
                <w:rFonts w:eastAsia="Calibri"/>
              </w:rPr>
              <w:t>- Приборы для подключения адресных датчиков предусмотреть на базе приборов и программного обеспечения российского производства и в соответствии с текущей нормативной документацией;</w:t>
            </w:r>
          </w:p>
          <w:p w14:paraId="43455924" w14:textId="77777777" w:rsidR="000D09F0" w:rsidRPr="00CB78D8" w:rsidRDefault="000D09F0" w:rsidP="004D0C30">
            <w:pPr>
              <w:jc w:val="both"/>
              <w:rPr>
                <w:rFonts w:eastAsia="Calibri"/>
              </w:rPr>
            </w:pPr>
            <w:r w:rsidRPr="00CB78D8">
              <w:rPr>
                <w:rFonts w:eastAsia="Calibri"/>
              </w:rPr>
              <w:t xml:space="preserve">- Все пожарные </w:t>
            </w:r>
            <w:proofErr w:type="spellStart"/>
            <w:r w:rsidRPr="00CB78D8">
              <w:rPr>
                <w:rFonts w:eastAsia="Calibri"/>
              </w:rPr>
              <w:t>извещатели</w:t>
            </w:r>
            <w:proofErr w:type="spellEnd"/>
            <w:r w:rsidRPr="00CB78D8">
              <w:rPr>
                <w:rFonts w:eastAsia="Calibri"/>
              </w:rPr>
              <w:t xml:space="preserve"> предусмотреть адресными с подключением к приборам контроля по адресной линии;</w:t>
            </w:r>
          </w:p>
          <w:p w14:paraId="5679A2AD" w14:textId="77777777" w:rsidR="000D09F0" w:rsidRPr="00CB78D8" w:rsidRDefault="000D09F0" w:rsidP="004D0C30">
            <w:pPr>
              <w:jc w:val="both"/>
              <w:rPr>
                <w:rFonts w:eastAsia="Calibri"/>
              </w:rPr>
            </w:pPr>
            <w:r w:rsidRPr="00CB78D8">
              <w:rPr>
                <w:rFonts w:eastAsia="Calibri"/>
              </w:rPr>
              <w:t xml:space="preserve">- Для защиты помещений применить автоматические адресные пожарные </w:t>
            </w:r>
            <w:proofErr w:type="spellStart"/>
            <w:r w:rsidRPr="00CB78D8">
              <w:rPr>
                <w:rFonts w:eastAsia="Calibri"/>
              </w:rPr>
              <w:t>извещатели</w:t>
            </w:r>
            <w:proofErr w:type="spellEnd"/>
            <w:r w:rsidRPr="00CB78D8">
              <w:rPr>
                <w:rFonts w:eastAsia="Calibri"/>
              </w:rPr>
              <w:t xml:space="preserve"> дымовые, тепловые, комбинированного типа, пламени – в зависимости от типа пожарной нагрузки. Типы извещателей принимает проектная организация на основании результатов обследования объекта.</w:t>
            </w:r>
          </w:p>
          <w:p w14:paraId="1362B692" w14:textId="77777777" w:rsidR="000D09F0" w:rsidRPr="00CB78D8" w:rsidRDefault="000D09F0" w:rsidP="004D0C30">
            <w:pPr>
              <w:jc w:val="both"/>
              <w:rPr>
                <w:rFonts w:eastAsia="Calibri"/>
              </w:rPr>
            </w:pPr>
            <w:r w:rsidRPr="00CB78D8">
              <w:rPr>
                <w:rFonts w:eastAsia="Calibri"/>
              </w:rPr>
              <w:t>- Вдоль путей эвакуации предусмотреть установку ручных пожарных извещателей.</w:t>
            </w:r>
          </w:p>
          <w:p w14:paraId="4D02ABD9" w14:textId="77777777" w:rsidR="000D09F0" w:rsidRPr="00CB78D8" w:rsidRDefault="000D09F0" w:rsidP="004D0C30">
            <w:pPr>
              <w:jc w:val="both"/>
              <w:rPr>
                <w:rFonts w:eastAsia="Calibri"/>
              </w:rPr>
            </w:pPr>
            <w:r w:rsidRPr="00CB78D8">
              <w:rPr>
                <w:rFonts w:eastAsia="Calibri"/>
              </w:rPr>
              <w:lastRenderedPageBreak/>
              <w:t xml:space="preserve">-  При необходимости обеспечить защиту пространства за подвесными </w:t>
            </w:r>
            <w:proofErr w:type="gramStart"/>
            <w:r w:rsidRPr="00CB78D8">
              <w:rPr>
                <w:rFonts w:eastAsia="Calibri"/>
              </w:rPr>
              <w:t>потолками  пожарными</w:t>
            </w:r>
            <w:proofErr w:type="gramEnd"/>
            <w:r w:rsidRPr="00CB78D8">
              <w:rPr>
                <w:rFonts w:eastAsia="Calibri"/>
              </w:rPr>
              <w:t xml:space="preserve"> </w:t>
            </w:r>
            <w:proofErr w:type="spellStart"/>
            <w:r w:rsidRPr="00CB78D8">
              <w:rPr>
                <w:rFonts w:eastAsia="Calibri"/>
              </w:rPr>
              <w:t>извещателями</w:t>
            </w:r>
            <w:proofErr w:type="spellEnd"/>
            <w:r w:rsidRPr="00CB78D8">
              <w:rPr>
                <w:rFonts w:eastAsia="Calibri"/>
              </w:rPr>
              <w:t>.</w:t>
            </w:r>
          </w:p>
          <w:p w14:paraId="7A876F22" w14:textId="77777777" w:rsidR="000D09F0" w:rsidRPr="00CB78D8" w:rsidRDefault="000D09F0" w:rsidP="004D0C30">
            <w:pPr>
              <w:jc w:val="both"/>
              <w:rPr>
                <w:rFonts w:eastAsia="Calibri"/>
              </w:rPr>
            </w:pPr>
            <w:r w:rsidRPr="00CB78D8">
              <w:rPr>
                <w:rFonts w:eastAsia="Calibri"/>
              </w:rPr>
              <w:t>- Обеспечить контроль целостности всех линий связи проектируемых систем автоматической пожарной сигнализации и систем оповещения и управления эвакуацией.</w:t>
            </w:r>
          </w:p>
          <w:p w14:paraId="38BF5A3F" w14:textId="77777777" w:rsidR="000D09F0" w:rsidRPr="00CB78D8" w:rsidRDefault="000D09F0" w:rsidP="004D0C30">
            <w:pPr>
              <w:jc w:val="both"/>
              <w:rPr>
                <w:rFonts w:eastAsia="Calibri"/>
              </w:rPr>
            </w:pPr>
            <w:r w:rsidRPr="00CB78D8">
              <w:rPr>
                <w:rFonts w:eastAsia="Calibri"/>
              </w:rPr>
              <w:t>- Установку пожарной сигнализации запроектировать с учетом размещения в каждом помещении работы ее по алгоритму «В» в соответствии с требованиями СП 484.1311500.2020.</w:t>
            </w:r>
          </w:p>
          <w:p w14:paraId="1FF5F622" w14:textId="77777777" w:rsidR="000D09F0" w:rsidRPr="00CB78D8" w:rsidRDefault="000D09F0" w:rsidP="004D0C30">
            <w:pPr>
              <w:jc w:val="both"/>
              <w:rPr>
                <w:rFonts w:eastAsia="Calibri"/>
              </w:rPr>
            </w:pPr>
            <w:r w:rsidRPr="00CB78D8">
              <w:rPr>
                <w:rFonts w:eastAsia="Calibri"/>
              </w:rPr>
              <w:t>-  Обеспечить выдачу сигналов на запуск СОУЭ, при формировании сигнала «Пожар».</w:t>
            </w:r>
          </w:p>
          <w:p w14:paraId="39F048A0" w14:textId="77777777" w:rsidR="000D09F0" w:rsidRPr="00CB78D8" w:rsidRDefault="000D09F0" w:rsidP="004D0C30">
            <w:pPr>
              <w:jc w:val="both"/>
              <w:rPr>
                <w:rFonts w:eastAsia="Calibri"/>
              </w:rPr>
            </w:pPr>
            <w:r w:rsidRPr="00CB78D8">
              <w:rPr>
                <w:rFonts w:eastAsia="Calibri"/>
              </w:rPr>
              <w:t xml:space="preserve">-  Для электропитания оборудования АПС и СОУЭ применять источники резервируемого питания, имеющие функции автоматического контроля электропитания, состояния аккумуляторов и передачи сигналов контроля на прибор контрольный и управления. </w:t>
            </w:r>
          </w:p>
          <w:p w14:paraId="521EE689" w14:textId="77777777" w:rsidR="000D09F0" w:rsidRPr="00CB78D8" w:rsidRDefault="000D09F0" w:rsidP="004D0C30">
            <w:pPr>
              <w:jc w:val="both"/>
              <w:rPr>
                <w:rFonts w:eastAsia="Calibri"/>
              </w:rPr>
            </w:pPr>
            <w:r w:rsidRPr="00CB78D8">
              <w:rPr>
                <w:rFonts w:eastAsia="Calibri"/>
              </w:rPr>
              <w:t>-  Предусмотреть совместную работу АПС с имеющимися инженерными системами на объекте (при наличии).</w:t>
            </w:r>
          </w:p>
          <w:p w14:paraId="067EE965" w14:textId="77777777" w:rsidR="000D09F0" w:rsidRPr="00CB78D8" w:rsidRDefault="000D09F0" w:rsidP="004D0C30">
            <w:pPr>
              <w:jc w:val="both"/>
              <w:rPr>
                <w:rFonts w:eastAsia="Calibri"/>
              </w:rPr>
            </w:pPr>
            <w:r w:rsidRPr="00CB78D8">
              <w:rPr>
                <w:rFonts w:eastAsia="Calibri"/>
              </w:rPr>
              <w:t>-  Разработанные системы, подсистемы АПС, СОУЭ должны быть подключены к существующим системам АПС, СОУЭ здания.</w:t>
            </w:r>
          </w:p>
          <w:p w14:paraId="4DCC7014" w14:textId="77777777" w:rsidR="000D09F0" w:rsidRPr="00CB78D8" w:rsidRDefault="000D09F0" w:rsidP="004D0C30">
            <w:pPr>
              <w:jc w:val="both"/>
              <w:rPr>
                <w:rFonts w:eastAsia="Calibri"/>
              </w:rPr>
            </w:pPr>
            <w:r w:rsidRPr="00CB78D8">
              <w:rPr>
                <w:rFonts w:eastAsia="Calibri"/>
              </w:rPr>
              <w:t>- Закладываемое оборудование установок должно иметь срок эксплуатации не менее 10 лет.</w:t>
            </w:r>
          </w:p>
          <w:p w14:paraId="36F4856F" w14:textId="77777777" w:rsidR="000D09F0" w:rsidRPr="00CB78D8" w:rsidRDefault="000D09F0" w:rsidP="004D0C30">
            <w:pPr>
              <w:jc w:val="both"/>
              <w:rPr>
                <w:rFonts w:eastAsia="Calibri"/>
              </w:rPr>
            </w:pPr>
            <w:r w:rsidRPr="00CB78D8">
              <w:rPr>
                <w:rFonts w:eastAsia="Calibri"/>
              </w:rPr>
              <w:t>-  Подсистема автоматической пожарной сигнализации должна обеспечивать обнаружение возгорания на ранней стадии, передачу информации о возгорании на пост охраны объекта и в пожарную часть.</w:t>
            </w:r>
          </w:p>
          <w:p w14:paraId="5DAFC8D1" w14:textId="77777777" w:rsidR="000D09F0" w:rsidRPr="00CB78D8" w:rsidRDefault="000D09F0" w:rsidP="004D0C30">
            <w:pPr>
              <w:jc w:val="both"/>
              <w:rPr>
                <w:rFonts w:eastAsia="Calibri"/>
              </w:rPr>
            </w:pPr>
            <w:r w:rsidRPr="00CB78D8">
              <w:rPr>
                <w:rFonts w:eastAsia="Calibri"/>
              </w:rPr>
              <w:t>-</w:t>
            </w:r>
            <w:r>
              <w:rPr>
                <w:rFonts w:eastAsia="Calibri"/>
              </w:rPr>
              <w:t xml:space="preserve"> Подсистема оповещения о пожаре</w:t>
            </w:r>
            <w:r w:rsidRPr="00CB78D8">
              <w:rPr>
                <w:rFonts w:eastAsia="Calibri"/>
              </w:rPr>
              <w:t xml:space="preserve"> должна обеспечивать выдачу необходимых световых, звуковых, речевых сигналов при фиксации опасных факторов пожара. При этом должен обеспечиваться ко</w:t>
            </w:r>
            <w:r>
              <w:rPr>
                <w:rFonts w:eastAsia="Calibri"/>
              </w:rPr>
              <w:t>нтроль целостности линий связи.</w:t>
            </w:r>
          </w:p>
        </w:tc>
      </w:tr>
      <w:tr w:rsidR="000D09F0" w:rsidRPr="00CB78D8" w14:paraId="570F537C" w14:textId="77777777" w:rsidTr="004D0C30">
        <w:trPr>
          <w:trHeight w:val="976"/>
        </w:trPr>
        <w:tc>
          <w:tcPr>
            <w:tcW w:w="567" w:type="dxa"/>
          </w:tcPr>
          <w:p w14:paraId="17B6A732" w14:textId="364807AF" w:rsidR="000D09F0" w:rsidRPr="00CB78D8" w:rsidRDefault="00BE450C" w:rsidP="004D0C30">
            <w:pPr>
              <w:jc w:val="center"/>
              <w:rPr>
                <w:rFonts w:eastAsiaTheme="minorHAnsi"/>
                <w:b/>
                <w:lang w:eastAsia="en-US"/>
              </w:rPr>
            </w:pPr>
            <w:r>
              <w:rPr>
                <w:rFonts w:eastAsiaTheme="minorHAnsi"/>
                <w:b/>
                <w:lang w:eastAsia="en-US"/>
              </w:rPr>
              <w:lastRenderedPageBreak/>
              <w:t>4</w:t>
            </w:r>
          </w:p>
        </w:tc>
        <w:tc>
          <w:tcPr>
            <w:tcW w:w="2415" w:type="dxa"/>
          </w:tcPr>
          <w:p w14:paraId="5538E1A9" w14:textId="77777777" w:rsidR="000D09F0" w:rsidRPr="00CB78D8" w:rsidRDefault="000D09F0" w:rsidP="004D0C30">
            <w:pPr>
              <w:jc w:val="center"/>
              <w:rPr>
                <w:rFonts w:eastAsiaTheme="minorHAnsi"/>
                <w:b/>
                <w:iCs/>
                <w:lang w:eastAsia="en-US"/>
              </w:rPr>
            </w:pPr>
            <w:r w:rsidRPr="00CB78D8">
              <w:rPr>
                <w:rFonts w:eastAsia="Calibri"/>
                <w:b/>
              </w:rPr>
              <w:t>Требования к документации</w:t>
            </w:r>
          </w:p>
        </w:tc>
        <w:tc>
          <w:tcPr>
            <w:tcW w:w="7224" w:type="dxa"/>
            <w:vAlign w:val="center"/>
          </w:tcPr>
          <w:p w14:paraId="0235E897" w14:textId="77777777" w:rsidR="000D09F0" w:rsidRPr="00CB78D8" w:rsidRDefault="000D09F0" w:rsidP="004D0C30">
            <w:pPr>
              <w:jc w:val="both"/>
            </w:pPr>
            <w:r w:rsidRPr="00CB78D8">
              <w:rPr>
                <w:rFonts w:eastAsia="Calibri"/>
              </w:rPr>
              <w:t>Документация должна быть представлена в ч</w:t>
            </w:r>
            <w:r w:rsidRPr="00CB78D8">
              <w:t>етырех экземплярах проектно-сметной документации на бумажной основе в переплетенном виде,</w:t>
            </w:r>
            <w:r w:rsidRPr="00CB78D8">
              <w:rPr>
                <w:b/>
                <w:color w:val="000000"/>
                <w:lang w:eastAsia="en-US"/>
              </w:rPr>
              <w:t xml:space="preserve"> </w:t>
            </w:r>
            <w:r w:rsidRPr="00CB78D8">
              <w:rPr>
                <w:color w:val="000000"/>
                <w:lang w:eastAsia="en-US"/>
              </w:rPr>
              <w:t>прошитых и заверенных печатью проектной организации</w:t>
            </w:r>
            <w:r w:rsidRPr="00CB78D8">
              <w:t xml:space="preserve">, один экземпляр (копия оригинала со всеми согласованиями) на электронном носителе - </w:t>
            </w:r>
            <w:r w:rsidRPr="00CB78D8">
              <w:rPr>
                <w:lang w:val="en-US"/>
              </w:rPr>
              <w:t>CD</w:t>
            </w:r>
            <w:r w:rsidRPr="00CB78D8">
              <w:t xml:space="preserve">- диске: таблицы в формате </w:t>
            </w:r>
            <w:r w:rsidRPr="00CB78D8">
              <w:rPr>
                <w:lang w:val="en-US"/>
              </w:rPr>
              <w:t>Microsoft</w:t>
            </w:r>
            <w:r w:rsidRPr="00CB78D8">
              <w:t xml:space="preserve"> </w:t>
            </w:r>
            <w:r w:rsidRPr="00CB78D8">
              <w:rPr>
                <w:lang w:val="en-US"/>
              </w:rPr>
              <w:t>Excel</w:t>
            </w:r>
            <w:r w:rsidRPr="00CB78D8">
              <w:t xml:space="preserve">, текстовая часть в формате </w:t>
            </w:r>
            <w:r w:rsidRPr="00CB78D8">
              <w:rPr>
                <w:lang w:val="en-US"/>
              </w:rPr>
              <w:t>Microsoft</w:t>
            </w:r>
            <w:r w:rsidRPr="00CB78D8">
              <w:t xml:space="preserve"> </w:t>
            </w:r>
            <w:r w:rsidRPr="00CB78D8">
              <w:rPr>
                <w:lang w:val="en-US"/>
              </w:rPr>
              <w:t>Word</w:t>
            </w:r>
            <w:r w:rsidRPr="00CB78D8">
              <w:t xml:space="preserve">, чертежи и схемы в двух форматах </w:t>
            </w:r>
            <w:r w:rsidRPr="00CB78D8">
              <w:rPr>
                <w:lang w:val="en-US"/>
              </w:rPr>
              <w:t>Auto</w:t>
            </w:r>
            <w:r w:rsidRPr="00CB78D8">
              <w:t xml:space="preserve"> </w:t>
            </w:r>
            <w:r w:rsidRPr="00CB78D8">
              <w:rPr>
                <w:lang w:val="en-US"/>
              </w:rPr>
              <w:t>CAD</w:t>
            </w:r>
            <w:r w:rsidRPr="00CB78D8">
              <w:t xml:space="preserve"> и переведенные в </w:t>
            </w:r>
            <w:r w:rsidRPr="00CB78D8">
              <w:rPr>
                <w:lang w:val="en-US"/>
              </w:rPr>
              <w:t>PDF</w:t>
            </w:r>
            <w:r w:rsidRPr="00CB78D8">
              <w:t>.</w:t>
            </w:r>
          </w:p>
          <w:p w14:paraId="69289450" w14:textId="77777777" w:rsidR="000D09F0" w:rsidRPr="00CB78D8" w:rsidRDefault="000D09F0" w:rsidP="004D0C30">
            <w:pPr>
              <w:jc w:val="both"/>
              <w:rPr>
                <w:rFonts w:eastAsia="Calibri"/>
              </w:rPr>
            </w:pPr>
            <w:r w:rsidRPr="00CB78D8">
              <w:t>(Электронная версия документации должна быть передана Заказчику с возможностью редактирования. Передача документации в сканированном виде не допускается.</w:t>
            </w:r>
          </w:p>
          <w:p w14:paraId="54CEA864" w14:textId="77777777" w:rsidR="000D09F0" w:rsidRPr="00CB78D8" w:rsidRDefault="000D09F0" w:rsidP="004D0C30">
            <w:pPr>
              <w:jc w:val="both"/>
              <w:rPr>
                <w:rFonts w:eastAsia="Calibri"/>
              </w:rPr>
            </w:pPr>
            <w:r w:rsidRPr="00CB78D8">
              <w:rPr>
                <w:rFonts w:eastAsia="Calibri"/>
              </w:rPr>
              <w:t>Состав и содержание документации должен соответствовать требованиям статьи 48 Федерального закона от 29 декабря 2004 года за №190-ФЗ и Постановления от 16 февраля 2008 г. За №87.</w:t>
            </w:r>
          </w:p>
          <w:p w14:paraId="171EE151" w14:textId="77777777" w:rsidR="000D09F0" w:rsidRPr="00CB78D8" w:rsidRDefault="000D09F0" w:rsidP="004D0C30">
            <w:pPr>
              <w:jc w:val="both"/>
              <w:rPr>
                <w:rFonts w:eastAsia="Calibri"/>
              </w:rPr>
            </w:pPr>
            <w:r w:rsidRPr="00CB78D8">
              <w:rPr>
                <w:rFonts w:eastAsia="Calibri"/>
              </w:rPr>
              <w:t xml:space="preserve">При оформлении документации учесть требования ГОСТ Р 21.1703.2000 и </w:t>
            </w:r>
            <w:r w:rsidRPr="00CB78D8">
              <w:rPr>
                <w:rFonts w:eastAsiaTheme="minorEastAsia"/>
              </w:rPr>
              <w:t>ГОСТ</w:t>
            </w:r>
            <w:r w:rsidRPr="00CB78D8">
              <w:rPr>
                <w:rFonts w:eastAsia="Calibri"/>
              </w:rPr>
              <w:t xml:space="preserve"> Р 21.101-2020</w:t>
            </w:r>
          </w:p>
          <w:p w14:paraId="16B6A3DD" w14:textId="77777777" w:rsidR="000D09F0" w:rsidRPr="00CB78D8" w:rsidRDefault="000D09F0" w:rsidP="004D0C30">
            <w:pPr>
              <w:jc w:val="both"/>
              <w:rPr>
                <w:rFonts w:eastAsia="Calibri"/>
              </w:rPr>
            </w:pPr>
            <w:r w:rsidRPr="00CB78D8">
              <w:rPr>
                <w:rFonts w:eastAsia="Calibri"/>
              </w:rPr>
              <w:t>В составе документации обязательны следующие разделы:</w:t>
            </w:r>
          </w:p>
          <w:p w14:paraId="77B91B0A" w14:textId="77777777" w:rsidR="000D09F0" w:rsidRPr="00CB78D8" w:rsidRDefault="000D09F0" w:rsidP="004D0C30">
            <w:pPr>
              <w:jc w:val="both"/>
              <w:rPr>
                <w:rFonts w:eastAsia="Calibri"/>
              </w:rPr>
            </w:pPr>
            <w:r w:rsidRPr="00CB78D8">
              <w:rPr>
                <w:rFonts w:eastAsia="Calibri"/>
              </w:rPr>
              <w:t>- Основание для разработки документации;</w:t>
            </w:r>
          </w:p>
          <w:p w14:paraId="134F52F6" w14:textId="77777777" w:rsidR="000D09F0" w:rsidRPr="00CB78D8" w:rsidRDefault="000D09F0" w:rsidP="004D0C30">
            <w:pPr>
              <w:jc w:val="both"/>
              <w:rPr>
                <w:rFonts w:eastAsia="Calibri"/>
              </w:rPr>
            </w:pPr>
            <w:r w:rsidRPr="00CB78D8">
              <w:rPr>
                <w:rFonts w:eastAsia="Calibri"/>
              </w:rPr>
              <w:t>- Краткая характеристика защищаемого объекта;</w:t>
            </w:r>
          </w:p>
          <w:p w14:paraId="652E5273" w14:textId="77777777" w:rsidR="000D09F0" w:rsidRPr="00CB78D8" w:rsidRDefault="000D09F0" w:rsidP="004D0C30">
            <w:pPr>
              <w:jc w:val="both"/>
              <w:rPr>
                <w:rFonts w:eastAsia="Calibri"/>
              </w:rPr>
            </w:pPr>
            <w:r w:rsidRPr="00CB78D8">
              <w:rPr>
                <w:rFonts w:eastAsia="Calibri"/>
              </w:rPr>
              <w:t xml:space="preserve">- Описание </w:t>
            </w:r>
            <w:proofErr w:type="gramStart"/>
            <w:r w:rsidRPr="00CB78D8">
              <w:rPr>
                <w:rFonts w:eastAsia="Calibri"/>
              </w:rPr>
              <w:t>основных технических решений</w:t>
            </w:r>
            <w:proofErr w:type="gramEnd"/>
            <w:r w:rsidRPr="00CB78D8">
              <w:rPr>
                <w:rFonts w:eastAsia="Calibri"/>
              </w:rPr>
              <w:t xml:space="preserve"> принятых в проекте;</w:t>
            </w:r>
          </w:p>
          <w:p w14:paraId="3D1DF0A0" w14:textId="77777777" w:rsidR="000D09F0" w:rsidRPr="00CB78D8" w:rsidRDefault="000D09F0" w:rsidP="004D0C30">
            <w:pPr>
              <w:jc w:val="both"/>
              <w:rPr>
                <w:rFonts w:eastAsia="Calibri"/>
              </w:rPr>
            </w:pPr>
            <w:r w:rsidRPr="00CB78D8">
              <w:rPr>
                <w:rFonts w:eastAsia="Calibri"/>
              </w:rPr>
              <w:t>- Спецификация основного оборудования;</w:t>
            </w:r>
          </w:p>
          <w:p w14:paraId="40A504B7" w14:textId="77777777" w:rsidR="000D09F0" w:rsidRPr="00CB78D8" w:rsidRDefault="000D09F0" w:rsidP="004D0C30">
            <w:pPr>
              <w:jc w:val="both"/>
              <w:rPr>
                <w:rFonts w:eastAsia="Calibri"/>
              </w:rPr>
            </w:pPr>
            <w:r w:rsidRPr="00CB78D8">
              <w:rPr>
                <w:rFonts w:eastAsia="Calibri"/>
              </w:rPr>
              <w:t>-  Описание функционирования в целом, с алгоритмом интеграции;</w:t>
            </w:r>
          </w:p>
          <w:p w14:paraId="15B2AB1D" w14:textId="77777777" w:rsidR="000D09F0" w:rsidRPr="00CB78D8" w:rsidRDefault="000D09F0" w:rsidP="004D0C30">
            <w:pPr>
              <w:jc w:val="both"/>
              <w:rPr>
                <w:rFonts w:eastAsia="Calibri"/>
              </w:rPr>
            </w:pPr>
            <w:r w:rsidRPr="00CB78D8">
              <w:rPr>
                <w:rFonts w:eastAsia="Calibri"/>
              </w:rPr>
              <w:t>-  Расчет параметров электропитания и резервирования;</w:t>
            </w:r>
          </w:p>
          <w:p w14:paraId="025B27B8" w14:textId="77777777" w:rsidR="000D09F0" w:rsidRPr="00CB78D8" w:rsidRDefault="000D09F0" w:rsidP="004D0C30">
            <w:pPr>
              <w:jc w:val="both"/>
              <w:rPr>
                <w:rFonts w:eastAsia="Calibri"/>
              </w:rPr>
            </w:pPr>
            <w:r w:rsidRPr="00CB78D8">
              <w:rPr>
                <w:rFonts w:eastAsia="Calibri"/>
              </w:rPr>
              <w:t>- Структурные схемы систем;</w:t>
            </w:r>
          </w:p>
          <w:p w14:paraId="7E0F6973" w14:textId="77777777" w:rsidR="000D09F0" w:rsidRPr="00CB78D8" w:rsidRDefault="000D09F0" w:rsidP="004D0C30">
            <w:pPr>
              <w:jc w:val="both"/>
              <w:rPr>
                <w:rFonts w:eastAsia="Calibri"/>
              </w:rPr>
            </w:pPr>
            <w:r w:rsidRPr="00CB78D8">
              <w:rPr>
                <w:rFonts w:eastAsia="Calibri"/>
              </w:rPr>
              <w:t>- Планы размещения оборудования и линий связи;</w:t>
            </w:r>
          </w:p>
          <w:p w14:paraId="304D560B" w14:textId="77777777" w:rsidR="000D09F0" w:rsidRPr="00CB78D8" w:rsidRDefault="000D09F0" w:rsidP="004D0C30">
            <w:pPr>
              <w:jc w:val="both"/>
              <w:rPr>
                <w:rFonts w:eastAsia="Calibri"/>
              </w:rPr>
            </w:pPr>
            <w:r w:rsidRPr="00CB78D8">
              <w:rPr>
                <w:rFonts w:eastAsia="Calibri"/>
              </w:rPr>
              <w:t>- Схемы внешних соединений;</w:t>
            </w:r>
          </w:p>
          <w:p w14:paraId="21EAB8BE" w14:textId="77777777" w:rsidR="000D09F0" w:rsidRPr="00CB78D8" w:rsidRDefault="000D09F0" w:rsidP="004D0C30">
            <w:pPr>
              <w:jc w:val="both"/>
              <w:rPr>
                <w:rFonts w:eastAsia="Calibri"/>
              </w:rPr>
            </w:pPr>
            <w:r w:rsidRPr="00CB78D8">
              <w:rPr>
                <w:rFonts w:eastAsia="Calibri"/>
              </w:rPr>
              <w:t>- Схемы подключения оборудования;</w:t>
            </w:r>
          </w:p>
          <w:p w14:paraId="44BE1535" w14:textId="77777777" w:rsidR="000D09F0" w:rsidRPr="00CB78D8" w:rsidRDefault="000D09F0" w:rsidP="004D0C30">
            <w:pPr>
              <w:jc w:val="both"/>
              <w:rPr>
                <w:rFonts w:eastAsia="Calibri"/>
              </w:rPr>
            </w:pPr>
            <w:r w:rsidRPr="00CB78D8">
              <w:rPr>
                <w:rFonts w:eastAsia="Calibri"/>
              </w:rPr>
              <w:t>- Кабельный журнал;</w:t>
            </w:r>
          </w:p>
          <w:p w14:paraId="4B407755" w14:textId="77777777" w:rsidR="000D09F0" w:rsidRPr="00CB78D8" w:rsidRDefault="000D09F0" w:rsidP="004D0C30">
            <w:pPr>
              <w:jc w:val="both"/>
              <w:rPr>
                <w:rFonts w:eastAsia="Calibri"/>
              </w:rPr>
            </w:pPr>
            <w:r w:rsidRPr="00CB78D8">
              <w:rPr>
                <w:rFonts w:eastAsia="Calibri"/>
              </w:rPr>
              <w:t>- Подробные спецификации с указанием ЗИП;</w:t>
            </w:r>
          </w:p>
          <w:p w14:paraId="032ED2FF" w14:textId="5AA28487" w:rsidR="000D09F0" w:rsidRDefault="00054FB4" w:rsidP="004D0C30">
            <w:pPr>
              <w:ind w:right="-1" w:firstLine="567"/>
              <w:jc w:val="both"/>
            </w:pPr>
            <w:r>
              <w:t>Исполнитель</w:t>
            </w:r>
            <w:r w:rsidR="000D09F0" w:rsidRPr="00CB78D8">
              <w:t xml:space="preserve"> получает положительное заключение в Федеральном государственное бюджетном учреждении "Судебно-экспертное учреждение федеральной противопожарной службы "Испытательная пожарная лаборатория" по </w:t>
            </w:r>
            <w:r>
              <w:t>Приморскому краю</w:t>
            </w:r>
            <w:r w:rsidR="000D09F0" w:rsidRPr="00CB78D8">
              <w:t>" в части рассмотрении проектной документации на соответствие принятых проектных решений требованиям пожарной безопасности (в рамках договорной цены).</w:t>
            </w:r>
          </w:p>
          <w:p w14:paraId="2CA87EA5" w14:textId="77777777" w:rsidR="000D09F0" w:rsidRPr="00CB78D8" w:rsidRDefault="000D09F0" w:rsidP="004D0C30">
            <w:pPr>
              <w:widowControl w:val="0"/>
              <w:suppressAutoHyphens/>
              <w:autoSpaceDE w:val="0"/>
              <w:autoSpaceDN w:val="0"/>
              <w:jc w:val="both"/>
              <w:rPr>
                <w:rFonts w:eastAsiaTheme="minorHAnsi"/>
                <w:lang w:eastAsia="en-US"/>
              </w:rPr>
            </w:pPr>
            <w:r w:rsidRPr="00CB78D8">
              <w:rPr>
                <w:rFonts w:eastAsia="Calibri"/>
              </w:rPr>
              <w:t>Прием-передача документации между Заказчиком и Исполнителем производится по акту приема-передачи с указанием состава и количества экземпляров документации. При внесении изменений и дополнений в порядке согласования документации Исполнитель оформляет и прикладывает к акту лист регистрации изменений.</w:t>
            </w:r>
          </w:p>
        </w:tc>
      </w:tr>
      <w:tr w:rsidR="000D09F0" w:rsidRPr="00CB78D8" w14:paraId="4C557751" w14:textId="77777777" w:rsidTr="004D0C30">
        <w:trPr>
          <w:trHeight w:val="605"/>
        </w:trPr>
        <w:tc>
          <w:tcPr>
            <w:tcW w:w="567" w:type="dxa"/>
          </w:tcPr>
          <w:p w14:paraId="0202AA32" w14:textId="7E1CCAF2" w:rsidR="000D09F0" w:rsidRPr="00CB78D8" w:rsidRDefault="00BE450C" w:rsidP="004D0C30">
            <w:pPr>
              <w:jc w:val="center"/>
              <w:rPr>
                <w:rFonts w:eastAsiaTheme="minorHAnsi"/>
                <w:b/>
                <w:color w:val="000000"/>
                <w:lang w:eastAsia="en-US"/>
              </w:rPr>
            </w:pPr>
            <w:r>
              <w:rPr>
                <w:rFonts w:eastAsiaTheme="minorHAnsi"/>
                <w:b/>
                <w:color w:val="000000"/>
                <w:lang w:eastAsia="en-US"/>
              </w:rPr>
              <w:t>5</w:t>
            </w:r>
          </w:p>
        </w:tc>
        <w:tc>
          <w:tcPr>
            <w:tcW w:w="2415" w:type="dxa"/>
          </w:tcPr>
          <w:p w14:paraId="3B47F417" w14:textId="77777777" w:rsidR="000D09F0" w:rsidRPr="00CB78D8" w:rsidRDefault="000D09F0" w:rsidP="004D0C30">
            <w:pPr>
              <w:jc w:val="center"/>
              <w:rPr>
                <w:rFonts w:eastAsiaTheme="minorHAnsi"/>
                <w:b/>
                <w:bCs/>
                <w:color w:val="000000"/>
                <w:lang w:eastAsia="en-US"/>
              </w:rPr>
            </w:pPr>
            <w:r w:rsidRPr="00CB78D8">
              <w:rPr>
                <w:rFonts w:eastAsiaTheme="minorHAnsi"/>
                <w:b/>
                <w:iCs/>
                <w:lang w:eastAsia="en-US"/>
              </w:rPr>
              <w:t>Требования к сметной документации</w:t>
            </w:r>
          </w:p>
        </w:tc>
        <w:tc>
          <w:tcPr>
            <w:tcW w:w="7224" w:type="dxa"/>
          </w:tcPr>
          <w:p w14:paraId="526BEB7A" w14:textId="77777777" w:rsidR="000D09F0" w:rsidRPr="00CB78D8" w:rsidRDefault="000D09F0" w:rsidP="004D0C30">
            <w:pPr>
              <w:jc w:val="both"/>
              <w:rPr>
                <w:rFonts w:eastAsia="Calibri"/>
              </w:rPr>
            </w:pPr>
            <w:r w:rsidRPr="00CB78D8">
              <w:rPr>
                <w:rFonts w:eastAsia="Calibri"/>
              </w:rPr>
              <w:t>Сметная документация должна быть составлена в Федеральной сметно-нормативной базе (ФСНБ-2020) ценообразования в строительстве, «ГЭСН-2020, ФЕР-2020 (актуальная редакция)» в базовых ценах, в двухуровневой системе ценообразования с пересчетом в текущий уровень цен региона по рекомендуемым индексам Министерства строительства и жилищно-коммунального хозяйства Российской Федерации на квартал, в котором составляется сметная документация.</w:t>
            </w:r>
          </w:p>
          <w:p w14:paraId="11357EFD" w14:textId="77777777" w:rsidR="000D09F0" w:rsidRPr="00CB78D8" w:rsidRDefault="000D09F0" w:rsidP="004D0C30">
            <w:pPr>
              <w:jc w:val="both"/>
              <w:rPr>
                <w:rFonts w:eastAsiaTheme="minorHAnsi"/>
                <w:lang w:eastAsia="en-US"/>
              </w:rPr>
            </w:pPr>
            <w:r w:rsidRPr="00CB78D8">
              <w:rPr>
                <w:rFonts w:eastAsia="Calibri"/>
              </w:rPr>
              <w:t>Приложить обоснования стоимости материально-технических ресурсов и оборудования. Стоимость материально-технических ресурсов рассчитать по федеральному сборнику сметных цен на материалы, изделия и конструкции, применяемые в строительстве «ГЭСН-2020, ФЕР-2020. ФССЦ (актуальная редакция)». Стоимость материально-технических ресурсов и оборудования, не вошедших в состав сборника, определить на основании сопоставимости рыночных цен идентичных товаров (с предоставлением прайс-листов, либо коммерческих предложений, согласованных с Заказчиком).</w:t>
            </w:r>
          </w:p>
        </w:tc>
      </w:tr>
      <w:tr w:rsidR="000D09F0" w:rsidRPr="00CB78D8" w14:paraId="1CD9DEA0" w14:textId="77777777" w:rsidTr="004D0C30">
        <w:trPr>
          <w:trHeight w:val="605"/>
        </w:trPr>
        <w:tc>
          <w:tcPr>
            <w:tcW w:w="567" w:type="dxa"/>
          </w:tcPr>
          <w:p w14:paraId="05CF3C3D" w14:textId="75F44189" w:rsidR="000D09F0" w:rsidRPr="00CB78D8" w:rsidRDefault="00BE450C" w:rsidP="004D0C30">
            <w:pPr>
              <w:jc w:val="center"/>
              <w:rPr>
                <w:rFonts w:eastAsiaTheme="minorHAnsi"/>
                <w:b/>
                <w:color w:val="000000"/>
                <w:lang w:eastAsia="en-US"/>
              </w:rPr>
            </w:pPr>
            <w:r>
              <w:rPr>
                <w:rFonts w:eastAsiaTheme="minorHAnsi"/>
                <w:b/>
                <w:color w:val="000000"/>
                <w:lang w:eastAsia="en-US"/>
              </w:rPr>
              <w:t>6</w:t>
            </w:r>
          </w:p>
        </w:tc>
        <w:tc>
          <w:tcPr>
            <w:tcW w:w="2415" w:type="dxa"/>
          </w:tcPr>
          <w:p w14:paraId="7A46B384" w14:textId="77777777" w:rsidR="000D09F0" w:rsidRPr="00CB78D8" w:rsidRDefault="000D09F0" w:rsidP="004D0C30">
            <w:pPr>
              <w:jc w:val="center"/>
              <w:rPr>
                <w:rFonts w:eastAsiaTheme="minorHAnsi"/>
                <w:b/>
                <w:bCs/>
                <w:color w:val="000000"/>
                <w:lang w:eastAsia="en-US"/>
              </w:rPr>
            </w:pPr>
            <w:r w:rsidRPr="00CB78D8">
              <w:rPr>
                <w:rFonts w:eastAsiaTheme="minorHAnsi"/>
                <w:b/>
                <w:bCs/>
                <w:color w:val="000000"/>
                <w:lang w:eastAsia="en-US"/>
              </w:rPr>
              <w:t>Нормативные ссылки</w:t>
            </w:r>
          </w:p>
        </w:tc>
        <w:tc>
          <w:tcPr>
            <w:tcW w:w="7224" w:type="dxa"/>
            <w:vAlign w:val="center"/>
          </w:tcPr>
          <w:p w14:paraId="0561DA79" w14:textId="77777777" w:rsidR="000D09F0" w:rsidRPr="00CB78D8" w:rsidRDefault="000D09F0" w:rsidP="004D0C30">
            <w:pPr>
              <w:jc w:val="both"/>
              <w:rPr>
                <w:rFonts w:eastAsiaTheme="minorHAnsi"/>
                <w:lang w:eastAsia="en-US"/>
              </w:rPr>
            </w:pPr>
            <w:r w:rsidRPr="00CB78D8">
              <w:rPr>
                <w:rFonts w:eastAsiaTheme="minorHAnsi"/>
                <w:lang w:eastAsia="en-US"/>
              </w:rPr>
              <w:t>Проектирование выполнить в соответствии с требованиями:</w:t>
            </w:r>
          </w:p>
          <w:p w14:paraId="16070FD4" w14:textId="77777777" w:rsidR="000D09F0" w:rsidRPr="00CB78D8" w:rsidRDefault="000D09F0" w:rsidP="004D0C30">
            <w:pPr>
              <w:numPr>
                <w:ilvl w:val="0"/>
                <w:numId w:val="11"/>
              </w:numPr>
              <w:contextualSpacing/>
              <w:jc w:val="both"/>
              <w:rPr>
                <w:rFonts w:eastAsia="Calibri"/>
              </w:rPr>
            </w:pPr>
            <w:r w:rsidRPr="00CB78D8">
              <w:rPr>
                <w:rFonts w:eastAsia="Calibri"/>
              </w:rPr>
              <w:t>Федеральный закон «Технический регламент о требованиях пожарной безопасности» от 22.07.2008 № 123-ФЗ;</w:t>
            </w:r>
          </w:p>
          <w:p w14:paraId="27F6F083" w14:textId="77777777" w:rsidR="000D09F0" w:rsidRPr="00CB78D8" w:rsidRDefault="000D09F0" w:rsidP="004D0C30">
            <w:pPr>
              <w:numPr>
                <w:ilvl w:val="0"/>
                <w:numId w:val="11"/>
              </w:numPr>
              <w:contextualSpacing/>
              <w:jc w:val="both"/>
              <w:rPr>
                <w:rFonts w:eastAsia="Calibri"/>
              </w:rPr>
            </w:pPr>
            <w:r w:rsidRPr="00CB78D8">
              <w:rPr>
                <w:rFonts w:eastAsia="Calibri"/>
              </w:rPr>
              <w:t>Правила противопожарного режима в Российской Федерации (утв. постановлением Правительства РФ от 16. 09. 2020 г. №1479);</w:t>
            </w:r>
          </w:p>
          <w:p w14:paraId="4775A9C8" w14:textId="77777777" w:rsidR="000D09F0" w:rsidRPr="00CB78D8" w:rsidRDefault="000D09F0" w:rsidP="004D0C30">
            <w:pPr>
              <w:numPr>
                <w:ilvl w:val="0"/>
                <w:numId w:val="11"/>
              </w:numPr>
              <w:contextualSpacing/>
              <w:jc w:val="both"/>
              <w:rPr>
                <w:rFonts w:eastAsia="Calibri"/>
              </w:rPr>
            </w:pPr>
            <w:r>
              <w:rPr>
                <w:rFonts w:eastAsia="Calibri"/>
              </w:rPr>
              <w:t>СП 3.13130.2009 «С</w:t>
            </w:r>
            <w:r w:rsidRPr="00CB78D8">
              <w:rPr>
                <w:rFonts w:eastAsia="Calibri"/>
              </w:rPr>
              <w:t xml:space="preserve">истемы противопожарной защиты. Система оповещения и управления эвакуацией людей при пожаре. Требования пожарной безопасности» приказ </w:t>
            </w:r>
            <w:r>
              <w:rPr>
                <w:rFonts w:eastAsia="Calibri"/>
              </w:rPr>
              <w:t xml:space="preserve">МЧС России </w:t>
            </w:r>
            <w:r w:rsidRPr="00CB78D8">
              <w:rPr>
                <w:rFonts w:eastAsia="Calibri"/>
              </w:rPr>
              <w:t>от 25.03.2009 № 175;</w:t>
            </w:r>
          </w:p>
          <w:p w14:paraId="07FF2F7B" w14:textId="77777777" w:rsidR="000D09F0" w:rsidRPr="00CB78D8" w:rsidRDefault="000D09F0" w:rsidP="004D0C30">
            <w:pPr>
              <w:numPr>
                <w:ilvl w:val="0"/>
                <w:numId w:val="11"/>
              </w:numPr>
              <w:contextualSpacing/>
              <w:jc w:val="both"/>
              <w:rPr>
                <w:rFonts w:eastAsia="Calibri"/>
              </w:rPr>
            </w:pPr>
            <w:r>
              <w:rPr>
                <w:rFonts w:eastAsia="Calibri"/>
              </w:rPr>
              <w:t>СП 484.1311500.2020 «С</w:t>
            </w:r>
            <w:r w:rsidRPr="00CB78D8">
              <w:rPr>
                <w:rFonts w:eastAsia="Calibri"/>
              </w:rPr>
              <w:t xml:space="preserve">истемы пожарной сигнализации и автоматизация систем противопожарной защиты» приказ </w:t>
            </w:r>
            <w:r w:rsidRPr="0030532D">
              <w:rPr>
                <w:rFonts w:eastAsia="Calibri"/>
              </w:rPr>
              <w:t xml:space="preserve">МЧС России </w:t>
            </w:r>
            <w:r w:rsidRPr="00CB78D8">
              <w:rPr>
                <w:rFonts w:eastAsia="Calibri"/>
              </w:rPr>
              <w:t>от 31.07.2020 № 582;</w:t>
            </w:r>
          </w:p>
          <w:p w14:paraId="63CD42A5" w14:textId="77777777" w:rsidR="000D09F0" w:rsidRPr="00CB78D8" w:rsidRDefault="000D09F0" w:rsidP="004D0C30">
            <w:pPr>
              <w:numPr>
                <w:ilvl w:val="0"/>
                <w:numId w:val="11"/>
              </w:numPr>
              <w:contextualSpacing/>
              <w:jc w:val="both"/>
              <w:rPr>
                <w:rFonts w:eastAsia="Calibri"/>
              </w:rPr>
            </w:pPr>
            <w:r>
              <w:rPr>
                <w:rFonts w:eastAsia="Calibri"/>
              </w:rPr>
              <w:t>СП</w:t>
            </w:r>
            <w:r w:rsidRPr="00CB78D8">
              <w:rPr>
                <w:rFonts w:eastAsia="Calibri"/>
              </w:rPr>
              <w:t xml:space="preserve"> 485</w:t>
            </w:r>
            <w:r>
              <w:rPr>
                <w:rFonts w:eastAsia="Calibri"/>
              </w:rPr>
              <w:t>.1311500.2020 «У</w:t>
            </w:r>
            <w:r w:rsidRPr="00CB78D8">
              <w:rPr>
                <w:rFonts w:eastAsia="Calibri"/>
              </w:rPr>
              <w:t xml:space="preserve">становки пожаротушения автоматические» приказ </w:t>
            </w:r>
            <w:r w:rsidRPr="0030532D">
              <w:rPr>
                <w:rFonts w:eastAsia="Calibri"/>
              </w:rPr>
              <w:t xml:space="preserve">МЧС России </w:t>
            </w:r>
            <w:r w:rsidRPr="00CB78D8">
              <w:rPr>
                <w:rFonts w:eastAsia="Calibri"/>
              </w:rPr>
              <w:t>от 31.07.2020 № 582;</w:t>
            </w:r>
          </w:p>
          <w:p w14:paraId="5482A049" w14:textId="77777777" w:rsidR="000D09F0" w:rsidRPr="00CB78D8" w:rsidRDefault="000D09F0" w:rsidP="004D0C30">
            <w:pPr>
              <w:numPr>
                <w:ilvl w:val="0"/>
                <w:numId w:val="11"/>
              </w:numPr>
              <w:contextualSpacing/>
              <w:jc w:val="both"/>
              <w:rPr>
                <w:rFonts w:eastAsia="Calibri"/>
              </w:rPr>
            </w:pPr>
            <w:r>
              <w:rPr>
                <w:rFonts w:eastAsia="Calibri"/>
              </w:rPr>
              <w:t>СП</w:t>
            </w:r>
            <w:r w:rsidRPr="00CB78D8">
              <w:rPr>
                <w:rFonts w:eastAsia="Calibri"/>
              </w:rPr>
              <w:t xml:space="preserve"> 486.1311500.2</w:t>
            </w:r>
            <w:r>
              <w:rPr>
                <w:rFonts w:eastAsia="Calibri"/>
              </w:rPr>
              <w:t>020 «П</w:t>
            </w:r>
            <w:r w:rsidRPr="00CB78D8">
              <w:rPr>
                <w:rFonts w:eastAsia="Calibri"/>
              </w:rPr>
              <w:t>еречень зданий, сооружений, помещений и оборудования, подлежащих защите автоматическими установками пожаротушения и системами пожарной сигнализации» приказ</w:t>
            </w:r>
            <w:r>
              <w:t xml:space="preserve"> </w:t>
            </w:r>
            <w:r w:rsidRPr="0030532D">
              <w:rPr>
                <w:rFonts w:eastAsia="Calibri"/>
              </w:rPr>
              <w:t>МЧС России</w:t>
            </w:r>
            <w:r w:rsidRPr="00CB78D8">
              <w:rPr>
                <w:rFonts w:eastAsia="Calibri"/>
              </w:rPr>
              <w:t xml:space="preserve"> от 31.07.2020 № 582;</w:t>
            </w:r>
          </w:p>
          <w:p w14:paraId="324C0363" w14:textId="77777777" w:rsidR="000D09F0" w:rsidRDefault="000D09F0" w:rsidP="004D0C30">
            <w:pPr>
              <w:numPr>
                <w:ilvl w:val="0"/>
                <w:numId w:val="11"/>
              </w:numPr>
              <w:contextualSpacing/>
              <w:jc w:val="both"/>
              <w:rPr>
                <w:rFonts w:eastAsia="Calibri"/>
              </w:rPr>
            </w:pPr>
            <w:r w:rsidRPr="00FC3BC9">
              <w:rPr>
                <w:rFonts w:eastAsia="Calibri"/>
              </w:rPr>
              <w:t>СП 6.13130 "Системы противопожарной защиты. Электроустановки низковольтные. Требования пожарной безопасности"</w:t>
            </w:r>
          </w:p>
          <w:p w14:paraId="292AB1E7" w14:textId="77777777" w:rsidR="000D09F0" w:rsidRPr="00CB78D8" w:rsidRDefault="000D09F0" w:rsidP="004D0C30">
            <w:pPr>
              <w:numPr>
                <w:ilvl w:val="0"/>
                <w:numId w:val="11"/>
              </w:numPr>
              <w:contextualSpacing/>
              <w:jc w:val="both"/>
              <w:rPr>
                <w:rFonts w:eastAsia="Calibri"/>
              </w:rPr>
            </w:pPr>
            <w:r w:rsidRPr="00CB78D8">
              <w:rPr>
                <w:rFonts w:eastAsia="Calibri"/>
              </w:rPr>
              <w:t>СП 12.13130.2009 «Определение категорий помещений, зданий и наружных установок по взрывопожарной и пожарной опасности»;</w:t>
            </w:r>
          </w:p>
          <w:p w14:paraId="65F7A296" w14:textId="77777777" w:rsidR="000D09F0" w:rsidRPr="00CB78D8" w:rsidRDefault="000D09F0" w:rsidP="004D0C30">
            <w:pPr>
              <w:numPr>
                <w:ilvl w:val="0"/>
                <w:numId w:val="11"/>
              </w:numPr>
              <w:contextualSpacing/>
              <w:jc w:val="both"/>
              <w:rPr>
                <w:rFonts w:eastAsia="Calibri"/>
              </w:rPr>
            </w:pPr>
            <w:r w:rsidRPr="00CB78D8">
              <w:rPr>
                <w:rFonts w:eastAsia="Calibri"/>
              </w:rPr>
              <w:t>Национальный стандарт РФ ГОСТ Р 12.3.047-2012 «Система стандартов безопасности труда. Пожарная безопасность технологических процессов. Общие требования. Методы контроля»;</w:t>
            </w:r>
          </w:p>
          <w:p w14:paraId="6825531E" w14:textId="77777777" w:rsidR="000D09F0" w:rsidRPr="00CB78D8" w:rsidRDefault="000D09F0" w:rsidP="004D0C30">
            <w:pPr>
              <w:numPr>
                <w:ilvl w:val="0"/>
                <w:numId w:val="11"/>
              </w:numPr>
              <w:contextualSpacing/>
              <w:jc w:val="both"/>
              <w:rPr>
                <w:rFonts w:eastAsia="Calibri"/>
              </w:rPr>
            </w:pPr>
            <w:r w:rsidRPr="00CB78D8">
              <w:rPr>
                <w:rFonts w:eastAsia="Calibri"/>
              </w:rPr>
              <w:t>Национальный стандарт РФ ГОСТ Р 53325-2012. «Техника пожарная. Технические средства пожарной автоматики. Общие технические требования. Методы испытаний»;</w:t>
            </w:r>
          </w:p>
          <w:p w14:paraId="7AF2A50C" w14:textId="77777777" w:rsidR="000D09F0" w:rsidRPr="00CB78D8" w:rsidRDefault="000D09F0" w:rsidP="004D0C30">
            <w:pPr>
              <w:numPr>
                <w:ilvl w:val="0"/>
                <w:numId w:val="11"/>
              </w:numPr>
              <w:contextualSpacing/>
              <w:jc w:val="both"/>
              <w:rPr>
                <w:rFonts w:eastAsia="Calibri"/>
              </w:rPr>
            </w:pPr>
            <w:r w:rsidRPr="00CB78D8">
              <w:rPr>
                <w:rFonts w:eastAsia="Calibri"/>
              </w:rPr>
              <w:t xml:space="preserve">РД 25.964-90 «Система технического обслуживания и ремонта автоматических установок пожаротушения, </w:t>
            </w:r>
            <w:proofErr w:type="spellStart"/>
            <w:r w:rsidRPr="00CB78D8">
              <w:rPr>
                <w:rFonts w:eastAsia="Calibri"/>
              </w:rPr>
              <w:t>дымоудаления</w:t>
            </w:r>
            <w:proofErr w:type="spellEnd"/>
            <w:r w:rsidRPr="00CB78D8">
              <w:rPr>
                <w:rFonts w:eastAsia="Calibri"/>
              </w:rPr>
              <w:t>, пожарной и охранно-пожарной сигнализации. Организация и порядок проведения работ»;</w:t>
            </w:r>
          </w:p>
          <w:p w14:paraId="49B2C6ED" w14:textId="77777777" w:rsidR="000D09F0" w:rsidRDefault="000D09F0" w:rsidP="004D0C30">
            <w:pPr>
              <w:numPr>
                <w:ilvl w:val="0"/>
                <w:numId w:val="11"/>
              </w:numPr>
              <w:contextualSpacing/>
              <w:jc w:val="both"/>
              <w:rPr>
                <w:rFonts w:eastAsia="Calibri"/>
              </w:rPr>
            </w:pPr>
            <w:r w:rsidRPr="004D21C2">
              <w:rPr>
                <w:rFonts w:eastAsia="Calibri"/>
              </w:rPr>
              <w:t>ГОСТ 31817.1.1-2012 (IEC 60839-1-1:1988)</w:t>
            </w:r>
            <w:r>
              <w:rPr>
                <w:rFonts w:eastAsia="Calibri"/>
              </w:rPr>
              <w:t xml:space="preserve"> </w:t>
            </w:r>
            <w:r w:rsidRPr="004D21C2">
              <w:rPr>
                <w:rFonts w:eastAsia="Calibri"/>
              </w:rPr>
              <w:t>"Системы тревожной сигнализации. Часть 1. Общие требования. Раздел 1. Общие положения"</w:t>
            </w:r>
            <w:r>
              <w:rPr>
                <w:rFonts w:eastAsia="Calibri"/>
              </w:rPr>
              <w:t xml:space="preserve"> </w:t>
            </w:r>
            <w:r w:rsidRPr="004D21C2">
              <w:rPr>
                <w:rFonts w:eastAsia="Calibri"/>
              </w:rPr>
              <w:t xml:space="preserve">(утв. приказом </w:t>
            </w:r>
            <w:proofErr w:type="spellStart"/>
            <w:r w:rsidRPr="004D21C2">
              <w:rPr>
                <w:rFonts w:eastAsia="Calibri"/>
              </w:rPr>
              <w:t>Росстандарта</w:t>
            </w:r>
            <w:proofErr w:type="spellEnd"/>
            <w:r w:rsidRPr="004D21C2">
              <w:rPr>
                <w:rFonts w:eastAsia="Calibri"/>
              </w:rPr>
              <w:t xml:space="preserve"> от 22 ноября 2012 г. N 1034-ст)</w:t>
            </w:r>
          </w:p>
          <w:p w14:paraId="6A865ED1" w14:textId="77777777" w:rsidR="000D09F0" w:rsidRPr="00DA4D46" w:rsidRDefault="000D09F0" w:rsidP="004D0C30">
            <w:pPr>
              <w:numPr>
                <w:ilvl w:val="0"/>
                <w:numId w:val="11"/>
              </w:numPr>
              <w:contextualSpacing/>
              <w:jc w:val="both"/>
              <w:rPr>
                <w:rFonts w:eastAsia="Calibri"/>
              </w:rPr>
            </w:pPr>
            <w:r w:rsidRPr="00DA4D46">
              <w:rPr>
                <w:rFonts w:eastAsia="Calibri"/>
              </w:rPr>
              <w:t>Постановление Правительства РФ от 1 сентября 2021 г. N 1464</w:t>
            </w:r>
            <w:r>
              <w:rPr>
                <w:rFonts w:eastAsia="Calibri"/>
              </w:rPr>
              <w:t xml:space="preserve"> </w:t>
            </w:r>
            <w:r w:rsidRPr="00DA4D46">
              <w:rPr>
                <w:rFonts w:eastAsia="Calibri"/>
              </w:rPr>
              <w:t>"Об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p w14:paraId="3FF06745" w14:textId="77777777" w:rsidR="000D09F0" w:rsidRPr="004E7BB0" w:rsidRDefault="000D09F0" w:rsidP="004D0C30">
            <w:pPr>
              <w:numPr>
                <w:ilvl w:val="0"/>
                <w:numId w:val="11"/>
              </w:numPr>
              <w:contextualSpacing/>
              <w:jc w:val="both"/>
              <w:rPr>
                <w:rFonts w:eastAsia="Calibri"/>
              </w:rPr>
            </w:pPr>
            <w:r w:rsidRPr="004E7BB0">
              <w:rPr>
                <w:rFonts w:eastAsia="Calibri"/>
              </w:rPr>
              <w:t>ГОСТ Р 21.101-2020</w:t>
            </w:r>
            <w:r>
              <w:rPr>
                <w:rFonts w:eastAsia="Calibri"/>
              </w:rPr>
              <w:t xml:space="preserve"> </w:t>
            </w:r>
            <w:r w:rsidRPr="004E7BB0">
              <w:rPr>
                <w:rFonts w:eastAsia="Calibri"/>
              </w:rPr>
              <w:t>"Система проектной документации для строительства. Основные требования к проектной и рабочей документации"4</w:t>
            </w:r>
          </w:p>
          <w:p w14:paraId="04B698C3" w14:textId="77777777" w:rsidR="000D09F0" w:rsidRPr="00CB78D8" w:rsidRDefault="000D09F0" w:rsidP="004D0C30">
            <w:pPr>
              <w:numPr>
                <w:ilvl w:val="0"/>
                <w:numId w:val="11"/>
              </w:numPr>
              <w:contextualSpacing/>
              <w:jc w:val="both"/>
              <w:rPr>
                <w:rFonts w:eastAsia="Calibri"/>
              </w:rPr>
            </w:pPr>
            <w:r w:rsidRPr="00CB78D8">
              <w:rPr>
                <w:rFonts w:eastAsia="Calibri"/>
              </w:rPr>
              <w:t>ГОСТ 12.1.019-2017. Межгосударственный стандарт. Система стандартов безопасности труда. Электробезопасность. Общие требования и номенклатура видов защиты;</w:t>
            </w:r>
          </w:p>
          <w:p w14:paraId="6C0F2A62" w14:textId="7488E4AA" w:rsidR="000D09F0" w:rsidRPr="000D09F0" w:rsidRDefault="000D09F0" w:rsidP="000D09F0">
            <w:pPr>
              <w:numPr>
                <w:ilvl w:val="0"/>
                <w:numId w:val="11"/>
              </w:numPr>
              <w:contextualSpacing/>
              <w:jc w:val="both"/>
              <w:rPr>
                <w:rFonts w:eastAsia="Calibri"/>
              </w:rPr>
            </w:pPr>
            <w:r w:rsidRPr="00CB78D8">
              <w:rPr>
                <w:rFonts w:eastAsia="Calibri"/>
              </w:rPr>
              <w:t>«ПУЭ» издание 7. Правила устройства электроустановок;</w:t>
            </w:r>
          </w:p>
        </w:tc>
      </w:tr>
      <w:tr w:rsidR="00F248B7" w:rsidRPr="00CB78D8" w14:paraId="5489C1E6" w14:textId="77777777" w:rsidTr="004D0C30">
        <w:trPr>
          <w:trHeight w:val="605"/>
        </w:trPr>
        <w:tc>
          <w:tcPr>
            <w:tcW w:w="567" w:type="dxa"/>
          </w:tcPr>
          <w:p w14:paraId="302A9508" w14:textId="43E06674" w:rsidR="00F248B7" w:rsidRDefault="00F248B7" w:rsidP="004D0C30">
            <w:pPr>
              <w:jc w:val="center"/>
              <w:rPr>
                <w:rFonts w:eastAsiaTheme="minorHAnsi"/>
                <w:b/>
                <w:color w:val="000000"/>
                <w:lang w:eastAsia="en-US"/>
              </w:rPr>
            </w:pPr>
            <w:r>
              <w:rPr>
                <w:rFonts w:eastAsiaTheme="minorHAnsi"/>
                <w:b/>
                <w:color w:val="000000"/>
                <w:lang w:eastAsia="en-US"/>
              </w:rPr>
              <w:t>7</w:t>
            </w:r>
          </w:p>
        </w:tc>
        <w:tc>
          <w:tcPr>
            <w:tcW w:w="2415" w:type="dxa"/>
          </w:tcPr>
          <w:p w14:paraId="6CA42D12" w14:textId="23666A42" w:rsidR="00F248B7" w:rsidRPr="00CB78D8" w:rsidRDefault="00F248B7" w:rsidP="004D0C30">
            <w:pPr>
              <w:jc w:val="center"/>
              <w:rPr>
                <w:rFonts w:eastAsiaTheme="minorHAnsi"/>
                <w:b/>
                <w:bCs/>
                <w:color w:val="000000"/>
                <w:lang w:eastAsia="en-US"/>
              </w:rPr>
            </w:pPr>
            <w:r>
              <w:rPr>
                <w:rFonts w:eastAsiaTheme="minorHAnsi"/>
                <w:b/>
                <w:bCs/>
                <w:color w:val="000000"/>
                <w:lang w:eastAsia="en-US"/>
              </w:rPr>
              <w:t xml:space="preserve">Прохождение государственной экспертизы </w:t>
            </w:r>
          </w:p>
        </w:tc>
        <w:tc>
          <w:tcPr>
            <w:tcW w:w="7224" w:type="dxa"/>
            <w:vAlign w:val="center"/>
          </w:tcPr>
          <w:p w14:paraId="7161EB38" w14:textId="39BD47CE" w:rsidR="00F248B7" w:rsidRPr="00CB78D8" w:rsidRDefault="00F248B7" w:rsidP="004D0C30">
            <w:pPr>
              <w:jc w:val="both"/>
              <w:rPr>
                <w:rFonts w:eastAsiaTheme="minorHAnsi"/>
                <w:lang w:eastAsia="en-US"/>
              </w:rPr>
            </w:pPr>
            <w:r>
              <w:rPr>
                <w:rFonts w:eastAsiaTheme="minorHAnsi"/>
                <w:lang w:eastAsia="en-US"/>
              </w:rPr>
              <w:t>В части проверки достоверности определения сметной стоимости, в сроки, установленные действующим законодательством (проводится за счет средств Заказчика)</w:t>
            </w:r>
          </w:p>
        </w:tc>
      </w:tr>
      <w:tr w:rsidR="00F248B7" w:rsidRPr="00CB78D8" w14:paraId="0F481C58" w14:textId="77777777" w:rsidTr="004D0C30">
        <w:trPr>
          <w:trHeight w:val="605"/>
        </w:trPr>
        <w:tc>
          <w:tcPr>
            <w:tcW w:w="567" w:type="dxa"/>
          </w:tcPr>
          <w:p w14:paraId="53F0EB6B" w14:textId="5C740EEB" w:rsidR="00F248B7" w:rsidRDefault="00F248B7" w:rsidP="004D0C30">
            <w:pPr>
              <w:jc w:val="center"/>
              <w:rPr>
                <w:rFonts w:eastAsiaTheme="minorHAnsi"/>
                <w:b/>
                <w:color w:val="000000"/>
                <w:lang w:eastAsia="en-US"/>
              </w:rPr>
            </w:pPr>
            <w:r>
              <w:rPr>
                <w:rFonts w:eastAsiaTheme="minorHAnsi"/>
                <w:b/>
                <w:color w:val="000000"/>
                <w:lang w:eastAsia="en-US"/>
              </w:rPr>
              <w:t>8</w:t>
            </w:r>
          </w:p>
        </w:tc>
        <w:tc>
          <w:tcPr>
            <w:tcW w:w="2415" w:type="dxa"/>
          </w:tcPr>
          <w:p w14:paraId="5C844B99" w14:textId="6AB39A1F" w:rsidR="00F248B7" w:rsidRDefault="00F248B7" w:rsidP="004D0C30">
            <w:pPr>
              <w:jc w:val="center"/>
              <w:rPr>
                <w:rFonts w:eastAsiaTheme="minorHAnsi"/>
                <w:b/>
                <w:bCs/>
                <w:color w:val="000000"/>
                <w:lang w:eastAsia="en-US"/>
              </w:rPr>
            </w:pPr>
            <w:r>
              <w:rPr>
                <w:rFonts w:eastAsiaTheme="minorHAnsi"/>
                <w:b/>
                <w:bCs/>
                <w:color w:val="000000"/>
                <w:lang w:eastAsia="en-US"/>
              </w:rPr>
              <w:t>Передача оригиналов документов Заказчику</w:t>
            </w:r>
          </w:p>
        </w:tc>
        <w:tc>
          <w:tcPr>
            <w:tcW w:w="7224" w:type="dxa"/>
            <w:vAlign w:val="center"/>
          </w:tcPr>
          <w:p w14:paraId="5A5523B7" w14:textId="1F4B37D3" w:rsidR="00F248B7" w:rsidRDefault="00F248B7" w:rsidP="004D0C30">
            <w:pPr>
              <w:jc w:val="both"/>
              <w:rPr>
                <w:rFonts w:eastAsiaTheme="minorHAnsi"/>
                <w:lang w:eastAsia="en-US"/>
              </w:rPr>
            </w:pPr>
            <w:proofErr w:type="spellStart"/>
            <w:r>
              <w:rPr>
                <w:rFonts w:eastAsiaTheme="minorHAnsi"/>
                <w:lang w:eastAsia="en-US"/>
              </w:rPr>
              <w:t>5-ый</w:t>
            </w:r>
            <w:proofErr w:type="spellEnd"/>
            <w:r>
              <w:rPr>
                <w:rFonts w:eastAsiaTheme="minorHAnsi"/>
                <w:lang w:eastAsia="en-US"/>
              </w:rPr>
              <w:t xml:space="preserve"> календарный день со дня получения положительного заключения государственной экспертизы в части проверки достоверности определения сметной стоимости объекта</w:t>
            </w:r>
          </w:p>
        </w:tc>
      </w:tr>
      <w:tr w:rsidR="00F248B7" w:rsidRPr="00CB78D8" w14:paraId="0236A158" w14:textId="77777777" w:rsidTr="004D0C30">
        <w:trPr>
          <w:trHeight w:val="605"/>
        </w:trPr>
        <w:tc>
          <w:tcPr>
            <w:tcW w:w="567" w:type="dxa"/>
          </w:tcPr>
          <w:p w14:paraId="54241A68" w14:textId="04D863D2" w:rsidR="00F248B7" w:rsidRDefault="00F248B7" w:rsidP="004D0C30">
            <w:pPr>
              <w:jc w:val="center"/>
              <w:rPr>
                <w:rFonts w:eastAsiaTheme="minorHAnsi"/>
                <w:b/>
                <w:color w:val="000000"/>
                <w:lang w:eastAsia="en-US"/>
              </w:rPr>
            </w:pPr>
            <w:r>
              <w:rPr>
                <w:rFonts w:eastAsiaTheme="minorHAnsi"/>
                <w:b/>
                <w:color w:val="000000"/>
                <w:lang w:eastAsia="en-US"/>
              </w:rPr>
              <w:t>9</w:t>
            </w:r>
          </w:p>
        </w:tc>
        <w:tc>
          <w:tcPr>
            <w:tcW w:w="2415" w:type="dxa"/>
          </w:tcPr>
          <w:p w14:paraId="0815E49F" w14:textId="6A151943" w:rsidR="00F248B7" w:rsidRDefault="00F248B7" w:rsidP="00F54BBC">
            <w:pPr>
              <w:jc w:val="center"/>
              <w:rPr>
                <w:rFonts w:eastAsiaTheme="minorHAnsi"/>
                <w:b/>
                <w:bCs/>
                <w:color w:val="000000"/>
                <w:lang w:eastAsia="en-US"/>
              </w:rPr>
            </w:pPr>
            <w:r>
              <w:rPr>
                <w:rFonts w:eastAsiaTheme="minorHAnsi"/>
                <w:b/>
                <w:bCs/>
                <w:color w:val="000000"/>
                <w:lang w:eastAsia="en-US"/>
              </w:rPr>
              <w:t xml:space="preserve">Оплата выполненных </w:t>
            </w:r>
            <w:r w:rsidR="00F54BBC">
              <w:rPr>
                <w:rFonts w:eastAsiaTheme="minorHAnsi"/>
                <w:b/>
                <w:bCs/>
                <w:color w:val="000000"/>
                <w:lang w:eastAsia="en-US"/>
              </w:rPr>
              <w:t>услуг</w:t>
            </w:r>
          </w:p>
        </w:tc>
        <w:tc>
          <w:tcPr>
            <w:tcW w:w="7224" w:type="dxa"/>
            <w:vAlign w:val="center"/>
          </w:tcPr>
          <w:p w14:paraId="4AF05D43" w14:textId="0678ABC1" w:rsidR="00F248B7" w:rsidRDefault="00F54BBC" w:rsidP="009F57AE">
            <w:pPr>
              <w:jc w:val="both"/>
              <w:rPr>
                <w:rFonts w:eastAsiaTheme="minorHAnsi"/>
                <w:lang w:eastAsia="en-US"/>
              </w:rPr>
            </w:pPr>
            <w:r>
              <w:rPr>
                <w:rFonts w:eastAsiaTheme="minorHAnsi"/>
                <w:lang w:eastAsia="en-US"/>
              </w:rPr>
              <w:t xml:space="preserve">Осуществляется после получения положительного заключения государственной экспертизы в части проверки достоверности определения сметной стоимости на разработанную проектно-сметную документацию на объект в срок не более 7 (семи) рабочих дней с даты подписания Заказчиком документа </w:t>
            </w:r>
            <w:r w:rsidR="009F57AE">
              <w:rPr>
                <w:rFonts w:eastAsiaTheme="minorHAnsi"/>
                <w:lang w:eastAsia="en-US"/>
              </w:rPr>
              <w:t>о приемке (акта сдачи-приемки).</w:t>
            </w:r>
          </w:p>
        </w:tc>
      </w:tr>
      <w:tr w:rsidR="00F54BBC" w:rsidRPr="00CB78D8" w14:paraId="42514A67" w14:textId="77777777" w:rsidTr="004D0C30">
        <w:trPr>
          <w:trHeight w:val="605"/>
        </w:trPr>
        <w:tc>
          <w:tcPr>
            <w:tcW w:w="567" w:type="dxa"/>
          </w:tcPr>
          <w:p w14:paraId="6E88E44C" w14:textId="70A2EBED" w:rsidR="00F54BBC" w:rsidRDefault="00F54BBC" w:rsidP="004D0C30">
            <w:pPr>
              <w:jc w:val="center"/>
              <w:rPr>
                <w:rFonts w:eastAsiaTheme="minorHAnsi"/>
                <w:b/>
                <w:color w:val="000000"/>
                <w:lang w:eastAsia="en-US"/>
              </w:rPr>
            </w:pPr>
            <w:r>
              <w:rPr>
                <w:rFonts w:eastAsiaTheme="minorHAnsi"/>
                <w:b/>
                <w:color w:val="000000"/>
                <w:lang w:eastAsia="en-US"/>
              </w:rPr>
              <w:t>10</w:t>
            </w:r>
          </w:p>
        </w:tc>
        <w:tc>
          <w:tcPr>
            <w:tcW w:w="2415" w:type="dxa"/>
          </w:tcPr>
          <w:p w14:paraId="14AB3844" w14:textId="59CBA2A9" w:rsidR="00F54BBC" w:rsidRDefault="00F54BBC" w:rsidP="00F54BBC">
            <w:pPr>
              <w:jc w:val="center"/>
              <w:rPr>
                <w:rFonts w:eastAsiaTheme="minorHAnsi"/>
                <w:b/>
                <w:bCs/>
                <w:color w:val="000000"/>
                <w:lang w:eastAsia="en-US"/>
              </w:rPr>
            </w:pPr>
            <w:r>
              <w:rPr>
                <w:rFonts w:eastAsiaTheme="minorHAnsi"/>
                <w:b/>
                <w:bCs/>
                <w:color w:val="000000"/>
                <w:lang w:eastAsia="en-US"/>
              </w:rPr>
              <w:t>Прохождение государственной экспертизы</w:t>
            </w:r>
          </w:p>
        </w:tc>
        <w:tc>
          <w:tcPr>
            <w:tcW w:w="7224" w:type="dxa"/>
            <w:vAlign w:val="center"/>
          </w:tcPr>
          <w:p w14:paraId="079A3789" w14:textId="19019E5B" w:rsidR="00F54BBC" w:rsidRDefault="00F54BBC" w:rsidP="004D0C30">
            <w:pPr>
              <w:jc w:val="both"/>
              <w:rPr>
                <w:rFonts w:eastAsiaTheme="minorHAnsi"/>
                <w:lang w:eastAsia="en-US"/>
              </w:rPr>
            </w:pPr>
            <w:r>
              <w:rPr>
                <w:rFonts w:eastAsiaTheme="minorHAnsi"/>
                <w:lang w:eastAsia="en-US"/>
              </w:rPr>
              <w:t>В части проверки достоверности определения сметной стоимости объекта производится силами и средствами Заказчика</w:t>
            </w:r>
          </w:p>
        </w:tc>
      </w:tr>
      <w:tr w:rsidR="00F54BBC" w:rsidRPr="00CB78D8" w14:paraId="53E9DDC8" w14:textId="77777777" w:rsidTr="004D0C30">
        <w:trPr>
          <w:trHeight w:val="605"/>
        </w:trPr>
        <w:tc>
          <w:tcPr>
            <w:tcW w:w="567" w:type="dxa"/>
          </w:tcPr>
          <w:p w14:paraId="675B886E" w14:textId="432E8279" w:rsidR="00F54BBC" w:rsidRDefault="00F54BBC" w:rsidP="004D0C30">
            <w:pPr>
              <w:jc w:val="center"/>
              <w:rPr>
                <w:rFonts w:eastAsiaTheme="minorHAnsi"/>
                <w:b/>
                <w:color w:val="000000"/>
                <w:lang w:eastAsia="en-US"/>
              </w:rPr>
            </w:pPr>
            <w:r>
              <w:rPr>
                <w:rFonts w:eastAsiaTheme="minorHAnsi"/>
                <w:b/>
                <w:color w:val="000000"/>
                <w:lang w:eastAsia="en-US"/>
              </w:rPr>
              <w:t>11</w:t>
            </w:r>
          </w:p>
        </w:tc>
        <w:tc>
          <w:tcPr>
            <w:tcW w:w="2415" w:type="dxa"/>
          </w:tcPr>
          <w:p w14:paraId="3D8DD7E0" w14:textId="2218A0C1" w:rsidR="00F54BBC" w:rsidRDefault="00F54BBC" w:rsidP="00F54BBC">
            <w:pPr>
              <w:jc w:val="center"/>
              <w:rPr>
                <w:rFonts w:eastAsiaTheme="minorHAnsi"/>
                <w:b/>
                <w:bCs/>
                <w:color w:val="000000"/>
                <w:lang w:eastAsia="en-US"/>
              </w:rPr>
            </w:pPr>
            <w:r>
              <w:rPr>
                <w:rFonts w:eastAsiaTheme="minorHAnsi"/>
                <w:b/>
                <w:bCs/>
                <w:color w:val="000000"/>
                <w:lang w:eastAsia="en-US"/>
              </w:rPr>
              <w:t>Оплата за повторное проведение экспертных работ</w:t>
            </w:r>
          </w:p>
        </w:tc>
        <w:tc>
          <w:tcPr>
            <w:tcW w:w="7224" w:type="dxa"/>
            <w:vAlign w:val="center"/>
          </w:tcPr>
          <w:p w14:paraId="059F8625" w14:textId="3110F08F" w:rsidR="00F54BBC" w:rsidRDefault="00F54BBC" w:rsidP="004D0C30">
            <w:pPr>
              <w:jc w:val="both"/>
              <w:rPr>
                <w:rFonts w:eastAsiaTheme="minorHAnsi"/>
                <w:lang w:eastAsia="en-US"/>
              </w:rPr>
            </w:pPr>
            <w:r>
              <w:rPr>
                <w:rFonts w:eastAsiaTheme="minorHAnsi"/>
                <w:lang w:eastAsia="en-US"/>
              </w:rPr>
              <w:t>По проверке достоверности определения сметной стоимости объекта при получении отрицательных заключений Исполнитель производит за свой счет по отдельным договорам</w:t>
            </w:r>
          </w:p>
        </w:tc>
      </w:tr>
      <w:tr w:rsidR="003018AB" w:rsidRPr="00CB78D8" w14:paraId="22936D13" w14:textId="77777777" w:rsidTr="004D0C30">
        <w:trPr>
          <w:trHeight w:val="605"/>
        </w:trPr>
        <w:tc>
          <w:tcPr>
            <w:tcW w:w="567" w:type="dxa"/>
          </w:tcPr>
          <w:p w14:paraId="0A64231B" w14:textId="119A0B32" w:rsidR="003018AB" w:rsidRDefault="003018AB" w:rsidP="004D0C30">
            <w:pPr>
              <w:jc w:val="center"/>
              <w:rPr>
                <w:rFonts w:eastAsiaTheme="minorHAnsi"/>
                <w:b/>
                <w:color w:val="000000"/>
                <w:lang w:eastAsia="en-US"/>
              </w:rPr>
            </w:pPr>
            <w:r>
              <w:rPr>
                <w:rFonts w:eastAsiaTheme="minorHAnsi"/>
                <w:b/>
                <w:color w:val="000000"/>
                <w:lang w:eastAsia="en-US"/>
              </w:rPr>
              <w:t>12</w:t>
            </w:r>
          </w:p>
        </w:tc>
        <w:tc>
          <w:tcPr>
            <w:tcW w:w="2415" w:type="dxa"/>
          </w:tcPr>
          <w:p w14:paraId="3EA38412" w14:textId="32F22D4F" w:rsidR="003018AB" w:rsidRDefault="003018AB" w:rsidP="003018AB">
            <w:pPr>
              <w:jc w:val="center"/>
              <w:rPr>
                <w:rFonts w:eastAsiaTheme="minorHAnsi"/>
                <w:b/>
                <w:bCs/>
                <w:color w:val="000000"/>
                <w:lang w:eastAsia="en-US"/>
              </w:rPr>
            </w:pPr>
            <w:r>
              <w:rPr>
                <w:rFonts w:eastAsiaTheme="minorHAnsi"/>
                <w:b/>
                <w:bCs/>
                <w:color w:val="000000"/>
                <w:lang w:eastAsia="en-US"/>
              </w:rPr>
              <w:t xml:space="preserve">Оперативное внесение изменений в проектно-сметную документацию </w:t>
            </w:r>
          </w:p>
        </w:tc>
        <w:tc>
          <w:tcPr>
            <w:tcW w:w="7224" w:type="dxa"/>
            <w:vAlign w:val="center"/>
          </w:tcPr>
          <w:p w14:paraId="220E8866" w14:textId="3A3062FF" w:rsidR="003018AB" w:rsidRDefault="003018AB" w:rsidP="004D0C30">
            <w:pPr>
              <w:jc w:val="both"/>
              <w:rPr>
                <w:rFonts w:eastAsiaTheme="minorHAnsi"/>
                <w:lang w:eastAsia="en-US"/>
              </w:rPr>
            </w:pPr>
            <w:r>
              <w:rPr>
                <w:rFonts w:eastAsiaTheme="minorHAnsi"/>
                <w:lang w:eastAsia="en-US"/>
              </w:rPr>
              <w:t>П</w:t>
            </w:r>
            <w:r w:rsidRPr="003018AB">
              <w:rPr>
                <w:rFonts w:eastAsiaTheme="minorHAnsi"/>
                <w:lang w:eastAsia="en-US"/>
              </w:rPr>
              <w:t>ри осуществлении проверки достоверности сметной стоимости в ФАУ «Главное управление государственной экспертизы</w:t>
            </w:r>
            <w:r w:rsidR="00181A7A">
              <w:rPr>
                <w:rFonts w:eastAsiaTheme="minorHAnsi"/>
                <w:lang w:eastAsia="en-US"/>
              </w:rPr>
              <w:t>»</w:t>
            </w:r>
          </w:p>
        </w:tc>
      </w:tr>
    </w:tbl>
    <w:p w14:paraId="30D0426E" w14:textId="0FC1032C" w:rsidR="002557DC" w:rsidRDefault="002557DC" w:rsidP="00FC5959">
      <w:pPr>
        <w:pStyle w:val="3"/>
        <w:rPr>
          <w:rFonts w:ascii="Times New Roman" w:hAnsi="Times New Roman"/>
          <w:sz w:val="24"/>
          <w:szCs w:val="24"/>
        </w:rPr>
      </w:pPr>
    </w:p>
    <w:p w14:paraId="7AA36FCB" w14:textId="6B04C384" w:rsidR="003018AB" w:rsidRDefault="003018AB" w:rsidP="00FC5959">
      <w:pPr>
        <w:pStyle w:val="3"/>
        <w:rPr>
          <w:rFonts w:ascii="Times New Roman" w:hAnsi="Times New Roman"/>
          <w:sz w:val="24"/>
          <w:szCs w:val="24"/>
        </w:rPr>
      </w:pPr>
    </w:p>
    <w:p w14:paraId="30CD9A10" w14:textId="77777777" w:rsidR="003018AB" w:rsidRPr="00CB78D8" w:rsidRDefault="003018AB" w:rsidP="00FC5959">
      <w:pPr>
        <w:pStyle w:val="3"/>
        <w:rPr>
          <w:rFonts w:ascii="Times New Roman" w:hAnsi="Times New Roman"/>
          <w:sz w:val="24"/>
          <w:szCs w:val="24"/>
        </w:rPr>
      </w:pPr>
    </w:p>
    <w:p w14:paraId="41DE2A32" w14:textId="02A7A086" w:rsidR="00004707" w:rsidRDefault="002557DC" w:rsidP="004800A5">
      <w:pPr>
        <w:jc w:val="both"/>
      </w:pPr>
      <w:r w:rsidRPr="002557DC">
        <w:t>При отмене или изменении нормативных документов следует руководствоваться нормами, вводимыми взамен отмененных.</w:t>
      </w:r>
    </w:p>
    <w:p w14:paraId="72F2AD43" w14:textId="4B0B0A05" w:rsidR="004800A5" w:rsidRDefault="00BE450C" w:rsidP="004800A5">
      <w:pPr>
        <w:jc w:val="both"/>
      </w:pPr>
      <w:r>
        <w:t>Исполнитель</w:t>
      </w:r>
      <w:r w:rsidR="004800A5" w:rsidRPr="004800A5">
        <w:t xml:space="preserve"> обязан выполнять </w:t>
      </w:r>
      <w:r>
        <w:t>услуги</w:t>
      </w:r>
      <w:r w:rsidR="004800A5" w:rsidRPr="004800A5">
        <w:t xml:space="preserve"> должного качества с соблюдением требований обязательных к применению национальных стандартов и сводов правил, нормативных правовых актов, нормативно-технической и методической документации и иными нормативно-правовыми актами, действующими на территории Российской Федерации, в том числе: </w:t>
      </w:r>
      <w:r>
        <w:t>Исполнитель</w:t>
      </w:r>
      <w:r w:rsidR="004800A5" w:rsidRPr="004800A5">
        <w:t xml:space="preserve"> при выполнении </w:t>
      </w:r>
      <w:r>
        <w:t>услуг</w:t>
      </w:r>
      <w:r w:rsidR="004800A5" w:rsidRPr="004800A5">
        <w:t xml:space="preserve"> обязан применять актуальные нормативные правовые акты в области проектирования.</w:t>
      </w:r>
    </w:p>
    <w:p w14:paraId="3A793FE9" w14:textId="4B89DF33" w:rsidR="004800A5" w:rsidRDefault="00BE450C" w:rsidP="004800A5">
      <w:pPr>
        <w:jc w:val="both"/>
      </w:pPr>
      <w:r>
        <w:t>Услуги</w:t>
      </w:r>
      <w:r w:rsidR="004800A5">
        <w:t xml:space="preserve"> должны соответствовать требованиям безопасности, установленными действующим законодательством. </w:t>
      </w:r>
    </w:p>
    <w:p w14:paraId="3D87C247" w14:textId="370521A7" w:rsidR="004800A5" w:rsidRDefault="00BE450C" w:rsidP="004800A5">
      <w:pPr>
        <w:jc w:val="both"/>
      </w:pPr>
      <w:r>
        <w:t>Исполнитель</w:t>
      </w:r>
      <w:r w:rsidR="004800A5">
        <w:t xml:space="preserve"> обязан не передавать третьим лицам информацию, используемую для выполнения </w:t>
      </w:r>
      <w:r>
        <w:t>услуг</w:t>
      </w:r>
      <w:r w:rsidR="004800A5">
        <w:t xml:space="preserve"> и сведения о характере выполняемых </w:t>
      </w:r>
      <w:r>
        <w:t>услуг</w:t>
      </w:r>
      <w:r w:rsidR="004800A5">
        <w:t>.</w:t>
      </w:r>
    </w:p>
    <w:p w14:paraId="5AE8C441" w14:textId="6C741402" w:rsidR="002622B8" w:rsidRDefault="002622B8" w:rsidP="004800A5">
      <w:pPr>
        <w:jc w:val="both"/>
      </w:pPr>
      <w:r>
        <w:tab/>
        <w:t>Сведения о здании в приложении.</w:t>
      </w:r>
    </w:p>
    <w:p w14:paraId="24E28FAA" w14:textId="77777777" w:rsidR="007D7EA6" w:rsidRDefault="007D7EA6" w:rsidP="004800A5">
      <w:pPr>
        <w:jc w:val="both"/>
      </w:pPr>
    </w:p>
    <w:p w14:paraId="22AE2D93" w14:textId="044557E2" w:rsidR="007D7EA6" w:rsidRPr="00CB78D8" w:rsidRDefault="007D7EA6" w:rsidP="004800A5">
      <w:pPr>
        <w:jc w:val="both"/>
      </w:pPr>
    </w:p>
    <w:sectPr w:rsidR="007D7EA6" w:rsidRPr="00CB78D8" w:rsidSect="004B265E">
      <w:pgSz w:w="11906" w:h="16838"/>
      <w:pgMar w:top="567"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WenQuanYi Micro Hei">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08"/>
        </w:tabs>
        <w:ind w:left="0" w:firstLine="0"/>
      </w:pPr>
      <w:rPr>
        <w:rFonts w:ascii="Times New Roman" w:hAnsi="Times New Roman" w:cs="Times New Roman"/>
        <w:b w:val="0"/>
        <w:sz w:val="22"/>
        <w:szCs w:val="22"/>
      </w:rPr>
    </w:lvl>
  </w:abstractNum>
  <w:abstractNum w:abstractNumId="1" w15:restartNumberingAfterBreak="0">
    <w:nsid w:val="00000007"/>
    <w:multiLevelType w:val="multilevel"/>
    <w:tmpl w:val="00000007"/>
    <w:name w:val="WW8Num7"/>
    <w:lvl w:ilvl="0">
      <w:start w:val="1"/>
      <w:numFmt w:val="decimal"/>
      <w:lvlText w:val="7.%1."/>
      <w:lvlJc w:val="left"/>
      <w:pPr>
        <w:tabs>
          <w:tab w:val="num" w:pos="708"/>
        </w:tabs>
        <w:ind w:left="0" w:firstLine="0"/>
      </w:pPr>
      <w:rPr>
        <w:rFonts w:ascii="Times New Roman" w:hAnsi="Times New Roman"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B758A1"/>
    <w:multiLevelType w:val="hybridMultilevel"/>
    <w:tmpl w:val="58401B8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B73EC"/>
    <w:multiLevelType w:val="multilevel"/>
    <w:tmpl w:val="C6AEA216"/>
    <w:lvl w:ilvl="0">
      <w:start w:val="1"/>
      <w:numFmt w:val="decimal"/>
      <w:lvlText w:val="%1."/>
      <w:lvlJc w:val="center"/>
      <w:pPr>
        <w:ind w:left="862" w:hanging="360"/>
      </w:pPr>
      <w:rPr>
        <w:rFonts w:hint="default"/>
        <w:b/>
        <w:color w:val="auto"/>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 w15:restartNumberingAfterBreak="0">
    <w:nsid w:val="54A20CD0"/>
    <w:multiLevelType w:val="hybridMultilevel"/>
    <w:tmpl w:val="38186D8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671D26"/>
    <w:multiLevelType w:val="hybridMultilevel"/>
    <w:tmpl w:val="257EA49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B74AA0"/>
    <w:multiLevelType w:val="hybridMultilevel"/>
    <w:tmpl w:val="499A02B6"/>
    <w:lvl w:ilvl="0" w:tplc="355EB392">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7" w15:restartNumberingAfterBreak="0">
    <w:nsid w:val="618507D3"/>
    <w:multiLevelType w:val="multilevel"/>
    <w:tmpl w:val="AA561DFA"/>
    <w:lvl w:ilvl="0">
      <w:start w:val="8"/>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2483733"/>
    <w:multiLevelType w:val="multilevel"/>
    <w:tmpl w:val="9D5A1EA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644A3071"/>
    <w:multiLevelType w:val="hybridMultilevel"/>
    <w:tmpl w:val="474801F4"/>
    <w:lvl w:ilvl="0" w:tplc="C1648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0D4503"/>
    <w:multiLevelType w:val="hybridMultilevel"/>
    <w:tmpl w:val="B02866EC"/>
    <w:lvl w:ilvl="0" w:tplc="355EB3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341FA0"/>
    <w:multiLevelType w:val="hybridMultilevel"/>
    <w:tmpl w:val="AD38D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0"/>
  </w:num>
  <w:num w:numId="8">
    <w:abstractNumId w:val="6"/>
  </w:num>
  <w:num w:numId="9">
    <w:abstractNumId w:val="3"/>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8C"/>
    <w:rsid w:val="00004707"/>
    <w:rsid w:val="00006EDA"/>
    <w:rsid w:val="0001407C"/>
    <w:rsid w:val="00030248"/>
    <w:rsid w:val="0003346F"/>
    <w:rsid w:val="000410D8"/>
    <w:rsid w:val="00044DA7"/>
    <w:rsid w:val="00054FB4"/>
    <w:rsid w:val="00065464"/>
    <w:rsid w:val="00075920"/>
    <w:rsid w:val="00075D7D"/>
    <w:rsid w:val="00083955"/>
    <w:rsid w:val="000945D7"/>
    <w:rsid w:val="000D09F0"/>
    <w:rsid w:val="000E7234"/>
    <w:rsid w:val="000F3107"/>
    <w:rsid w:val="000F3C7F"/>
    <w:rsid w:val="0011089D"/>
    <w:rsid w:val="0011536E"/>
    <w:rsid w:val="00122B53"/>
    <w:rsid w:val="00122E81"/>
    <w:rsid w:val="00161507"/>
    <w:rsid w:val="00163520"/>
    <w:rsid w:val="00177786"/>
    <w:rsid w:val="00181A7A"/>
    <w:rsid w:val="001940C2"/>
    <w:rsid w:val="001B029E"/>
    <w:rsid w:val="001D121A"/>
    <w:rsid w:val="001D17AE"/>
    <w:rsid w:val="001E3DD5"/>
    <w:rsid w:val="001E7579"/>
    <w:rsid w:val="001F11DD"/>
    <w:rsid w:val="001F2924"/>
    <w:rsid w:val="00205206"/>
    <w:rsid w:val="00213BA9"/>
    <w:rsid w:val="002141E2"/>
    <w:rsid w:val="00237D6C"/>
    <w:rsid w:val="002557DC"/>
    <w:rsid w:val="002611F7"/>
    <w:rsid w:val="0026120A"/>
    <w:rsid w:val="002622B8"/>
    <w:rsid w:val="002661BA"/>
    <w:rsid w:val="00285789"/>
    <w:rsid w:val="002B0ED2"/>
    <w:rsid w:val="002B5CE2"/>
    <w:rsid w:val="002C0A6F"/>
    <w:rsid w:val="002E53B0"/>
    <w:rsid w:val="002E5DA7"/>
    <w:rsid w:val="003018AB"/>
    <w:rsid w:val="00303395"/>
    <w:rsid w:val="0030532D"/>
    <w:rsid w:val="00330A25"/>
    <w:rsid w:val="003314CE"/>
    <w:rsid w:val="00364F81"/>
    <w:rsid w:val="003677D1"/>
    <w:rsid w:val="00381744"/>
    <w:rsid w:val="00391F8B"/>
    <w:rsid w:val="00395C74"/>
    <w:rsid w:val="003B143E"/>
    <w:rsid w:val="003C393C"/>
    <w:rsid w:val="003E19EA"/>
    <w:rsid w:val="003F4025"/>
    <w:rsid w:val="00401ACC"/>
    <w:rsid w:val="00411B53"/>
    <w:rsid w:val="00412751"/>
    <w:rsid w:val="00412AE7"/>
    <w:rsid w:val="00437031"/>
    <w:rsid w:val="00452A41"/>
    <w:rsid w:val="00457B93"/>
    <w:rsid w:val="00462033"/>
    <w:rsid w:val="00467B0A"/>
    <w:rsid w:val="004800A5"/>
    <w:rsid w:val="004B265E"/>
    <w:rsid w:val="004C6E32"/>
    <w:rsid w:val="004D20D9"/>
    <w:rsid w:val="004D32A4"/>
    <w:rsid w:val="004D4022"/>
    <w:rsid w:val="004E19CF"/>
    <w:rsid w:val="005117F4"/>
    <w:rsid w:val="00514147"/>
    <w:rsid w:val="00541EE2"/>
    <w:rsid w:val="00552B14"/>
    <w:rsid w:val="00554724"/>
    <w:rsid w:val="005624C0"/>
    <w:rsid w:val="005978CD"/>
    <w:rsid w:val="005B5BFD"/>
    <w:rsid w:val="005C290E"/>
    <w:rsid w:val="005D3A42"/>
    <w:rsid w:val="005E6F68"/>
    <w:rsid w:val="005F60E2"/>
    <w:rsid w:val="00612A27"/>
    <w:rsid w:val="006257FF"/>
    <w:rsid w:val="00627A62"/>
    <w:rsid w:val="00646A2A"/>
    <w:rsid w:val="00665880"/>
    <w:rsid w:val="00670B25"/>
    <w:rsid w:val="0067379E"/>
    <w:rsid w:val="0067618C"/>
    <w:rsid w:val="00677927"/>
    <w:rsid w:val="00684BD3"/>
    <w:rsid w:val="00694F50"/>
    <w:rsid w:val="006A2D61"/>
    <w:rsid w:val="006A79AC"/>
    <w:rsid w:val="006C35AC"/>
    <w:rsid w:val="006E1B73"/>
    <w:rsid w:val="006F0DFA"/>
    <w:rsid w:val="006F2EA8"/>
    <w:rsid w:val="00716FFE"/>
    <w:rsid w:val="00760355"/>
    <w:rsid w:val="00763145"/>
    <w:rsid w:val="0076636A"/>
    <w:rsid w:val="00773054"/>
    <w:rsid w:val="00784B51"/>
    <w:rsid w:val="007C3EA1"/>
    <w:rsid w:val="007D7EA6"/>
    <w:rsid w:val="007E4F05"/>
    <w:rsid w:val="00800846"/>
    <w:rsid w:val="00826222"/>
    <w:rsid w:val="0082624C"/>
    <w:rsid w:val="00843FA0"/>
    <w:rsid w:val="00857100"/>
    <w:rsid w:val="00886A9B"/>
    <w:rsid w:val="008A3140"/>
    <w:rsid w:val="008A52E1"/>
    <w:rsid w:val="008C0DFC"/>
    <w:rsid w:val="008C7189"/>
    <w:rsid w:val="008D1ABA"/>
    <w:rsid w:val="008D5940"/>
    <w:rsid w:val="008D64BB"/>
    <w:rsid w:val="008E182B"/>
    <w:rsid w:val="009041B6"/>
    <w:rsid w:val="00906FCE"/>
    <w:rsid w:val="00932643"/>
    <w:rsid w:val="00946A5C"/>
    <w:rsid w:val="00952B0B"/>
    <w:rsid w:val="009B089A"/>
    <w:rsid w:val="009D3CB4"/>
    <w:rsid w:val="009E5ED2"/>
    <w:rsid w:val="009E60FC"/>
    <w:rsid w:val="009E6D00"/>
    <w:rsid w:val="009F57AE"/>
    <w:rsid w:val="00A37E5C"/>
    <w:rsid w:val="00A4338C"/>
    <w:rsid w:val="00A53FC8"/>
    <w:rsid w:val="00A82EA9"/>
    <w:rsid w:val="00A932AC"/>
    <w:rsid w:val="00AA4A97"/>
    <w:rsid w:val="00AE4197"/>
    <w:rsid w:val="00AF44EF"/>
    <w:rsid w:val="00AF545E"/>
    <w:rsid w:val="00B62CE8"/>
    <w:rsid w:val="00B73133"/>
    <w:rsid w:val="00B80DE3"/>
    <w:rsid w:val="00B82F73"/>
    <w:rsid w:val="00B9549D"/>
    <w:rsid w:val="00BA5BD7"/>
    <w:rsid w:val="00BA6415"/>
    <w:rsid w:val="00BE450C"/>
    <w:rsid w:val="00C05207"/>
    <w:rsid w:val="00C1583D"/>
    <w:rsid w:val="00C33341"/>
    <w:rsid w:val="00C36DB5"/>
    <w:rsid w:val="00C56264"/>
    <w:rsid w:val="00C63E94"/>
    <w:rsid w:val="00C654DC"/>
    <w:rsid w:val="00C66103"/>
    <w:rsid w:val="00C87208"/>
    <w:rsid w:val="00C96AAF"/>
    <w:rsid w:val="00CA5965"/>
    <w:rsid w:val="00CB2C36"/>
    <w:rsid w:val="00CB4E2F"/>
    <w:rsid w:val="00CB78D8"/>
    <w:rsid w:val="00CE1B46"/>
    <w:rsid w:val="00CE1ED1"/>
    <w:rsid w:val="00CF4608"/>
    <w:rsid w:val="00D02EE6"/>
    <w:rsid w:val="00D2790B"/>
    <w:rsid w:val="00D32B9E"/>
    <w:rsid w:val="00D336F9"/>
    <w:rsid w:val="00D3767B"/>
    <w:rsid w:val="00D57F9B"/>
    <w:rsid w:val="00D61E32"/>
    <w:rsid w:val="00D62252"/>
    <w:rsid w:val="00DA2F3B"/>
    <w:rsid w:val="00DA59CB"/>
    <w:rsid w:val="00DA63DA"/>
    <w:rsid w:val="00DC160C"/>
    <w:rsid w:val="00DE659D"/>
    <w:rsid w:val="00E012CF"/>
    <w:rsid w:val="00E1436D"/>
    <w:rsid w:val="00E338B7"/>
    <w:rsid w:val="00E355E7"/>
    <w:rsid w:val="00E4243D"/>
    <w:rsid w:val="00E44556"/>
    <w:rsid w:val="00E50172"/>
    <w:rsid w:val="00E5341A"/>
    <w:rsid w:val="00E633F9"/>
    <w:rsid w:val="00E6437F"/>
    <w:rsid w:val="00E67C6A"/>
    <w:rsid w:val="00E71925"/>
    <w:rsid w:val="00E76B36"/>
    <w:rsid w:val="00E857C2"/>
    <w:rsid w:val="00EC49D9"/>
    <w:rsid w:val="00EC76F0"/>
    <w:rsid w:val="00ED53E9"/>
    <w:rsid w:val="00EE3AA2"/>
    <w:rsid w:val="00EF06D3"/>
    <w:rsid w:val="00EF16EA"/>
    <w:rsid w:val="00EF613C"/>
    <w:rsid w:val="00F02A39"/>
    <w:rsid w:val="00F02B9B"/>
    <w:rsid w:val="00F16010"/>
    <w:rsid w:val="00F2381A"/>
    <w:rsid w:val="00F248B7"/>
    <w:rsid w:val="00F34A5F"/>
    <w:rsid w:val="00F54BBC"/>
    <w:rsid w:val="00F61F07"/>
    <w:rsid w:val="00F66A4E"/>
    <w:rsid w:val="00F90ACA"/>
    <w:rsid w:val="00FA59BB"/>
    <w:rsid w:val="00FB016D"/>
    <w:rsid w:val="00FC5959"/>
    <w:rsid w:val="00FF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DB7D"/>
  <w15:docId w15:val="{399F453D-2F26-4D2B-8DE5-3B05A302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1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4338C"/>
    <w:pPr>
      <w:keepNext/>
      <w:spacing w:before="240" w:after="60"/>
      <w:outlineLvl w:val="0"/>
    </w:pPr>
    <w:rPr>
      <w:rFonts w:ascii="Cambria"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618C"/>
    <w:rPr>
      <w:rFonts w:ascii="Times New Roman" w:hAnsi="Times New Roman" w:cs="Times New Roman" w:hint="default"/>
      <w:color w:val="0000FF"/>
      <w:u w:val="single"/>
    </w:rPr>
  </w:style>
  <w:style w:type="paragraph" w:customStyle="1" w:styleId="Style4">
    <w:name w:val="Style4"/>
    <w:basedOn w:val="a"/>
    <w:rsid w:val="0067618C"/>
    <w:pPr>
      <w:widowControl w:val="0"/>
      <w:autoSpaceDE w:val="0"/>
      <w:autoSpaceDN w:val="0"/>
      <w:adjustRightInd w:val="0"/>
    </w:pPr>
  </w:style>
  <w:style w:type="paragraph" w:customStyle="1" w:styleId="Style1">
    <w:name w:val="Style1"/>
    <w:basedOn w:val="a"/>
    <w:rsid w:val="0067618C"/>
    <w:pPr>
      <w:widowControl w:val="0"/>
      <w:autoSpaceDE w:val="0"/>
      <w:spacing w:line="252" w:lineRule="exact"/>
      <w:jc w:val="both"/>
    </w:pPr>
    <w:rPr>
      <w:lang w:eastAsia="zh-CN"/>
    </w:rPr>
  </w:style>
  <w:style w:type="paragraph" w:customStyle="1" w:styleId="Style2">
    <w:name w:val="Style2"/>
    <w:basedOn w:val="a"/>
    <w:rsid w:val="0067618C"/>
    <w:pPr>
      <w:widowControl w:val="0"/>
      <w:autoSpaceDE w:val="0"/>
      <w:spacing w:line="252" w:lineRule="exact"/>
    </w:pPr>
    <w:rPr>
      <w:lang w:eastAsia="zh-CN"/>
    </w:rPr>
  </w:style>
  <w:style w:type="paragraph" w:customStyle="1" w:styleId="Style3">
    <w:name w:val="Style3"/>
    <w:basedOn w:val="a"/>
    <w:rsid w:val="0067618C"/>
    <w:pPr>
      <w:widowControl w:val="0"/>
      <w:autoSpaceDE w:val="0"/>
    </w:pPr>
    <w:rPr>
      <w:lang w:eastAsia="zh-CN"/>
    </w:rPr>
  </w:style>
  <w:style w:type="paragraph" w:customStyle="1" w:styleId="11">
    <w:name w:val="Заголовок1"/>
    <w:basedOn w:val="a"/>
    <w:next w:val="a4"/>
    <w:rsid w:val="0067618C"/>
    <w:pPr>
      <w:spacing w:after="200" w:line="276" w:lineRule="auto"/>
      <w:ind w:firstLine="426"/>
      <w:jc w:val="center"/>
    </w:pPr>
    <w:rPr>
      <w:rFonts w:ascii="Arial" w:hAnsi="Arial" w:cs="Arial"/>
      <w:b/>
      <w:sz w:val="22"/>
      <w:szCs w:val="20"/>
      <w:lang w:eastAsia="zh-CN"/>
    </w:rPr>
  </w:style>
  <w:style w:type="character" w:customStyle="1" w:styleId="FontStyle29">
    <w:name w:val="Font Style29"/>
    <w:rsid w:val="0067618C"/>
    <w:rPr>
      <w:rFonts w:ascii="Times New Roman" w:hAnsi="Times New Roman" w:cs="Times New Roman" w:hint="default"/>
      <w:b/>
      <w:bCs/>
      <w:sz w:val="24"/>
      <w:szCs w:val="24"/>
    </w:rPr>
  </w:style>
  <w:style w:type="character" w:customStyle="1" w:styleId="FontStyle11">
    <w:name w:val="Font Style11"/>
    <w:rsid w:val="0067618C"/>
    <w:rPr>
      <w:rFonts w:ascii="Times New Roman" w:hAnsi="Times New Roman" w:cs="Times New Roman" w:hint="default"/>
      <w:sz w:val="20"/>
      <w:szCs w:val="20"/>
    </w:rPr>
  </w:style>
  <w:style w:type="character" w:customStyle="1" w:styleId="FontStyle12">
    <w:name w:val="Font Style12"/>
    <w:rsid w:val="0067618C"/>
    <w:rPr>
      <w:rFonts w:ascii="Times New Roman" w:hAnsi="Times New Roman" w:cs="Times New Roman" w:hint="default"/>
      <w:b/>
      <w:bCs/>
      <w:sz w:val="20"/>
      <w:szCs w:val="20"/>
    </w:rPr>
  </w:style>
  <w:style w:type="character" w:customStyle="1" w:styleId="FontStyle14">
    <w:name w:val="Font Style14"/>
    <w:rsid w:val="0067618C"/>
    <w:rPr>
      <w:rFonts w:ascii="Times New Roman" w:hAnsi="Times New Roman" w:cs="Times New Roman" w:hint="default"/>
      <w:sz w:val="22"/>
      <w:szCs w:val="22"/>
    </w:rPr>
  </w:style>
  <w:style w:type="character" w:customStyle="1" w:styleId="FontStyle22">
    <w:name w:val="Font Style22"/>
    <w:rsid w:val="0067618C"/>
    <w:rPr>
      <w:rFonts w:ascii="Times New Roman" w:hAnsi="Times New Roman" w:cs="Times New Roman" w:hint="default"/>
      <w:sz w:val="22"/>
      <w:szCs w:val="22"/>
    </w:rPr>
  </w:style>
  <w:style w:type="character" w:customStyle="1" w:styleId="FontStyle24">
    <w:name w:val="Font Style24"/>
    <w:rsid w:val="0067618C"/>
    <w:rPr>
      <w:rFonts w:ascii="Times New Roman" w:hAnsi="Times New Roman" w:cs="Times New Roman" w:hint="default"/>
      <w:i/>
      <w:iCs/>
      <w:sz w:val="22"/>
      <w:szCs w:val="22"/>
    </w:rPr>
  </w:style>
  <w:style w:type="paragraph" w:styleId="a4">
    <w:name w:val="Body Text"/>
    <w:basedOn w:val="a"/>
    <w:link w:val="a5"/>
    <w:uiPriority w:val="99"/>
    <w:semiHidden/>
    <w:unhideWhenUsed/>
    <w:rsid w:val="0067618C"/>
    <w:pPr>
      <w:spacing w:after="120"/>
    </w:pPr>
  </w:style>
  <w:style w:type="character" w:customStyle="1" w:styleId="a5">
    <w:name w:val="Основной текст Знак"/>
    <w:basedOn w:val="a0"/>
    <w:link w:val="a4"/>
    <w:uiPriority w:val="99"/>
    <w:semiHidden/>
    <w:rsid w:val="0067618C"/>
    <w:rPr>
      <w:rFonts w:ascii="Times New Roman" w:eastAsia="Times New Roman" w:hAnsi="Times New Roman" w:cs="Times New Roman"/>
      <w:sz w:val="24"/>
      <w:szCs w:val="24"/>
      <w:lang w:eastAsia="ru-RU"/>
    </w:rPr>
  </w:style>
  <w:style w:type="paragraph" w:styleId="a6">
    <w:name w:val="List Paragraph"/>
    <w:basedOn w:val="a"/>
    <w:uiPriority w:val="34"/>
    <w:qFormat/>
    <w:rsid w:val="00552B14"/>
    <w:pPr>
      <w:ind w:left="720"/>
      <w:contextualSpacing/>
    </w:pPr>
  </w:style>
  <w:style w:type="paragraph" w:styleId="a7">
    <w:name w:val="No Spacing"/>
    <w:aliases w:val="мой,МОЙ,Без интервала 111,МММ,Без интервала2,МОЙ МОЙ,Жирный"/>
    <w:link w:val="a8"/>
    <w:uiPriority w:val="1"/>
    <w:qFormat/>
    <w:rsid w:val="008C7189"/>
    <w:pPr>
      <w:spacing w:after="0" w:line="240" w:lineRule="auto"/>
    </w:pPr>
    <w:rPr>
      <w:rFonts w:ascii="Calibri" w:eastAsia="Calibri" w:hAnsi="Calibri" w:cs="Times New Roman"/>
    </w:rPr>
  </w:style>
  <w:style w:type="paragraph" w:customStyle="1" w:styleId="12">
    <w:name w:val="Без интервала1"/>
    <w:rsid w:val="008C7189"/>
    <w:pPr>
      <w:spacing w:after="0" w:line="240" w:lineRule="auto"/>
    </w:pPr>
    <w:rPr>
      <w:rFonts w:ascii="Calibri" w:eastAsia="Times New Roman" w:hAnsi="Calibri" w:cs="Times New Roman"/>
    </w:rPr>
  </w:style>
  <w:style w:type="character" w:styleId="a9">
    <w:name w:val="Strong"/>
    <w:basedOn w:val="a0"/>
    <w:uiPriority w:val="22"/>
    <w:qFormat/>
    <w:rsid w:val="008C7189"/>
    <w:rPr>
      <w:b/>
      <w:bCs/>
    </w:rPr>
  </w:style>
  <w:style w:type="table" w:styleId="aa">
    <w:name w:val="Table Grid"/>
    <w:aliases w:val="Сетка таблицы GR"/>
    <w:basedOn w:val="a1"/>
    <w:uiPriority w:val="39"/>
    <w:rsid w:val="002052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1"/>
    <w:next w:val="aa"/>
    <w:uiPriority w:val="39"/>
    <w:rsid w:val="002052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5978CD"/>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4338C"/>
    <w:rPr>
      <w:rFonts w:ascii="Cambria" w:eastAsia="Times New Roman" w:hAnsi="Cambria" w:cs="Times New Roman"/>
      <w:b/>
      <w:bCs/>
      <w:kern w:val="32"/>
      <w:sz w:val="32"/>
      <w:szCs w:val="32"/>
      <w:lang w:val="x-none" w:eastAsia="ru-RU"/>
    </w:rPr>
  </w:style>
  <w:style w:type="paragraph" w:customStyle="1" w:styleId="FORMATTEXT">
    <w:name w:val=".FORMATTEXT"/>
    <w:uiPriority w:val="99"/>
    <w:rsid w:val="00A433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7379E"/>
    <w:pPr>
      <w:autoSpaceDE w:val="0"/>
      <w:autoSpaceDN w:val="0"/>
      <w:adjustRightInd w:val="0"/>
      <w:spacing w:after="0" w:line="240" w:lineRule="auto"/>
      <w:jc w:val="both"/>
    </w:pPr>
    <w:rPr>
      <w:rFonts w:ascii="Calibri" w:eastAsia="Calibri" w:hAnsi="Calibri" w:cs="Calibri"/>
      <w:sz w:val="20"/>
      <w:szCs w:val="20"/>
      <w:lang w:eastAsia="ru-RU"/>
    </w:rPr>
  </w:style>
  <w:style w:type="character" w:customStyle="1" w:styleId="ConsPlusNormal0">
    <w:name w:val="ConsPlusNormal Знак"/>
    <w:link w:val="ConsPlusNormal"/>
    <w:locked/>
    <w:rsid w:val="0067379E"/>
    <w:rPr>
      <w:rFonts w:ascii="Calibri" w:eastAsia="Calibri" w:hAnsi="Calibri" w:cs="Calibri"/>
      <w:sz w:val="20"/>
      <w:szCs w:val="20"/>
      <w:lang w:eastAsia="ru-RU"/>
    </w:rPr>
  </w:style>
  <w:style w:type="character" w:styleId="HTML">
    <w:name w:val="HTML Code"/>
    <w:rsid w:val="0067379E"/>
    <w:rPr>
      <w:rFonts w:ascii="Courier New" w:eastAsia="Times New Roman" w:hAnsi="Courier New" w:cs="Courier New" w:hint="default"/>
      <w:b w:val="0"/>
      <w:bCs w:val="0"/>
      <w:strike w:val="0"/>
      <w:dstrike w:val="0"/>
      <w:color w:val="000000"/>
      <w:sz w:val="18"/>
      <w:szCs w:val="18"/>
      <w:u w:val="none"/>
      <w:effect w:val="none"/>
    </w:rPr>
  </w:style>
  <w:style w:type="character" w:customStyle="1" w:styleId="a8">
    <w:name w:val="Без интервала Знак"/>
    <w:aliases w:val="мой Знак,МОЙ Знак,Без интервала 111 Знак,МММ Знак,Без интервала2 Знак,МОЙ МОЙ Знак,Жирный Знак"/>
    <w:link w:val="a7"/>
    <w:uiPriority w:val="1"/>
    <w:locked/>
    <w:rsid w:val="0067379E"/>
    <w:rPr>
      <w:rFonts w:ascii="Calibri" w:eastAsia="Calibri" w:hAnsi="Calibri" w:cs="Times New Roman"/>
    </w:rPr>
  </w:style>
  <w:style w:type="paragraph" w:customStyle="1" w:styleId="3">
    <w:name w:val="Без интервала3"/>
    <w:rsid w:val="00CA5965"/>
    <w:pPr>
      <w:spacing w:after="0" w:line="240" w:lineRule="auto"/>
    </w:pPr>
    <w:rPr>
      <w:rFonts w:ascii="Calibri" w:eastAsia="Times New Roman" w:hAnsi="Calibri" w:cs="Times New Roman"/>
    </w:rPr>
  </w:style>
  <w:style w:type="paragraph" w:styleId="ab">
    <w:name w:val="footnote text"/>
    <w:aliases w:val="Char,Знак2,Знак4 Знак, Знак4 Знак,Знак,Знак8 Знак Знак,Знак8 Знак, Знак8 Знак Знак, Знак8 Знак,Текст сноски Знак1,Текст сноски Знак Знак,Знак4 Знак1,Знак4, Знак4 Знак1, Знак4,Знак2 Знак Знак Знак,Footnote Text Char,Footnote Text Char Знак"/>
    <w:basedOn w:val="a"/>
    <w:link w:val="ac"/>
    <w:uiPriority w:val="99"/>
    <w:qFormat/>
    <w:rsid w:val="002611F7"/>
    <w:pPr>
      <w:spacing w:after="60"/>
      <w:jc w:val="both"/>
    </w:pPr>
    <w:rPr>
      <w:sz w:val="20"/>
      <w:szCs w:val="20"/>
    </w:rPr>
  </w:style>
  <w:style w:type="character" w:customStyle="1" w:styleId="ac">
    <w:name w:val="Текст сноски Знак"/>
    <w:aliases w:val="Char Знак,Знак2 Знак,Знак4 Знак Знак, Знак4 Знак Знак,Знак Знак,Знак8 Знак Знак Знак,Знак8 Знак Знак1, Знак8 Знак Знак Знак, Знак8 Знак Знак1,Текст сноски Знак1 Знак,Текст сноски Знак Знак Знак,Знак4 Знак1 Знак,Знак4 Знак2, Знак4 Знак2"/>
    <w:basedOn w:val="a0"/>
    <w:link w:val="ab"/>
    <w:uiPriority w:val="99"/>
    <w:rsid w:val="002611F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401ACC"/>
    <w:rPr>
      <w:rFonts w:ascii="Tahoma" w:hAnsi="Tahoma" w:cs="Tahoma"/>
      <w:sz w:val="16"/>
      <w:szCs w:val="16"/>
    </w:rPr>
  </w:style>
  <w:style w:type="character" w:customStyle="1" w:styleId="ae">
    <w:name w:val="Текст выноски Знак"/>
    <w:basedOn w:val="a0"/>
    <w:link w:val="ad"/>
    <w:uiPriority w:val="99"/>
    <w:semiHidden/>
    <w:rsid w:val="00401ACC"/>
    <w:rPr>
      <w:rFonts w:ascii="Tahoma" w:eastAsia="Times New Roman" w:hAnsi="Tahoma" w:cs="Tahoma"/>
      <w:sz w:val="16"/>
      <w:szCs w:val="16"/>
      <w:lang w:eastAsia="ru-RU"/>
    </w:rPr>
  </w:style>
  <w:style w:type="character" w:styleId="af">
    <w:name w:val="annotation reference"/>
    <w:basedOn w:val="a0"/>
    <w:uiPriority w:val="99"/>
    <w:semiHidden/>
    <w:unhideWhenUsed/>
    <w:rsid w:val="0011536E"/>
    <w:rPr>
      <w:sz w:val="16"/>
      <w:szCs w:val="16"/>
    </w:rPr>
  </w:style>
  <w:style w:type="paragraph" w:styleId="af0">
    <w:name w:val="annotation text"/>
    <w:basedOn w:val="a"/>
    <w:link w:val="af1"/>
    <w:uiPriority w:val="99"/>
    <w:semiHidden/>
    <w:unhideWhenUsed/>
    <w:rsid w:val="0011536E"/>
    <w:rPr>
      <w:sz w:val="20"/>
      <w:szCs w:val="20"/>
    </w:rPr>
  </w:style>
  <w:style w:type="character" w:customStyle="1" w:styleId="af1">
    <w:name w:val="Текст примечания Знак"/>
    <w:basedOn w:val="a0"/>
    <w:link w:val="af0"/>
    <w:uiPriority w:val="99"/>
    <w:semiHidden/>
    <w:rsid w:val="0011536E"/>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1536E"/>
    <w:rPr>
      <w:b/>
      <w:bCs/>
    </w:rPr>
  </w:style>
  <w:style w:type="character" w:customStyle="1" w:styleId="af3">
    <w:name w:val="Тема примечания Знак"/>
    <w:basedOn w:val="af1"/>
    <w:link w:val="af2"/>
    <w:uiPriority w:val="99"/>
    <w:semiHidden/>
    <w:rsid w:val="0011536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93286">
      <w:bodyDiv w:val="1"/>
      <w:marLeft w:val="0"/>
      <w:marRight w:val="0"/>
      <w:marTop w:val="0"/>
      <w:marBottom w:val="0"/>
      <w:divBdr>
        <w:top w:val="none" w:sz="0" w:space="0" w:color="auto"/>
        <w:left w:val="none" w:sz="0" w:space="0" w:color="auto"/>
        <w:bottom w:val="none" w:sz="0" w:space="0" w:color="auto"/>
        <w:right w:val="none" w:sz="0" w:space="0" w:color="auto"/>
      </w:divBdr>
    </w:div>
    <w:div w:id="750084429">
      <w:bodyDiv w:val="1"/>
      <w:marLeft w:val="0"/>
      <w:marRight w:val="0"/>
      <w:marTop w:val="0"/>
      <w:marBottom w:val="0"/>
      <w:divBdr>
        <w:top w:val="none" w:sz="0" w:space="0" w:color="auto"/>
        <w:left w:val="none" w:sz="0" w:space="0" w:color="auto"/>
        <w:bottom w:val="none" w:sz="0" w:space="0" w:color="auto"/>
        <w:right w:val="none" w:sz="0" w:space="0" w:color="auto"/>
      </w:divBdr>
    </w:div>
    <w:div w:id="803348143">
      <w:bodyDiv w:val="1"/>
      <w:marLeft w:val="0"/>
      <w:marRight w:val="0"/>
      <w:marTop w:val="0"/>
      <w:marBottom w:val="0"/>
      <w:divBdr>
        <w:top w:val="none" w:sz="0" w:space="0" w:color="auto"/>
        <w:left w:val="none" w:sz="0" w:space="0" w:color="auto"/>
        <w:bottom w:val="none" w:sz="0" w:space="0" w:color="auto"/>
        <w:right w:val="none" w:sz="0" w:space="0" w:color="auto"/>
      </w:divBdr>
    </w:div>
    <w:div w:id="1099834354">
      <w:bodyDiv w:val="1"/>
      <w:marLeft w:val="0"/>
      <w:marRight w:val="0"/>
      <w:marTop w:val="0"/>
      <w:marBottom w:val="0"/>
      <w:divBdr>
        <w:top w:val="none" w:sz="0" w:space="0" w:color="auto"/>
        <w:left w:val="none" w:sz="0" w:space="0" w:color="auto"/>
        <w:bottom w:val="none" w:sz="0" w:space="0" w:color="auto"/>
        <w:right w:val="none" w:sz="0" w:space="0" w:color="auto"/>
      </w:divBdr>
    </w:div>
    <w:div w:id="1253274307">
      <w:bodyDiv w:val="1"/>
      <w:marLeft w:val="0"/>
      <w:marRight w:val="0"/>
      <w:marTop w:val="0"/>
      <w:marBottom w:val="0"/>
      <w:divBdr>
        <w:top w:val="none" w:sz="0" w:space="0" w:color="auto"/>
        <w:left w:val="none" w:sz="0" w:space="0" w:color="auto"/>
        <w:bottom w:val="none" w:sz="0" w:space="0" w:color="auto"/>
        <w:right w:val="none" w:sz="0" w:space="0" w:color="auto"/>
      </w:divBdr>
    </w:div>
    <w:div w:id="188817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28CBA-A4FB-4B30-82DD-3BEAFADC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1741</Words>
  <Characters>9928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Leo-102</cp:lastModifiedBy>
  <cp:revision>8</cp:revision>
  <cp:lastPrinted>2026-06-10T22:39:00Z</cp:lastPrinted>
  <dcterms:created xsi:type="dcterms:W3CDTF">2026-01-20T01:59:00Z</dcterms:created>
  <dcterms:modified xsi:type="dcterms:W3CDTF">2026-06-10T22:39:00Z</dcterms:modified>
</cp:coreProperties>
</file>