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jc w:val="center"/>
        <w:rPr>
          <w:color w:val="000000"/>
          <w:highlight w:val="yellow"/>
        </w:rPr>
      </w:pPr>
      <w:r>
        <w:rPr>
          <w:b/>
          <w:bCs/>
          <w:color w:val="000000"/>
          <w:sz w:val="22"/>
          <w:u w:val="none"/>
        </w:rPr>
        <w:t xml:space="preserve">Контракт № </w:t>
      </w:r>
      <w:r>
        <w:rPr>
          <w:b/>
          <w:bCs/>
          <w:color w:val="000000"/>
          <w:sz w:val="22"/>
          <w:u w:val="none"/>
        </w:rPr>
        <w:t xml:space="preserve">____________________</w:t>
      </w:r>
      <w:r>
        <w:rPr>
          <w:color w:val="000000"/>
          <w:highlight w:val="yellow"/>
        </w:rPr>
      </w:r>
      <w:r>
        <w:rPr>
          <w:color w:val="000000"/>
          <w:highlight w:val="yellow"/>
        </w:rPr>
      </w:r>
    </w:p>
    <w:p>
      <w:pPr>
        <w:pStyle w:val="831"/>
        <w:jc w:val="center"/>
        <w:rPr>
          <w:color w:val="000000"/>
          <w:highlight w:val="yellow"/>
        </w:rPr>
      </w:pPr>
      <w:r>
        <w:rPr>
          <w:color w:val="000000"/>
          <w:highlight w:val="yellow"/>
        </w:rPr>
      </w:r>
      <w:r>
        <w:rPr>
          <w:color w:val="000000"/>
          <w:highlight w:val="yellow"/>
        </w:rPr>
      </w:r>
      <w:r>
        <w:rPr>
          <w:color w:val="000000"/>
          <w:highlight w:val="yellow"/>
        </w:rPr>
      </w:r>
    </w:p>
    <w:p>
      <w:pPr>
        <w:pStyle w:val="831"/>
        <w:rPr>
          <w:sz w:val="22"/>
        </w:rPr>
      </w:pPr>
      <w:r>
        <w:rPr>
          <w:u w:val="none"/>
        </w:rPr>
        <w:t xml:space="preserve">г. </w:t>
      </w:r>
      <w:r>
        <w:rPr>
          <w:rFonts w:cs="Times New Roman"/>
          <w:b w:val="0"/>
          <w:i w:val="0"/>
          <w:strike w:val="0"/>
          <w:color w:val="000000"/>
          <w:sz w:val="20"/>
          <w:szCs w:val="20"/>
          <w:u w:val="none"/>
        </w:rPr>
        <w:t xml:space="preserve">Советская Гавань </w:t>
      </w:r>
      <w:r>
        <w:rPr>
          <w:rFonts w:cs="Times New Roman"/>
          <w:b w:val="0"/>
          <w:i w:val="0"/>
          <w:strike w:val="0"/>
          <w:color w:val="000000"/>
          <w:sz w:val="24"/>
          <w:u w:val="none"/>
        </w:rPr>
        <w:t xml:space="preserve">                  </w:t>
      </w:r>
      <w:r>
        <w:tab/>
        <w:tab/>
        <w:tab/>
        <w:t xml:space="preserve">                   </w:t>
        <w:tab/>
        <w:t xml:space="preserve">                                     «____»_____________   2026 г.</w:t>
      </w:r>
      <w:r>
        <w:rPr>
          <w:sz w:val="22"/>
        </w:rPr>
      </w:r>
      <w:r>
        <w:rPr>
          <w:sz w:val="22"/>
        </w:rPr>
      </w:r>
    </w:p>
    <w:p>
      <w:pPr>
        <w:pStyle w:val="831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831"/>
        <w:jc w:val="both"/>
        <w:rPr>
          <w:b/>
          <w:bCs/>
          <w:spacing w:val="-1"/>
        </w:rPr>
      </w:pPr>
      <w:r>
        <w:t xml:space="preserve">       </w:t>
      </w:r>
      <w:r>
        <w:rPr>
          <w:b/>
        </w:rPr>
        <w:t xml:space="preserve">Федеральное казённое учреждение «Главное бюро медико-социальной экспертизы по Хабаровскому краю» Министерства труда и социальной защиты Российской Федерации</w:t>
      </w:r>
      <w:r>
        <w:t xml:space="preserve"> (ФКУ «ГБ МСЭ по Хабаровскому краю» Минтруд России), действующее от имени Российской Федерации, именуемое в дальнейшем </w:t>
      </w:r>
      <w:r>
        <w:rPr>
          <w:b/>
        </w:rPr>
        <w:t xml:space="preserve">«Заказчик»,</w:t>
      </w:r>
      <w:r>
        <w:t xml:space="preserve"> лице исполняющего обязанности </w:t>
      </w:r>
      <w:r>
        <w:rPr>
          <w:sz w:val="20"/>
          <w:szCs w:val="20"/>
        </w:rPr>
        <w:t xml:space="preserve">руководителя – главного эксперта по медико-социальной экспертизе Иваненко Елены  Геннадьевны</w:t>
      </w:r>
      <w:r>
        <w:rPr>
          <w:rStyle w:val="862"/>
          <w:sz w:val="20"/>
          <w:szCs w:val="20"/>
        </w:rPr>
        <w:t xml:space="preserve"> </w:t>
      </w:r>
      <w:r>
        <w:rPr>
          <w:rStyle w:val="862"/>
          <w:b/>
          <w:sz w:val="20"/>
          <w:szCs w:val="20"/>
        </w:rPr>
        <w:t xml:space="preserve">де</w:t>
      </w:r>
      <w:r>
        <w:rPr>
          <w:rStyle w:val="863"/>
          <w:b w:val="0"/>
          <w:sz w:val="20"/>
          <w:szCs w:val="20"/>
        </w:rPr>
        <w:t xml:space="preserve">йствующего на</w:t>
      </w:r>
      <w:r>
        <w:rPr>
          <w:rStyle w:val="863"/>
          <w:sz w:val="20"/>
          <w:szCs w:val="20"/>
        </w:rPr>
        <w:t xml:space="preserve"> </w:t>
      </w:r>
      <w:r>
        <w:rPr>
          <w:rStyle w:val="864"/>
          <w:sz w:val="20"/>
          <w:szCs w:val="20"/>
        </w:rPr>
        <w:t xml:space="preserve">основании приказа № 318-к от 19.05.2026 и </w:t>
      </w:r>
      <w:r>
        <w:rPr>
          <w:sz w:val="20"/>
          <w:szCs w:val="20"/>
        </w:rPr>
        <w:t xml:space="preserve">Устава, с одной стороны</w:t>
      </w:r>
      <w:r>
        <w:rPr>
          <w:bCs/>
          <w:iCs/>
          <w:spacing w:val="-6"/>
          <w:sz w:val="20"/>
          <w:szCs w:val="20"/>
        </w:rPr>
        <w:t xml:space="preserve"> и </w:t>
      </w:r>
      <w:r>
        <w:rPr>
          <w:b/>
          <w:bCs/>
          <w:iCs/>
          <w:color w:val="000000"/>
          <w:spacing w:val="-5"/>
          <w:sz w:val="20"/>
          <w:szCs w:val="20"/>
        </w:rPr>
        <w:t xml:space="preserve">________________</w:t>
      </w:r>
      <w:r>
        <w:rPr>
          <w:bCs/>
          <w:spacing w:val="-6"/>
          <w:sz w:val="20"/>
          <w:szCs w:val="20"/>
        </w:rPr>
        <w:t xml:space="preserve">, </w:t>
      </w:r>
      <w:r>
        <w:rPr>
          <w:rFonts w:ascii="Liberation Serif" w:hAnsi="Liberation Serif" w:cs="Liberation Serif"/>
          <w:bCs/>
          <w:color w:val="000000"/>
          <w:spacing w:val="-6"/>
          <w:sz w:val="20"/>
          <w:szCs w:val="20"/>
        </w:rPr>
        <w:t xml:space="preserve">в лице ___________________</w:t>
      </w:r>
      <w:r>
        <w:rPr>
          <w:rFonts w:ascii="Liberation Serif" w:hAnsi="Liberation Serif" w:cs="Liberation Serif"/>
          <w:bCs/>
          <w:color w:val="f10d0c"/>
          <w:spacing w:val="-6"/>
          <w:sz w:val="20"/>
          <w:szCs w:val="20"/>
        </w:rPr>
        <w:t xml:space="preserve">,</w:t>
      </w:r>
      <w:r>
        <w:rPr>
          <w:rFonts w:ascii="Liberation Serif" w:hAnsi="Liberation Serif" w:cs="Liberation Serif"/>
          <w:bCs/>
          <w:color w:val="000000"/>
          <w:spacing w:val="-6"/>
          <w:sz w:val="20"/>
          <w:szCs w:val="20"/>
        </w:rPr>
        <w:t xml:space="preserve"> действующего на основании _____________</w:t>
      </w:r>
      <w:r>
        <w:rPr>
          <w:bCs/>
          <w:spacing w:val="-6"/>
          <w:sz w:val="20"/>
          <w:szCs w:val="20"/>
        </w:rPr>
        <w:t xml:space="preserve"> с другой стороны, </w:t>
      </w:r>
      <w:r>
        <w:rPr>
          <w:sz w:val="20"/>
          <w:szCs w:val="20"/>
        </w:rPr>
        <w:t xml:space="preserve">именуемый в дальнейшем </w:t>
      </w:r>
      <w:r>
        <w:rPr>
          <w:b/>
          <w:sz w:val="20"/>
          <w:szCs w:val="20"/>
        </w:rPr>
        <w:t xml:space="preserve">«Исполнитель» </w:t>
      </w:r>
      <w:r>
        <w:rPr>
          <w:sz w:val="20"/>
          <w:szCs w:val="20"/>
        </w:rPr>
        <w:t xml:space="preserve"> </w:t>
      </w:r>
      <w:r>
        <w:t xml:space="preserve">в дальнейшем вместе именуемые «Стороны», и каждый в отдельности «Сторона», с соблюдением требований Гражданского кодекса Российской Федерации, в соответствии с п. 4 ч. 1 ст. 93 Федерального закона от 05 апреля 201</w:t>
      </w:r>
      <w:r>
        <w:t xml:space="preserve">3 г. № 44-ФЗ «О контрактной системе в сфере закупок товаров, работ, работ для обеспечения государственных и муниципальных нужд», заключили настоящий Контракт о нижеследующем:                                                                                  </w:t>
      </w:r>
      <w:r>
        <w:rPr>
          <w:b/>
          <w:bCs/>
          <w:spacing w:val="-1"/>
        </w:rPr>
      </w:r>
      <w:r>
        <w:rPr>
          <w:b/>
          <w:bCs/>
          <w:spacing w:val="-1"/>
        </w:rPr>
      </w:r>
    </w:p>
    <w:p>
      <w:pPr>
        <w:pStyle w:val="831"/>
        <w:jc w:val="center"/>
      </w:pPr>
      <w:r>
        <w:rPr>
          <w:b/>
          <w:bCs/>
          <w:spacing w:val="-1"/>
        </w:rPr>
        <w:t xml:space="preserve">1. Предмет контракта</w:t>
      </w:r>
      <w:r/>
    </w:p>
    <w:p>
      <w:pPr>
        <w:pStyle w:val="831"/>
        <w:jc w:val="both"/>
        <w:rPr>
          <w:sz w:val="20"/>
          <w:szCs w:val="20"/>
        </w:rPr>
      </w:pPr>
      <w:r>
        <w:t xml:space="preserve">1.1. По настоящему контракту «Исполнитель» обязуется по заданию «Заказчика» выполнить работы по гидропневматической промывке и гидравлическим испытаниям внутренней системы отопления</w:t>
      </w:r>
      <w:r>
        <w:rPr>
          <w:color w:val="000000"/>
          <w:spacing w:val="-5"/>
        </w:rPr>
        <w:t xml:space="preserve"> в здании расположенном по адресу: Хабаровский край, г. Советская Гавань, </w:t>
      </w:r>
      <w:r>
        <w:t xml:space="preserve">ул. Советская, д. 20 (</w:t>
      </w:r>
      <w:r>
        <w:rPr>
          <w:color w:val="000000"/>
          <w:spacing w:val="-5"/>
        </w:rPr>
        <w:t xml:space="preserve">далее - работы)</w:t>
      </w:r>
      <w:r>
        <w:t xml:space="preserve">, а Заказчик обязуется принять и оплатить данные работы.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283"/>
        <w:widowControl w:val="off"/>
      </w:pPr>
      <w:r>
        <w:rPr>
          <w:sz w:val="20"/>
          <w:szCs w:val="20"/>
        </w:rPr>
        <w:t xml:space="preserve">1.2. Срок выполнения работ: в течении 2 (двух) рабочих дней с момента подписания  Контракта.</w:t>
      </w:r>
      <w:r/>
    </w:p>
    <w:p>
      <w:pPr>
        <w:pStyle w:val="831"/>
        <w:ind w:right="0"/>
        <w:jc w:val="both"/>
        <w:rPr>
          <w:b/>
          <w:bCs/>
          <w:sz w:val="20"/>
          <w:szCs w:val="20"/>
        </w:rPr>
      </w:pPr>
      <w:r>
        <w:t xml:space="preserve">1.3. По завершении работ «Исполнитель» сдает, а «Заказчик» принимает по универсальному передаточному документу (далее - УПД) или Акту выполненной  «Исполнителем» работу.  </w:t>
      </w:r>
      <w:r>
        <w:rPr>
          <w:sz w:val="20"/>
          <w:szCs w:val="20"/>
        </w:rPr>
        <w:t xml:space="preserve">При наличии претензий к выполненным работам, Заказчик указывает об этом в Акте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3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3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Права и обязанности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283"/>
        <w:jc w:val="both"/>
        <w:widowControl w:val="off"/>
        <w:tabs>
          <w:tab w:val="left" w:pos="34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r>
        <w:rPr>
          <w:b/>
          <w:sz w:val="20"/>
          <w:szCs w:val="20"/>
        </w:rPr>
        <w:t xml:space="preserve">Заказчик обязан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283"/>
        <w:jc w:val="both"/>
        <w:widowControl w:val="off"/>
        <w:tabs>
          <w:tab w:val="left" w:pos="34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2.1.1. Принять выполненные Исполнителем Роботы по акту выполненных Работ. При наличии претензий к выполненным работам, Заказчик указывает об этом в акте.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2.1.2. Оплатить стоимость работ, согласно расчетным документам, представленным Исполнителем.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r>
        <w:rPr>
          <w:b/>
          <w:sz w:val="20"/>
          <w:szCs w:val="20"/>
        </w:rPr>
        <w:t xml:space="preserve">Заказчик вправе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2.2.1. В случае выполнения работ, не соответствующих условиям настоящего Контракта, Заказчик вправе потребовать от Исполнителя: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left="57"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- безвозмездного устранения недостатков в установленный актом срок;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соразмерного уменьшения, установленной настоящим Контрактом, стоимости работ.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2.2.2. В случае, если недостатки не устранены Исполнителем в срок, установленный Заказчиком или условием Контракта, Заказчик вправе отказаться от исполнения настоящего Контракта и потребовать возмещения убытков.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2.2.3. Заказчик вправе отказаться от исполнения настоящего Контракта, предупредив об этом Исполнителя за 5 (Пять) рабочих дней, и оплатив фактически выполненные работы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>
        <w:rPr>
          <w:b/>
          <w:sz w:val="20"/>
          <w:szCs w:val="20"/>
        </w:rPr>
        <w:t xml:space="preserve">Исполнитель обязан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2.3.1. Выполнить работу в срок указанный в п. 1.2. Контракта.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2.3.2. Обеспечить соблюдение правил, предусмотренных законодательством, для выполнения работ.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2.3.3.По окончании выполнения работ предоставить Заказчику комплект документов, предусмотренных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>
        <w:rPr>
          <w:b/>
          <w:sz w:val="20"/>
          <w:szCs w:val="20"/>
        </w:rPr>
        <w:t xml:space="preserve">Исполнитель вправе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ind w:right="0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2.4.1. Требовать своевременной оплаты за выполненные работы в соответствии с условиями 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Контракта.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3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831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3. Цена контракта и порядок расчётов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Цена работ по настоящему контракту составляет  ___________ рублей _________ копеек.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2"/>
        <w:ind w:right="0"/>
        <w:jc w:val="both"/>
        <w:spacing w:before="0" w:after="0"/>
        <w:widowControl w:val="off"/>
        <w:tabs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3.2. Цена Контракта устанавливается в рублях РФ, остается твёрдой на протяжении всего срока исполнения Контракта и не может быть изменена Исполнителем в одностороннем порядке.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2"/>
        <w:ind w:right="0"/>
        <w:jc w:val="both"/>
        <w:spacing w:before="0" w:after="0"/>
        <w:widowControl w:val="off"/>
        <w:tabs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3.3. Цена Контракта включает в себя все расходы Исполнителя, связанные с выполнением работ, а также налоги, сборы и другие обязательные платежи в соответствии с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3.4 Оплата работ Исполнителя по настоящему Контракту производится Заказчиком  в течение 7 рабочих дней после полученных от исполнителя УПД или Акта выполненных работ, </w:t>
      </w:r>
      <w:r>
        <w:rPr>
          <w:rFonts w:eastAsia="Arial Unicode MS"/>
          <w:sz w:val="20"/>
          <w:szCs w:val="20"/>
        </w:rPr>
        <w:t xml:space="preserve">счета, счет-фактуры </w:t>
      </w:r>
      <w:r>
        <w:rPr>
          <w:sz w:val="20"/>
          <w:szCs w:val="20"/>
        </w:rPr>
        <w:t xml:space="preserve">(при наличии)</w:t>
      </w:r>
      <w:r>
        <w:rPr>
          <w:rFonts w:eastAsia="Arial Unicode MS"/>
          <w:sz w:val="20"/>
          <w:szCs w:val="20"/>
        </w:rPr>
        <w:t xml:space="preserve"> и подписания Сторонами Акта по форме 0510452</w:t>
      </w:r>
      <w:r>
        <w:rPr>
          <w:sz w:val="20"/>
          <w:szCs w:val="20"/>
        </w:rPr>
        <w:t xml:space="preserve">. Обязанность Заказчика по оплате считается исполненной в момент списания денежных средств с расчетного счета Заказчика.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831"/>
        <w:jc w:val="both"/>
        <w:widowControl/>
        <w:rPr>
          <w:sz w:val="20"/>
          <w:szCs w:val="20"/>
        </w:rPr>
      </w:pPr>
      <w:r>
        <w:rPr>
          <w:bCs/>
          <w:sz w:val="20"/>
          <w:szCs w:val="20"/>
        </w:rPr>
        <w:t xml:space="preserve">3.5. </w:t>
      </w:r>
      <w:r>
        <w:rPr>
          <w:sz w:val="20"/>
          <w:szCs w:val="20"/>
        </w:rPr>
        <w:t xml:space="preserve">Источник финансирования: </w:t>
      </w:r>
      <w:r>
        <w:rPr>
          <w:b/>
          <w:sz w:val="20"/>
          <w:szCs w:val="20"/>
        </w:rPr>
        <w:t xml:space="preserve">средства федерального бюджета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2"/>
        <w:jc w:val="both"/>
        <w:spacing w:before="0" w:after="0"/>
        <w:tabs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1"/>
        <w:jc w:val="both"/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Style w:val="831"/>
        <w:jc w:val="center"/>
        <w:rPr>
          <w:spacing w:val="-2"/>
        </w:rPr>
      </w:pPr>
      <w:r>
        <w:rPr>
          <w:b/>
          <w:bCs/>
          <w:spacing w:val="-1"/>
          <w:sz w:val="20"/>
          <w:szCs w:val="20"/>
        </w:rPr>
        <w:t xml:space="preserve">4. Качество работ.</w:t>
      </w:r>
      <w:r>
        <w:rPr>
          <w:spacing w:val="-2"/>
        </w:rPr>
      </w:r>
      <w:r>
        <w:rPr>
          <w:spacing w:val="-2"/>
        </w:rPr>
      </w:r>
    </w:p>
    <w:p>
      <w:pPr>
        <w:pStyle w:val="831"/>
        <w:jc w:val="both"/>
        <w:rPr>
          <w:spacing w:val="-2"/>
        </w:rPr>
      </w:pPr>
      <w:r>
        <w:rPr>
          <w:spacing w:val="-2"/>
        </w:rPr>
      </w:r>
      <w:r>
        <w:rPr>
          <w:spacing w:val="-2"/>
        </w:rPr>
      </w:r>
      <w:r>
        <w:rPr>
          <w:spacing w:val="-2"/>
        </w:rPr>
      </w:r>
    </w:p>
    <w:p>
      <w:pPr>
        <w:pStyle w:val="831"/>
        <w:jc w:val="both"/>
        <w:rPr>
          <w:spacing w:val="-2"/>
        </w:rPr>
      </w:pPr>
      <w:r>
        <w:rPr>
          <w:spacing w:val="-2"/>
        </w:rPr>
        <w:t xml:space="preserve">4.1. В случае выполнения работ ненадлежащего качества «Заказчик» вправе по своему выбору потребовать:</w:t>
      </w:r>
      <w:r>
        <w:rPr>
          <w:spacing w:val="-2"/>
        </w:rPr>
      </w:r>
      <w:r>
        <w:rPr>
          <w:spacing w:val="-2"/>
        </w:rPr>
      </w:r>
    </w:p>
    <w:p>
      <w:pPr>
        <w:pStyle w:val="831"/>
        <w:jc w:val="both"/>
        <w:rPr>
          <w:spacing w:val="-2"/>
        </w:rPr>
      </w:pPr>
      <w:r>
        <w:rPr>
          <w:spacing w:val="-2"/>
        </w:rPr>
        <w:t xml:space="preserve">4.1.1. Безвозмездного устранения недостатков в течение 5 дней после извещения «Заказчиком» «Исполнителя».</w:t>
      </w:r>
      <w:r>
        <w:rPr>
          <w:spacing w:val="-2"/>
        </w:rPr>
      </w:r>
      <w:r>
        <w:rPr>
          <w:spacing w:val="-2"/>
        </w:rPr>
      </w:r>
    </w:p>
    <w:p>
      <w:pPr>
        <w:pStyle w:val="831"/>
        <w:jc w:val="both"/>
        <w:rPr>
          <w:spacing w:val="-2"/>
        </w:rPr>
      </w:pPr>
      <w:r>
        <w:rPr>
          <w:spacing w:val="-2"/>
        </w:rPr>
        <w:t xml:space="preserve">4.1.2. Возмещения своих расходов на устранение недостатков выполненных работ. </w:t>
      </w:r>
      <w:r>
        <w:rPr>
          <w:spacing w:val="-2"/>
        </w:rPr>
      </w:r>
      <w:r>
        <w:rPr>
          <w:spacing w:val="-2"/>
        </w:rPr>
      </w:r>
    </w:p>
    <w:p>
      <w:pPr>
        <w:pStyle w:val="831"/>
        <w:jc w:val="both"/>
        <w:rPr>
          <w:spacing w:val="-2"/>
        </w:rPr>
      </w:pPr>
      <w:r>
        <w:rPr>
          <w:spacing w:val="-2"/>
        </w:rPr>
        <w:t xml:space="preserve">4.2.  В случае существенного нарушения требований к качеству работ</w:t>
      </w:r>
      <w:r>
        <w:rPr>
          <w:spacing w:val="-2"/>
        </w:rPr>
        <w:t xml:space="preserve"> (обнаружения неустранимых недостатков, которые не могут быть устранены без несоразмерных расходов или затрат времени или выявляются неоднократно, появляются вновь после их устранения и других подобных недостатков) «Заказчик» в праве по своему выбору: </w:t>
      </w:r>
      <w:r>
        <w:rPr>
          <w:spacing w:val="-2"/>
        </w:rPr>
      </w:r>
      <w:r>
        <w:rPr>
          <w:spacing w:val="-2"/>
        </w:rPr>
      </w:r>
    </w:p>
    <w:p>
      <w:pPr>
        <w:pStyle w:val="831"/>
        <w:jc w:val="both"/>
        <w:rPr>
          <w:spacing w:val="-2"/>
        </w:rPr>
      </w:pPr>
      <w:r>
        <w:rPr>
          <w:spacing w:val="-2"/>
        </w:rPr>
        <w:t xml:space="preserve">4.2.1. Отказаться от исполнения К</w:t>
      </w:r>
      <w:r>
        <w:t xml:space="preserve">онтракта.</w:t>
      </w:r>
      <w:r>
        <w:rPr>
          <w:spacing w:val="-2"/>
        </w:rPr>
        <w:t xml:space="preserve"> </w:t>
      </w:r>
      <w:r>
        <w:rPr>
          <w:spacing w:val="-2"/>
        </w:rPr>
      </w:r>
      <w:r>
        <w:rPr>
          <w:spacing w:val="-2"/>
        </w:rPr>
      </w:r>
    </w:p>
    <w:p>
      <w:pPr>
        <w:pStyle w:val="831"/>
        <w:jc w:val="both"/>
        <w:rPr>
          <w:spacing w:val="-2"/>
        </w:rPr>
      </w:pPr>
      <w:r>
        <w:rPr>
          <w:spacing w:val="-2"/>
        </w:rPr>
        <w:t xml:space="preserve">4.2.2. Потребовать замены работ ненадлежащего качества работами, соответствующими </w:t>
      </w:r>
      <w:r>
        <w:t xml:space="preserve">контракту</w:t>
      </w:r>
      <w:r>
        <w:rPr>
          <w:spacing w:val="-2"/>
        </w:rPr>
        <w:t xml:space="preserve">.</w:t>
      </w:r>
      <w:r>
        <w:rPr>
          <w:spacing w:val="-2"/>
        </w:rPr>
      </w:r>
      <w:r>
        <w:rPr>
          <w:spacing w:val="-2"/>
        </w:rPr>
      </w:r>
    </w:p>
    <w:p>
      <w:pPr>
        <w:pStyle w:val="831"/>
        <w:jc w:val="both"/>
      </w:pPr>
      <w:r>
        <w:rPr>
          <w:spacing w:val="-2"/>
        </w:rPr>
        <w:t xml:space="preserve">За неисполнение или ненадлежащее исполнение условий настояще</w:t>
      </w:r>
      <w:r>
        <w:t xml:space="preserve">го контракта стороны несут ответственность, предусмотренную действующим законодательством РФ.</w:t>
      </w:r>
      <w:r/>
    </w:p>
    <w:p>
      <w:pPr>
        <w:pStyle w:val="831"/>
        <w:jc w:val="both"/>
        <w:rPr>
          <w:b/>
          <w:bCs/>
        </w:rPr>
      </w:pPr>
      <w:r>
        <w:t xml:space="preserve">4.2.3. Выполнение работ должно осуществляется Исполнителем в соответствии с действующими нормами и правилами.</w:t>
      </w:r>
      <w:r>
        <w:rPr>
          <w:b/>
          <w:bCs/>
        </w:rPr>
      </w:r>
      <w:r>
        <w:rPr>
          <w:b/>
          <w:bCs/>
        </w:rPr>
      </w:r>
    </w:p>
    <w:p>
      <w:pPr>
        <w:pStyle w:val="831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31"/>
        <w:jc w:val="center"/>
      </w:pPr>
      <w:r>
        <w:rPr>
          <w:b/>
          <w:bCs/>
        </w:rPr>
        <w:t xml:space="preserve">5. Сдача приёмка работ.</w:t>
      </w:r>
      <w:r/>
    </w:p>
    <w:p>
      <w:pPr>
        <w:pStyle w:val="831"/>
        <w:jc w:val="both"/>
      </w:pPr>
      <w:r/>
      <w:r/>
    </w:p>
    <w:p>
      <w:pPr>
        <w:pStyle w:val="831"/>
        <w:jc w:val="both"/>
      </w:pPr>
      <w:r>
        <w:t xml:space="preserve">5.1. Приёмка выполненных работ осуществляется «Заказчиком» и включает в себя следующие этапы: </w:t>
      </w:r>
      <w:r/>
    </w:p>
    <w:p>
      <w:pPr>
        <w:pStyle w:val="831"/>
        <w:jc w:val="both"/>
      </w:pPr>
      <w:r>
        <w:t xml:space="preserve">- проверка на соответствие требованиям настоящего контракта; </w:t>
      </w:r>
      <w:r/>
    </w:p>
    <w:p>
      <w:pPr>
        <w:pStyle w:val="831"/>
        <w:jc w:val="both"/>
      </w:pPr>
      <w:r>
        <w:t xml:space="preserve">5.2. При обнаружении «Заказчиком» в момент приёмки отклонений от условий настоящего контракта, акт приёмки-сдачи работ не подписывается, а составляется акт о выявленных недостатках, который направляется Исполнителю вместе с претензией </w:t>
      </w:r>
      <w:r>
        <w:t xml:space="preserve">об устранении указанных в акте недостатков. «Исполнитель» обязан устранить выявленные недостатки. Срок устранения недостатков устанавливается «Заказчиком» в претензии в пределах от 3 до 30 календарных дней в зависимости от характера выявленных недостатков.</w:t>
      </w:r>
      <w:r/>
    </w:p>
    <w:p>
      <w:pPr>
        <w:pStyle w:val="831"/>
        <w:jc w:val="both"/>
      </w:pPr>
      <w:r>
        <w:t xml:space="preserve">5.3. По итогам приемки выполненных работ Заказчик оформляет Акт (ф. 0510452). Акт формируется на основании документов, предоставленных Исполнителем и подтверждающих выполнение слуг. </w:t>
      </w:r>
      <w:r/>
    </w:p>
    <w:p>
      <w:pPr>
        <w:pStyle w:val="831"/>
        <w:jc w:val="both"/>
      </w:pPr>
      <w:r>
        <w:t xml:space="preserve">5.4. Оплата выполненную слугу производиться после подписания Акта приемки (ф. 0510452).</w:t>
      </w:r>
      <w:r/>
    </w:p>
    <w:p>
      <w:pPr>
        <w:pStyle w:val="831"/>
        <w:jc w:val="both"/>
      </w:pPr>
      <w:r>
        <w:t xml:space="preserve">5.5. Оформление и обмен документами об выполненных работах осуществляются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документа.</w:t>
      </w:r>
      <w:r/>
    </w:p>
    <w:p>
      <w:pPr>
        <w:pStyle w:val="831"/>
        <w:jc w:val="both"/>
      </w:pPr>
      <w:r>
        <w:t xml:space="preserve">5.6. В отсутствие организационно-технической возможности составления Акта приемки (ф. 0510452) в электронной форме Акт формируется на бумажном носителе и подписывается Заказчиком и Исполнителем.   </w:t>
      </w:r>
      <w:r/>
    </w:p>
    <w:p>
      <w:pPr>
        <w:pStyle w:val="831"/>
        <w:jc w:val="both"/>
      </w:pPr>
      <w:r>
        <w:t xml:space="preserve">5.7. Предварительно Акта приемки (ф. 0510452) может быть направлен Исполнителю электронной почтой, с досылкой оригинала письмом. Оригинал Акта  Исполнитель обязан вернуть в адрес Заказчика.</w:t>
      </w:r>
      <w:r/>
    </w:p>
    <w:p>
      <w:pPr>
        <w:pStyle w:val="831"/>
        <w:jc w:val="both"/>
        <w:rPr>
          <w:b/>
          <w:bCs/>
        </w:rPr>
      </w:pPr>
      <w:r>
        <w:t xml:space="preserve">5.8.  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</w:t>
      </w:r>
      <w:r>
        <w:t xml:space="preserve">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r>
        <w:rPr>
          <w:b/>
          <w:bCs/>
        </w:rPr>
      </w:r>
      <w:r>
        <w:rPr>
          <w:b/>
          <w:bCs/>
        </w:rPr>
      </w:r>
    </w:p>
    <w:p>
      <w:pPr>
        <w:pStyle w:val="831"/>
        <w:jc w:val="center"/>
        <w:rPr>
          <w:bCs/>
        </w:rPr>
      </w:pPr>
      <w:r>
        <w:rPr>
          <w:b/>
          <w:bCs/>
        </w:rPr>
        <w:t xml:space="preserve">6. Ответственность сторон.</w:t>
      </w:r>
      <w:r>
        <w:rPr>
          <w:bCs/>
        </w:rPr>
      </w:r>
      <w:r>
        <w:rPr>
          <w:bCs/>
        </w:rPr>
      </w:r>
    </w:p>
    <w:p>
      <w:pPr>
        <w:pStyle w:val="831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Style w:val="831"/>
        <w:jc w:val="both"/>
        <w:rPr>
          <w:bCs/>
        </w:rPr>
      </w:pPr>
      <w:r>
        <w:rPr>
          <w:bCs/>
        </w:rPr>
        <w:t xml:space="preserve">6.1. В случае неисполнения или ненадлежащего исполнения обязательств по настоящему контракту «Исполнитель» выплачивает «Заказчику» неустойку  </w:t>
      </w:r>
      <w:r>
        <w:t xml:space="preserve">(пени). Пеня начисляется за каждый день просрочки исполнения обязательства по оплате, начиная со дня, следующего после дня истечения ус</w:t>
      </w:r>
      <w:r>
        <w:t xml:space="preserve">тановленного настоящим контрактом срока оплаты, по день фактической оплаты задолженности включительно. Такая пеня устанавливается контрактом в размере 1/300 действующей на дату уплаты пени ключевой ставки Центрального банка РФ от не уплаченной в срок суммы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Style w:val="831"/>
        <w:jc w:val="both"/>
        <w:rPr>
          <w:bCs/>
        </w:rPr>
      </w:pPr>
      <w:r>
        <w:rPr>
          <w:bCs/>
        </w:rPr>
        <w:t xml:space="preserve">6.2.Уплата неустойки (пени) не освобождает «Исполнителя» от выполнения обязательств по настоящему контракту.</w:t>
      </w:r>
      <w:r>
        <w:rPr>
          <w:bCs/>
        </w:rPr>
      </w:r>
      <w:r>
        <w:rPr>
          <w:bCs/>
        </w:rPr>
      </w:r>
    </w:p>
    <w:p>
      <w:pPr>
        <w:pStyle w:val="831"/>
        <w:jc w:val="both"/>
        <w:rPr>
          <w:bCs/>
        </w:rPr>
      </w:pPr>
      <w:r>
        <w:rPr>
          <w:bCs/>
        </w:rPr>
        <w:t xml:space="preserve">6.3. «Исполнитель» освобождается от уплаты неустойки, если докажет, что просрочка исполнения обязательства произошла вследствие обстоятельств непреодолимой силы или по вине другой стороны.</w:t>
      </w:r>
      <w:r>
        <w:rPr>
          <w:bCs/>
        </w:rPr>
      </w:r>
      <w:r>
        <w:rPr>
          <w:bCs/>
        </w:rPr>
      </w:r>
    </w:p>
    <w:p>
      <w:pPr>
        <w:pStyle w:val="831"/>
        <w:jc w:val="both"/>
        <w:rPr>
          <w:bCs/>
        </w:rPr>
      </w:pPr>
      <w:r>
        <w:rPr>
          <w:bCs/>
        </w:rPr>
        <w:t xml:space="preserve">6.4. В случае не исполнения или ненадлежащего исполнения условий настоящего </w:t>
      </w:r>
      <w:r>
        <w:t xml:space="preserve">контракта</w:t>
      </w:r>
      <w:r>
        <w:rPr>
          <w:bCs/>
        </w:rPr>
        <w:t xml:space="preserve">, «Заказчик» выплачивает «Исполнителю» неустойку</w:t>
      </w:r>
      <w:r>
        <w:t xml:space="preserve"> (пени). Пеня начисляется за каждый день просрочки исполнения обязательства по оплате, начиная со дня, следующего после дня истечения уст</w:t>
      </w:r>
      <w:r>
        <w:t xml:space="preserve">ановленного настоящим контрактом срока оплаты, по день фактической оплаты задолженности включительно. Такая пеня устанавливается контрактом в размере 1/300 действующей на дату уплаты пени ключевой ставки Центрального банка РФ от не уплаченной в срок суммы.</w:t>
      </w:r>
      <w:r>
        <w:rPr>
          <w:bCs/>
        </w:rPr>
      </w:r>
      <w:r>
        <w:rPr>
          <w:bCs/>
        </w:rPr>
      </w:r>
    </w:p>
    <w:p>
      <w:pPr>
        <w:pStyle w:val="831"/>
        <w:jc w:val="both"/>
        <w:rPr>
          <w:bCs/>
        </w:rPr>
      </w:pPr>
      <w:r>
        <w:rPr>
          <w:bCs/>
        </w:rPr>
        <w:t xml:space="preserve">6.5. «Заказчик» освобождается от уплаты неустойки, если докажет, что просрочка исполнения обязательства произошла вследствие обстоятельств непреодолимой силы или по вине другой стороны.  </w:t>
      </w:r>
      <w:r>
        <w:rPr>
          <w:bCs/>
        </w:rPr>
      </w:r>
      <w:r>
        <w:rPr>
          <w:bCs/>
        </w:rPr>
      </w:r>
    </w:p>
    <w:p>
      <w:pPr>
        <w:pStyle w:val="831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Style w:val="831"/>
        <w:jc w:val="center"/>
      </w:pPr>
      <w:r>
        <w:rPr>
          <w:b/>
          <w:bCs/>
          <w:spacing w:val="-1"/>
        </w:rPr>
        <w:t xml:space="preserve">7. Обстоятельства непреодолимой силы</w:t>
      </w:r>
      <w:r/>
    </w:p>
    <w:p>
      <w:pPr>
        <w:pStyle w:val="831"/>
        <w:jc w:val="both"/>
      </w:pPr>
      <w:r/>
      <w:r/>
    </w:p>
    <w:p>
      <w:pPr>
        <w:pStyle w:val="831"/>
        <w:jc w:val="both"/>
      </w:pPr>
      <w:r>
        <w:t xml:space="preserve">7.1.Стороны освобождаются от ответственности за частичное или полное</w:t>
      </w:r>
      <w:r>
        <w:rPr>
          <w:spacing w:val="-2"/>
        </w:rPr>
        <w:t xml:space="preserve"> </w:t>
      </w:r>
      <w:r>
        <w:t xml:space="preserve">неисполнение своих  обязательств по настоящему контракту, если они явились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контракта. </w:t>
      </w:r>
      <w:r/>
    </w:p>
    <w:p>
      <w:pPr>
        <w:pStyle w:val="831"/>
        <w:jc w:val="both"/>
      </w:pPr>
      <w:r>
        <w:t xml:space="preserve">7.2. При возникновении обстоятельств непреодолимой силы, препятствующих исполнению обязательств по настоящему контракту одной из с</w:t>
      </w:r>
      <w:r>
        <w:t xml:space="preserve">торон, она обязана оповестить другую сторону не позднее 15 дней с момента возникновения таких обстоятельств, при этом срок выполнения обязательств по настоящему контракту переносится соразмерно времени, в течение которого действовали такие обстоятельства. </w:t>
      </w:r>
      <w:r/>
    </w:p>
    <w:p>
      <w:pPr>
        <w:pStyle w:val="831"/>
        <w:jc w:val="both"/>
      </w:pPr>
      <w:r/>
      <w:r/>
    </w:p>
    <w:p>
      <w:pPr>
        <w:pStyle w:val="831"/>
        <w:jc w:val="center"/>
      </w:pPr>
      <w:r>
        <w:rPr>
          <w:b/>
          <w:bCs/>
          <w:spacing w:val="-1"/>
        </w:rPr>
        <w:t xml:space="preserve">8. Срок действия  </w:t>
      </w:r>
      <w:r>
        <w:rPr>
          <w:b/>
        </w:rPr>
        <w:t xml:space="preserve">контракта</w:t>
      </w:r>
      <w:r/>
    </w:p>
    <w:p>
      <w:pPr>
        <w:pStyle w:val="831"/>
        <w:jc w:val="both"/>
      </w:pPr>
      <w:r/>
      <w:r/>
    </w:p>
    <w:p>
      <w:pPr>
        <w:pStyle w:val="831"/>
        <w:jc w:val="both"/>
      </w:pPr>
      <w:r>
        <w:t xml:space="preserve">8.1.Настоящий контракт вступает в силу с момента его подписания сторонами и действует  по «31» октября 2026 г, а в части взаимных расчетов, до полного их исполнения. </w:t>
      </w:r>
      <w:r/>
    </w:p>
    <w:p>
      <w:pPr>
        <w:pStyle w:val="831"/>
        <w:jc w:val="both"/>
        <w:rPr>
          <w:b/>
          <w:bCs/>
          <w:spacing w:val="-1"/>
        </w:rPr>
      </w:pPr>
      <w:r>
        <w:t xml:space="preserve">8.2.Настоящий контракт может быть расторгнут по взаимному согласованию сторон, совершенному в письменной форме. </w:t>
      </w:r>
      <w:r>
        <w:rPr>
          <w:b/>
          <w:bCs/>
          <w:spacing w:val="-1"/>
        </w:rPr>
      </w:r>
      <w:r>
        <w:rPr>
          <w:b/>
          <w:bCs/>
          <w:spacing w:val="-1"/>
        </w:rPr>
      </w:r>
    </w:p>
    <w:p>
      <w:pPr>
        <w:pStyle w:val="831"/>
        <w:jc w:val="center"/>
      </w:pPr>
      <w:r>
        <w:rPr>
          <w:b/>
          <w:bCs/>
          <w:spacing w:val="-1"/>
        </w:rPr>
        <w:t xml:space="preserve">9. Разрешение споров, выставление претензий.</w:t>
      </w:r>
      <w:r/>
    </w:p>
    <w:p>
      <w:pPr>
        <w:pStyle w:val="831"/>
        <w:jc w:val="both"/>
      </w:pPr>
      <w:r/>
      <w:r/>
    </w:p>
    <w:p>
      <w:pPr>
        <w:pStyle w:val="831"/>
        <w:jc w:val="both"/>
      </w:pPr>
      <w:r>
        <w:t xml:space="preserve">9.1. При не урегулировании в процессе переговоров спорных вопросов споры разрешаются в судебном порядке, установленном действующим законодательством РФ.</w:t>
      </w:r>
      <w:r/>
    </w:p>
    <w:p>
      <w:pPr>
        <w:pStyle w:val="831"/>
        <w:jc w:val="both"/>
      </w:pPr>
      <w:r>
        <w:t xml:space="preserve">9.2. В случае наличия претензий, споров, разногласий относительно исполнения одной из сторон своих обязательств, друга сторона</w:t>
      </w:r>
      <w:r>
        <w:t xml:space="preserve"> должна в течение 10 дней направить претензию. В отношении всех претензий, направляемых по настоящему контракту, сторона, к которой адресована претензия, должна дать письменный ответ по существу претензии не позднее 10 календарных дней со дня её получения.</w:t>
      </w:r>
      <w:r/>
    </w:p>
    <w:p>
      <w:pPr>
        <w:pStyle w:val="831"/>
        <w:jc w:val="both"/>
        <w:rPr>
          <w:b/>
          <w:bCs/>
          <w:spacing w:val="-1"/>
        </w:rPr>
      </w:pPr>
      <w:r>
        <w:t xml:space="preserve"> </w:t>
      </w:r>
      <w:r>
        <w:rPr>
          <w:b/>
          <w:bCs/>
          <w:spacing w:val="-1"/>
        </w:rPr>
      </w:r>
      <w:r>
        <w:rPr>
          <w:b/>
          <w:bCs/>
          <w:spacing w:val="-1"/>
        </w:rPr>
      </w:r>
    </w:p>
    <w:p>
      <w:pPr>
        <w:pStyle w:val="831"/>
        <w:jc w:val="center"/>
        <w:rPr>
          <w:bCs/>
          <w:spacing w:val="-1"/>
        </w:rPr>
      </w:pPr>
      <w:r>
        <w:rPr>
          <w:b/>
          <w:bCs/>
          <w:spacing w:val="-1"/>
        </w:rPr>
        <w:t xml:space="preserve">10. Заключительные положения.</w:t>
      </w:r>
      <w:r>
        <w:rPr>
          <w:bCs/>
          <w:spacing w:val="-1"/>
        </w:rPr>
      </w:r>
      <w:r>
        <w:rPr>
          <w:bCs/>
          <w:spacing w:val="-1"/>
        </w:rPr>
      </w:r>
    </w:p>
    <w:p>
      <w:pPr>
        <w:pStyle w:val="831"/>
        <w:jc w:val="both"/>
        <w:rPr>
          <w:bCs/>
          <w:spacing w:val="-1"/>
        </w:rPr>
      </w:pPr>
      <w:r>
        <w:rPr>
          <w:bCs/>
          <w:spacing w:val="-1"/>
        </w:rPr>
      </w:r>
      <w:r>
        <w:rPr>
          <w:bCs/>
          <w:spacing w:val="-1"/>
        </w:rPr>
      </w:r>
      <w:r>
        <w:rPr>
          <w:bCs/>
          <w:spacing w:val="-1"/>
        </w:rPr>
      </w:r>
    </w:p>
    <w:p>
      <w:pPr>
        <w:pStyle w:val="831"/>
        <w:jc w:val="both"/>
        <w:rPr>
          <w:bCs/>
          <w:spacing w:val="-1"/>
        </w:rPr>
      </w:pPr>
      <w:r>
        <w:rPr>
          <w:bCs/>
          <w:spacing w:val="-1"/>
        </w:rPr>
        <w:t xml:space="preserve">10.1. Любые изменения и дополнения к настоящему </w:t>
      </w:r>
      <w:r>
        <w:t xml:space="preserve">контракту</w:t>
      </w:r>
      <w:r>
        <w:rPr>
          <w:bCs/>
          <w:spacing w:val="-1"/>
        </w:rPr>
        <w:t xml:space="preserve">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  <w:r>
        <w:rPr>
          <w:bCs/>
          <w:spacing w:val="-1"/>
        </w:rPr>
      </w:r>
      <w:r>
        <w:rPr>
          <w:bCs/>
          <w:spacing w:val="-1"/>
        </w:rPr>
      </w:r>
    </w:p>
    <w:p>
      <w:pPr>
        <w:pStyle w:val="831"/>
        <w:jc w:val="both"/>
        <w:rPr>
          <w:bCs/>
          <w:spacing w:val="-1"/>
        </w:rPr>
      </w:pPr>
      <w:r>
        <w:rPr>
          <w:bCs/>
          <w:spacing w:val="-1"/>
        </w:rPr>
        <w:t xml:space="preserve">10.2. Все уведомления и сообщения должны направляться в письменной форме.</w:t>
      </w:r>
      <w:r>
        <w:rPr>
          <w:bCs/>
          <w:spacing w:val="-1"/>
        </w:rPr>
      </w:r>
      <w:r>
        <w:rPr>
          <w:bCs/>
          <w:spacing w:val="-1"/>
        </w:rPr>
      </w:r>
    </w:p>
    <w:p>
      <w:pPr>
        <w:pStyle w:val="831"/>
        <w:jc w:val="both"/>
        <w:rPr>
          <w:bCs/>
          <w:spacing w:val="-1"/>
        </w:rPr>
      </w:pPr>
      <w:r>
        <w:rPr>
          <w:bCs/>
          <w:spacing w:val="-1"/>
        </w:rPr>
        <w:t xml:space="preserve">10.3. Во всём остальном, что не предусмотрено настоящим </w:t>
      </w:r>
      <w:r>
        <w:t xml:space="preserve">контрактом</w:t>
      </w:r>
      <w:r>
        <w:rPr>
          <w:bCs/>
          <w:spacing w:val="-1"/>
        </w:rPr>
        <w:t xml:space="preserve">, стороны руководствуются действующим законодательством. </w:t>
      </w:r>
      <w:r>
        <w:rPr>
          <w:bCs/>
          <w:spacing w:val="-1"/>
        </w:rPr>
      </w:r>
      <w:r>
        <w:rPr>
          <w:bCs/>
          <w:spacing w:val="-1"/>
        </w:rPr>
      </w:r>
    </w:p>
    <w:p>
      <w:pPr>
        <w:pStyle w:val="831"/>
        <w:jc w:val="both"/>
        <w:rPr>
          <w:bCs/>
          <w:spacing w:val="-6"/>
        </w:rPr>
      </w:pPr>
      <w:r>
        <w:rPr>
          <w:bCs/>
          <w:spacing w:val="-1"/>
        </w:rPr>
        <w:t xml:space="preserve">10.4. Контракт  составлен в двух экземплярах, по одному для каждой из сторон.</w:t>
      </w:r>
      <w:r>
        <w:rPr>
          <w:bCs/>
          <w:spacing w:val="-6"/>
        </w:rPr>
      </w:r>
      <w:r>
        <w:rPr>
          <w:bCs/>
          <w:spacing w:val="-6"/>
        </w:rPr>
      </w:r>
    </w:p>
    <w:p>
      <w:pPr>
        <w:pStyle w:val="831"/>
        <w:jc w:val="both"/>
        <w:rPr>
          <w:bCs/>
          <w:spacing w:val="-6"/>
        </w:rPr>
      </w:pPr>
      <w:r>
        <w:rPr>
          <w:bCs/>
          <w:spacing w:val="-6"/>
        </w:rPr>
      </w:r>
      <w:r>
        <w:rPr>
          <w:bCs/>
          <w:spacing w:val="-6"/>
        </w:rPr>
      </w:r>
      <w:r>
        <w:rPr>
          <w:bCs/>
          <w:spacing w:val="-6"/>
        </w:rPr>
      </w:r>
    </w:p>
    <w:p>
      <w:pPr>
        <w:pStyle w:val="831"/>
        <w:jc w:val="center"/>
        <w:rPr>
          <w:b/>
        </w:rPr>
      </w:pPr>
      <w:r>
        <w:rPr>
          <w:b/>
          <w:bCs/>
          <w:spacing w:val="-4"/>
        </w:rPr>
        <w:t xml:space="preserve">11. Реквизиты сторон:</w:t>
      </w:r>
      <w:r>
        <w:rPr>
          <w:b/>
        </w:rPr>
      </w:r>
      <w:r>
        <w:rPr>
          <w:b/>
        </w:rPr>
      </w:r>
    </w:p>
    <w:tbl>
      <w:tblPr>
        <w:tblW w:w="0" w:type="auto"/>
        <w:tblInd w:w="26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50"/>
        <w:gridCol w:w="4886"/>
      </w:tblGrid>
      <w:tr>
        <w:tblPrEx/>
        <w:trPr>
          <w:trHeight w:val="127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0" w:type="dxa"/>
            <w:vAlign w:val="top"/>
            <w:textDirection w:val="lrTb"/>
            <w:noWrap w:val="false"/>
          </w:tcPr>
          <w:p>
            <w:pPr>
              <w:pStyle w:val="831"/>
              <w:rPr>
                <w:rFonts w:eastAsia="Courier New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</w:t>
            </w:r>
            <w:r>
              <w:rPr>
                <w:b/>
                <w:bCs/>
                <w:iCs/>
                <w:sz w:val="20"/>
                <w:szCs w:val="20"/>
              </w:rPr>
              <w:t xml:space="preserve">аказчик:</w:t>
            </w:r>
            <w:r>
              <w:rPr>
                <w:rFonts w:eastAsia="Courier New"/>
                <w:sz w:val="20"/>
                <w:szCs w:val="20"/>
              </w:rPr>
            </w:r>
            <w:r>
              <w:rPr>
                <w:rFonts w:eastAsia="Courier New"/>
                <w:sz w:val="20"/>
                <w:szCs w:val="20"/>
              </w:rPr>
            </w:r>
          </w:p>
          <w:p>
            <w:pPr>
              <w:pStyle w:val="881"/>
              <w:ind w:right="0"/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ФКУ «ГБ МСЭ по Хабаровскому краю»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pStyle w:val="881"/>
              <w:ind w:right="0"/>
              <w:widowControl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Минтруда России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680000, Хабаровский край, г. Хабаровск,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Фрунзе, д. 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тел.: 8 (4212) 31 29 38, 31-49-83, 32-53-94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эл. почта: </w:t>
            </w:r>
            <w:r>
              <w:rPr>
                <w:sz w:val="20"/>
                <w:szCs w:val="20"/>
                <w:lang w:val="en-US"/>
              </w:rPr>
              <w:t xml:space="preserve">urist</w:t>
            </w:r>
            <w:r>
              <w:rPr>
                <w:sz w:val="20"/>
                <w:szCs w:val="20"/>
              </w:rPr>
              <w:t xml:space="preserve">@</w:t>
            </w:r>
            <w:r>
              <w:rPr>
                <w:sz w:val="20"/>
                <w:szCs w:val="20"/>
                <w:lang w:val="en-US"/>
              </w:rPr>
              <w:t xml:space="preserve">mse</w:t>
            </w:r>
            <w:r>
              <w:rPr>
                <w:sz w:val="20"/>
                <w:szCs w:val="20"/>
              </w:rPr>
              <w:t xml:space="preserve"> 27.</w:t>
            </w:r>
            <w:r>
              <w:rPr>
                <w:sz w:val="20"/>
                <w:szCs w:val="20"/>
                <w:lang w:val="en-US"/>
              </w:rPr>
              <w:t xml:space="preserve">ru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ИНН/КПП 2721122030/272101001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66"/>
              <w:ind w:right="4"/>
              <w:jc w:val="left"/>
              <w:spacing w:line="232" w:lineRule="auto"/>
              <w:tabs>
                <w:tab w:val="left" w:pos="3686" w:leader="none"/>
              </w:tabs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БИК 010507002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66"/>
              <w:ind w:right="4"/>
              <w:jc w:val="left"/>
              <w:spacing w:line="232" w:lineRule="auto"/>
              <w:rPr>
                <w:spacing w:val="-4"/>
              </w:rPr>
            </w:pPr>
            <w:r>
              <w:rPr>
                <w:b w:val="0"/>
                <w:bCs w:val="0"/>
                <w:spacing w:val="-4"/>
                <w:sz w:val="20"/>
                <w:szCs w:val="20"/>
              </w:rPr>
              <w:t xml:space="preserve">ОКЦ № 1 ДГУ Банка России//УФК по Приморскому краю г. Владивосток</w:t>
            </w:r>
            <w:r>
              <w:rPr>
                <w:b w:val="0"/>
                <w:bCs w:val="0"/>
                <w:spacing w:val="-4"/>
                <w:sz w:val="20"/>
                <w:szCs w:val="20"/>
              </w:rPr>
            </w:r>
            <w:r>
              <w:rPr>
                <w:spacing w:val="-4"/>
              </w:rPr>
            </w:r>
          </w:p>
          <w:p>
            <w:pPr>
              <w:pStyle w:val="866"/>
              <w:ind w:right="4"/>
              <w:jc w:val="left"/>
              <w:spacing w:line="232" w:lineRule="auto"/>
              <w:rPr>
                <w:spacing w:val="-4"/>
              </w:rPr>
            </w:pPr>
            <w:r>
              <w:rPr>
                <w:b w:val="0"/>
                <w:bCs w:val="0"/>
                <w:spacing w:val="-4"/>
                <w:sz w:val="20"/>
                <w:szCs w:val="20"/>
              </w:rPr>
              <w:t xml:space="preserve">УФК по Приморскому краю (ФКУ «ГБ МСЭ по Хабаровскому краю» Минтруда России, л/с 03221А74300)</w:t>
            </w:r>
            <w:r>
              <w:rPr>
                <w:b w:val="0"/>
                <w:bCs w:val="0"/>
                <w:spacing w:val="-4"/>
                <w:sz w:val="20"/>
                <w:szCs w:val="20"/>
              </w:rPr>
            </w:r>
            <w:r>
              <w:rPr>
                <w:spacing w:val="-4"/>
              </w:rPr>
            </w:r>
          </w:p>
          <w:p>
            <w:pPr>
              <w:pStyle w:val="866"/>
              <w:ind w:right="4"/>
              <w:jc w:val="left"/>
              <w:spacing w:line="232" w:lineRule="auto"/>
              <w:rPr>
                <w:spacing w:val="-4"/>
              </w:rPr>
            </w:pPr>
            <w:r>
              <w:rPr>
                <w:b w:val="0"/>
                <w:bCs w:val="0"/>
                <w:spacing w:val="-4"/>
                <w:sz w:val="20"/>
                <w:szCs w:val="20"/>
              </w:rPr>
              <w:t xml:space="preserve">Банковский счет: 40102810545370000012</w:t>
            </w:r>
            <w:r>
              <w:rPr>
                <w:b w:val="0"/>
                <w:bCs w:val="0"/>
                <w:spacing w:val="-4"/>
                <w:sz w:val="20"/>
                <w:szCs w:val="20"/>
              </w:rPr>
            </w:r>
            <w:r>
              <w:rPr>
                <w:spacing w:val="-4"/>
              </w:rPr>
            </w:r>
          </w:p>
          <w:p>
            <w:pPr>
              <w:pStyle w:val="83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pacing w:val="-4"/>
                <w:sz w:val="20"/>
                <w:szCs w:val="20"/>
              </w:rPr>
              <w:t xml:space="preserve">Казначейский счет: 03211643000000012006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И.о. руководителя – главного эксперта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по медико-социальной экспертизе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1"/>
              <w:ind w:right="-4"/>
              <w:tabs>
                <w:tab w:val="left" w:pos="6120" w:leader="none"/>
              </w:tabs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 / Е.Г. Иваненко /  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  <w:p>
            <w:pPr>
              <w:pStyle w:val="831"/>
              <w:ind w:right="-4"/>
              <w:tabs>
                <w:tab w:val="left" w:pos="6120" w:leader="none"/>
              </w:tabs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  <w:t xml:space="preserve">(подпись)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831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</w:rPr>
              <w:t xml:space="preserve">Исполнитель: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ind w:right="0"/>
              <w:jc w:val="both"/>
              <w:spacing w:before="0" w:after="0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ind w:right="0"/>
              <w:jc w:val="both"/>
              <w:spacing w:before="0" w:after="0"/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  <w:t xml:space="preserve">________________ /                   /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</w:r>
          </w:p>
          <w:p>
            <w:pPr>
              <w:pStyle w:val="866"/>
              <w:ind w:right="0"/>
              <w:jc w:val="both"/>
              <w:spacing w:before="0" w:after="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0"/>
                <w:szCs w:val="20"/>
              </w:rPr>
              <w:t xml:space="preserve">М.П.            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  <w:p>
            <w:pPr>
              <w:pStyle w:val="831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</w:tr>
    </w:tbl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6372" w:right="0"/>
        <w:widowControl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31"/>
        <w:ind w:left="6372" w:right="0"/>
        <w:widowControl/>
        <w:rPr>
          <w:b/>
          <w:bCs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6372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1"/>
        <w:ind w:left="0" w:right="0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539" w:right="454" w:bottom="360" w:left="120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 Devanagari">
    <w:panose1 w:val="020B0502040504020204"/>
  </w:font>
  <w:font w:name="Droid Sans Devanagari">
    <w:panose1 w:val="02000603000000000000"/>
  </w:font>
  <w:font w:name="Tahoma">
    <w:panose1 w:val="020B0604030504040204"/>
  </w:font>
  <w:font w:name="Liberation Serif">
    <w:panose1 w:val="02020603050405020304"/>
  </w:font>
  <w:font w:name="Calibri Light">
    <w:panose1 w:val="020F0502020204030204"/>
  </w:font>
  <w:font w:name="Times New Roman">
    <w:panose1 w:val="02020603050405020304"/>
  </w:font>
  <w:font w:name="Arial Unicode MS">
    <w:panose1 w:val="020B0506020203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83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link w:val="832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character" w:styleId="659">
    <w:name w:val="Heading 3 Char"/>
    <w:link w:val="833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character" w:styleId="686">
    <w:name w:val="Caption Char"/>
    <w:link w:val="868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1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1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1"/>
    <w:next w:val="831"/>
    <w:uiPriority w:val="99"/>
    <w:unhideWhenUsed/>
    <w:pPr>
      <w:spacing w:after="0" w:afterAutospacing="0"/>
    </w:pPr>
  </w:style>
  <w:style w:type="table" w:styleId="83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1" w:default="1">
    <w:name w:val="Normal"/>
    <w:next w:val="831"/>
    <w:link w:val="831"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32">
    <w:name w:val="Heading 1"/>
    <w:basedOn w:val="831"/>
    <w:next w:val="831"/>
    <w:link w:val="831"/>
    <w:pPr>
      <w:numPr>
        <w:ilvl w:val="0"/>
        <w:numId w:val="1"/>
      </w:numPr>
      <w:ind w:left="360" w:right="0" w:firstLine="0"/>
      <w:jc w:val="center"/>
      <w:keepNext/>
      <w:widowControl/>
      <w:outlineLvl w:val="0"/>
    </w:pPr>
    <w:rPr>
      <w:b/>
      <w:bCs/>
      <w:sz w:val="28"/>
      <w:szCs w:val="24"/>
    </w:rPr>
  </w:style>
  <w:style w:type="paragraph" w:styleId="833">
    <w:name w:val="Heading 3"/>
    <w:basedOn w:val="831"/>
    <w:next w:val="831"/>
    <w:link w:val="831"/>
    <w:pPr>
      <w:numPr>
        <w:ilvl w:val="2"/>
        <w:numId w:val="1"/>
      </w:numPr>
      <w:keepNext/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834">
    <w:name w:val="WW8Num2z0"/>
    <w:next w:val="834"/>
    <w:link w:val="831"/>
  </w:style>
  <w:style w:type="character" w:styleId="835">
    <w:name w:val="WW8Num3z0"/>
    <w:next w:val="835"/>
    <w:link w:val="831"/>
    <w:rPr>
      <w:b w:val="0"/>
      <w:i w:val="0"/>
      <w:sz w:val="20"/>
    </w:rPr>
  </w:style>
  <w:style w:type="character" w:styleId="836">
    <w:name w:val="Основной шрифт абзаца"/>
    <w:next w:val="836"/>
    <w:link w:val="831"/>
  </w:style>
  <w:style w:type="character" w:styleId="837">
    <w:name w:val="WW8Num1z0"/>
    <w:next w:val="837"/>
    <w:link w:val="831"/>
    <w:rPr>
      <w:rFonts w:ascii="Times New Roman" w:hAnsi="Times New Roman" w:cs="Times New Roman"/>
    </w:rPr>
  </w:style>
  <w:style w:type="character" w:styleId="838">
    <w:name w:val="WW8Num4z0"/>
    <w:next w:val="838"/>
    <w:link w:val="831"/>
    <w:rPr>
      <w:b w:val="0"/>
    </w:rPr>
  </w:style>
  <w:style w:type="character" w:styleId="839">
    <w:name w:val="WW8Num5z0"/>
    <w:next w:val="839"/>
    <w:link w:val="831"/>
    <w:rPr>
      <w:rFonts w:ascii="Times New Roman" w:hAnsi="Times New Roman" w:cs="Times New Roman"/>
    </w:rPr>
  </w:style>
  <w:style w:type="character" w:styleId="840">
    <w:name w:val="WW8Num5z1"/>
    <w:next w:val="840"/>
    <w:link w:val="831"/>
  </w:style>
  <w:style w:type="character" w:styleId="841">
    <w:name w:val="WW8Num5z2"/>
    <w:next w:val="841"/>
    <w:link w:val="831"/>
  </w:style>
  <w:style w:type="character" w:styleId="842">
    <w:name w:val="WW8Num5z3"/>
    <w:next w:val="842"/>
    <w:link w:val="831"/>
  </w:style>
  <w:style w:type="character" w:styleId="843">
    <w:name w:val="WW8Num5z4"/>
    <w:next w:val="843"/>
    <w:link w:val="831"/>
  </w:style>
  <w:style w:type="character" w:styleId="844">
    <w:name w:val="WW8Num5z5"/>
    <w:next w:val="844"/>
    <w:link w:val="831"/>
  </w:style>
  <w:style w:type="character" w:styleId="845">
    <w:name w:val="WW8Num5z6"/>
    <w:next w:val="845"/>
    <w:link w:val="831"/>
  </w:style>
  <w:style w:type="character" w:styleId="846">
    <w:name w:val="WW8Num5z7"/>
    <w:next w:val="846"/>
    <w:link w:val="831"/>
  </w:style>
  <w:style w:type="character" w:styleId="847">
    <w:name w:val="WW8Num5z8"/>
    <w:next w:val="847"/>
    <w:link w:val="831"/>
  </w:style>
  <w:style w:type="character" w:styleId="848">
    <w:name w:val="WW8Num6z0"/>
    <w:next w:val="848"/>
    <w:link w:val="831"/>
  </w:style>
  <w:style w:type="character" w:styleId="849">
    <w:name w:val="WW8Num7z0"/>
    <w:next w:val="849"/>
    <w:link w:val="831"/>
  </w:style>
  <w:style w:type="character" w:styleId="850">
    <w:name w:val="WW8Num8z0"/>
    <w:next w:val="850"/>
    <w:link w:val="831"/>
    <w:rPr>
      <w:rFonts w:ascii="Times New Roman" w:hAnsi="Times New Roman" w:cs="Times New Roman"/>
    </w:rPr>
  </w:style>
  <w:style w:type="character" w:styleId="851">
    <w:name w:val="WW8Num9z0"/>
    <w:next w:val="851"/>
    <w:link w:val="831"/>
    <w:rPr>
      <w:rFonts w:ascii="Times New Roman" w:hAnsi="Times New Roman" w:cs="Times New Roman"/>
    </w:rPr>
  </w:style>
  <w:style w:type="character" w:styleId="852">
    <w:name w:val="WW8Num10z0"/>
    <w:next w:val="852"/>
    <w:link w:val="831"/>
  </w:style>
  <w:style w:type="character" w:styleId="853">
    <w:name w:val="WW8Num11z0"/>
    <w:next w:val="853"/>
    <w:link w:val="831"/>
    <w:rPr>
      <w:rFonts w:ascii="Times New Roman" w:hAnsi="Times New Roman" w:cs="Times New Roman"/>
      <w:b w:val="0"/>
    </w:rPr>
  </w:style>
  <w:style w:type="character" w:styleId="854">
    <w:name w:val="WW8Num12z0"/>
    <w:next w:val="854"/>
    <w:link w:val="831"/>
  </w:style>
  <w:style w:type="character" w:styleId="855">
    <w:name w:val="WW8Num13z0"/>
    <w:next w:val="855"/>
    <w:link w:val="831"/>
  </w:style>
  <w:style w:type="character" w:styleId="856">
    <w:name w:val="Основной шрифт абзаца1"/>
    <w:next w:val="856"/>
    <w:link w:val="831"/>
  </w:style>
  <w:style w:type="character" w:styleId="857">
    <w:name w:val="Текст выноски Знак"/>
    <w:next w:val="857"/>
    <w:link w:val="831"/>
    <w:rPr>
      <w:rFonts w:ascii="Tahoma" w:hAnsi="Tahoma" w:cs="Tahoma"/>
      <w:sz w:val="16"/>
      <w:szCs w:val="16"/>
    </w:rPr>
  </w:style>
  <w:style w:type="character" w:styleId="858">
    <w:name w:val="Основной текст Знак"/>
    <w:next w:val="858"/>
    <w:link w:val="831"/>
    <w:rPr>
      <w:b/>
      <w:bCs/>
      <w:sz w:val="32"/>
      <w:szCs w:val="24"/>
    </w:rPr>
  </w:style>
  <w:style w:type="character" w:styleId="859">
    <w:name w:val="Заголовок 1 Знак"/>
    <w:next w:val="859"/>
    <w:link w:val="831"/>
    <w:rPr>
      <w:b/>
      <w:bCs/>
      <w:sz w:val="28"/>
      <w:szCs w:val="24"/>
    </w:rPr>
  </w:style>
  <w:style w:type="character" w:styleId="860">
    <w:name w:val="Hyperlink"/>
    <w:next w:val="860"/>
    <w:link w:val="831"/>
    <w:rPr>
      <w:color w:val="0000ff"/>
      <w:u w:val="single"/>
    </w:rPr>
  </w:style>
  <w:style w:type="character" w:styleId="861">
    <w:name w:val="Заголовок 3 Знак"/>
    <w:next w:val="861"/>
    <w:link w:val="831"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862">
    <w:name w:val="Font Style18"/>
    <w:next w:val="862"/>
    <w:link w:val="831"/>
    <w:rPr>
      <w:rFonts w:ascii="Times New Roman" w:hAnsi="Times New Roman" w:cs="Times New Roman"/>
      <w:sz w:val="26"/>
      <w:szCs w:val="26"/>
    </w:rPr>
  </w:style>
  <w:style w:type="character" w:styleId="863">
    <w:name w:val="Font Style21"/>
    <w:next w:val="863"/>
    <w:link w:val="831"/>
    <w:rPr>
      <w:rFonts w:ascii="Times New Roman" w:hAnsi="Times New Roman" w:cs="Times New Roman"/>
      <w:b/>
      <w:bCs/>
      <w:sz w:val="24"/>
      <w:szCs w:val="24"/>
    </w:rPr>
  </w:style>
  <w:style w:type="character" w:styleId="864">
    <w:name w:val="Font Style22"/>
    <w:next w:val="864"/>
    <w:link w:val="831"/>
    <w:rPr>
      <w:rFonts w:ascii="Times New Roman" w:hAnsi="Times New Roman" w:cs="Times New Roman"/>
      <w:sz w:val="26"/>
      <w:szCs w:val="26"/>
    </w:rPr>
  </w:style>
  <w:style w:type="paragraph" w:styleId="865">
    <w:name w:val="Заголовок"/>
    <w:basedOn w:val="831"/>
    <w:next w:val="866"/>
    <w:link w:val="831"/>
    <w:pPr>
      <w:jc w:val="center"/>
      <w:widowControl/>
    </w:pPr>
    <w:rPr>
      <w:b/>
      <w:bCs/>
      <w:sz w:val="36"/>
      <w:szCs w:val="24"/>
    </w:rPr>
  </w:style>
  <w:style w:type="paragraph" w:styleId="866">
    <w:name w:val="Body Text"/>
    <w:basedOn w:val="831"/>
    <w:next w:val="866"/>
    <w:link w:val="831"/>
    <w:pPr>
      <w:widowControl/>
    </w:pPr>
    <w:rPr>
      <w:b/>
      <w:bCs/>
      <w:sz w:val="32"/>
      <w:szCs w:val="24"/>
    </w:rPr>
  </w:style>
  <w:style w:type="paragraph" w:styleId="867">
    <w:name w:val="List"/>
    <w:basedOn w:val="866"/>
    <w:next w:val="867"/>
    <w:link w:val="831"/>
    <w:rPr>
      <w:rFonts w:ascii="Times New Roman" w:hAnsi="Times New Roman" w:cs="Droid Sans Devanagari"/>
    </w:rPr>
  </w:style>
  <w:style w:type="paragraph" w:styleId="868">
    <w:name w:val="Caption"/>
    <w:basedOn w:val="831"/>
    <w:next w:val="868"/>
    <w:link w:val="83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69">
    <w:name w:val="Указатель"/>
    <w:basedOn w:val="831"/>
    <w:next w:val="869"/>
    <w:link w:val="831"/>
    <w:pPr>
      <w:suppressLineNumbers/>
    </w:pPr>
    <w:rPr>
      <w:rFonts w:ascii="PT Astra Serif" w:hAnsi="PT Astra Serif" w:cs="Noto Sans Devanagari"/>
    </w:rPr>
  </w:style>
  <w:style w:type="paragraph" w:styleId="870">
    <w:name w:val="caption1"/>
    <w:basedOn w:val="831"/>
    <w:next w:val="870"/>
    <w:link w:val="83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71">
    <w:name w:val="caption11"/>
    <w:basedOn w:val="831"/>
    <w:next w:val="871"/>
    <w:link w:val="83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72">
    <w:name w:val="caption111"/>
    <w:basedOn w:val="831"/>
    <w:next w:val="872"/>
    <w:link w:val="83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73">
    <w:name w:val="Название объекта"/>
    <w:basedOn w:val="831"/>
    <w:next w:val="873"/>
    <w:link w:val="831"/>
    <w:pPr>
      <w:spacing w:before="120" w:after="120"/>
      <w:suppressLineNumbers/>
    </w:pPr>
    <w:rPr>
      <w:rFonts w:ascii="Times New Roman" w:hAnsi="Times New Roman" w:cs="Droid Sans Devanagari"/>
      <w:i/>
      <w:iCs/>
      <w:sz w:val="24"/>
      <w:szCs w:val="24"/>
    </w:rPr>
  </w:style>
  <w:style w:type="paragraph" w:styleId="874">
    <w:name w:val="Указатель1"/>
    <w:basedOn w:val="831"/>
    <w:next w:val="874"/>
    <w:link w:val="831"/>
    <w:pPr>
      <w:suppressLineNumbers/>
    </w:pPr>
    <w:rPr>
      <w:rFonts w:ascii="Times New Roman" w:hAnsi="Times New Roman" w:cs="Droid Sans Devanagari"/>
      <w:lang w:val="en-US" w:bidi="en-US"/>
    </w:rPr>
  </w:style>
  <w:style w:type="paragraph" w:styleId="875">
    <w:name w:val="Body Text Indent"/>
    <w:basedOn w:val="831"/>
    <w:next w:val="875"/>
    <w:link w:val="831"/>
    <w:pPr>
      <w:ind w:left="38" w:right="0" w:hanging="38"/>
      <w:jc w:val="both"/>
      <w:spacing w:before="312" w:after="0" w:line="322" w:lineRule="exact"/>
      <w:shd w:val="clear" w:color="auto" w:fill="ffffff"/>
    </w:pPr>
    <w:rPr>
      <w:bCs/>
      <w:sz w:val="28"/>
      <w:szCs w:val="28"/>
    </w:rPr>
  </w:style>
  <w:style w:type="paragraph" w:styleId="876">
    <w:name w:val="Основной текст 21"/>
    <w:basedOn w:val="831"/>
    <w:next w:val="876"/>
    <w:link w:val="831"/>
    <w:pPr>
      <w:jc w:val="both"/>
      <w:spacing w:line="322" w:lineRule="exact"/>
      <w:shd w:val="clear" w:color="auto" w:fill="ffffff"/>
    </w:pPr>
    <w:rPr>
      <w:color w:val="000000"/>
      <w:spacing w:val="-6"/>
      <w:sz w:val="28"/>
      <w:szCs w:val="28"/>
    </w:rPr>
  </w:style>
  <w:style w:type="paragraph" w:styleId="877">
    <w:name w:val="Основной текст 31"/>
    <w:basedOn w:val="831"/>
    <w:next w:val="877"/>
    <w:link w:val="831"/>
    <w:pPr>
      <w:jc w:val="both"/>
    </w:pPr>
    <w:rPr>
      <w:sz w:val="22"/>
    </w:rPr>
  </w:style>
  <w:style w:type="paragraph" w:styleId="878">
    <w:name w:val="Текст выноски"/>
    <w:basedOn w:val="831"/>
    <w:next w:val="878"/>
    <w:link w:val="831"/>
    <w:rPr>
      <w:rFonts w:ascii="Tahoma" w:hAnsi="Tahoma" w:cs="Tahoma"/>
      <w:sz w:val="16"/>
      <w:szCs w:val="16"/>
    </w:rPr>
  </w:style>
  <w:style w:type="paragraph" w:styleId="879">
    <w:name w:val="Содержимое таблицы"/>
    <w:basedOn w:val="831"/>
    <w:next w:val="879"/>
    <w:link w:val="831"/>
    <w:pPr>
      <w:widowControl w:val="off"/>
      <w:suppressLineNumbers/>
    </w:pPr>
  </w:style>
  <w:style w:type="paragraph" w:styleId="880">
    <w:name w:val="Заголовок таблицы"/>
    <w:basedOn w:val="879"/>
    <w:next w:val="880"/>
    <w:link w:val="831"/>
    <w:pPr>
      <w:jc w:val="center"/>
      <w:suppressLineNumbers/>
    </w:pPr>
    <w:rPr>
      <w:b/>
      <w:bCs/>
    </w:rPr>
  </w:style>
  <w:style w:type="paragraph" w:styleId="881">
    <w:name w:val="ConsNonformat"/>
    <w:next w:val="881"/>
    <w:link w:val="831"/>
    <w:pPr>
      <w:ind w:left="0" w:right="19772" w:firstLine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882">
    <w:name w:val="Text body"/>
    <w:basedOn w:val="831"/>
    <w:next w:val="882"/>
    <w:link w:val="831"/>
    <w:pPr>
      <w:spacing w:before="0" w:after="120"/>
    </w:pPr>
    <w:rPr>
      <w:color w:val="000000"/>
      <w:sz w:val="24"/>
    </w:rPr>
  </w:style>
  <w:style w:type="paragraph" w:styleId="883">
    <w:name w:val="Содержимое врезки"/>
    <w:basedOn w:val="831"/>
    <w:next w:val="883"/>
    <w:link w:val="831"/>
  </w:style>
  <w:style w:type="character" w:styleId="884" w:default="1">
    <w:name w:val="Default Paragraph Font"/>
    <w:uiPriority w:val="1"/>
    <w:semiHidden/>
    <w:unhideWhenUsed/>
  </w:style>
  <w:style w:type="numbering" w:styleId="88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Офис1</dc:creator>
  <cp:lastModifiedBy>Kudryavtseva-EL</cp:lastModifiedBy>
  <cp:revision>16</cp:revision>
  <dcterms:created xsi:type="dcterms:W3CDTF">2025-07-18T05:21:00Z</dcterms:created>
  <dcterms:modified xsi:type="dcterms:W3CDTF">2026-08-03T02:25:49Z</dcterms:modified>
</cp:coreProperties>
</file>