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0"/>
          <w:szCs w:val="20"/>
        </w:rPr>
      </w:pPr>
      <w:r>
        <w:rPr>
          <w:b/>
          <w:sz w:val="20"/>
          <w:szCs w:val="20"/>
        </w:rPr>
      </w:r>
    </w:p>
    <w:p>
      <w:pPr>
        <w:pStyle w:val="Normal"/>
        <w:jc w:val="center"/>
        <w:rPr>
          <w:b/>
          <w:sz w:val="20"/>
          <w:szCs w:val="20"/>
        </w:rPr>
      </w:pPr>
      <w:r>
        <w:rPr>
          <w:b/>
          <w:sz w:val="20"/>
          <w:szCs w:val="20"/>
        </w:rPr>
        <w:t>ДОГОВОР № 601</w:t>
      </w:r>
    </w:p>
    <w:p>
      <w:pPr>
        <w:pStyle w:val="Normal"/>
        <w:jc w:val="center"/>
        <w:rPr>
          <w:b/>
          <w:sz w:val="20"/>
          <w:szCs w:val="20"/>
        </w:rPr>
      </w:pPr>
      <w:r>
        <w:rPr>
          <w:b/>
          <w:sz w:val="20"/>
          <w:szCs w:val="20"/>
        </w:rPr>
      </w:r>
    </w:p>
    <w:p>
      <w:pPr>
        <w:pStyle w:val="Normal"/>
        <w:jc w:val="center"/>
        <w:rPr/>
      </w:pPr>
      <w:r>
        <w:rPr>
          <w:sz w:val="20"/>
          <w:szCs w:val="20"/>
        </w:rPr>
        <w:t>г. Алексин</w:t>
        <w:tab/>
        <w:t xml:space="preserve">    </w:t>
        <w:tab/>
        <w:tab/>
        <w:tab/>
        <w:tab/>
        <w:tab/>
        <w:t xml:space="preserve">   </w:t>
        <w:tab/>
        <w:tab/>
        <w:t xml:space="preserve">   </w:t>
        <w:tab/>
        <w:t xml:space="preserve">       «___» сентября 2026 года</w:t>
      </w:r>
    </w:p>
    <w:p>
      <w:pPr>
        <w:pStyle w:val="Normal"/>
        <w:rPr>
          <w:sz w:val="20"/>
          <w:szCs w:val="20"/>
        </w:rPr>
      </w:pPr>
      <w:r>
        <w:rPr>
          <w:sz w:val="20"/>
          <w:szCs w:val="20"/>
        </w:rPr>
      </w:r>
    </w:p>
    <w:p>
      <w:pPr>
        <w:pStyle w:val="Normal"/>
        <w:ind w:firstLine="709" w:right="0"/>
        <w:jc w:val="both"/>
        <w:rPr>
          <w:sz w:val="20"/>
          <w:szCs w:val="20"/>
        </w:rPr>
      </w:pPr>
      <w:r>
        <w:rPr>
          <w:b/>
          <w:bCs/>
          <w:sz w:val="20"/>
          <w:szCs w:val="20"/>
        </w:rPr>
        <w:t>Федеральное государственное бюджетное учреждение «Республиканская учебно-тренировочная база «Ока» г. Алексин»</w:t>
      </w:r>
      <w:r>
        <w:rPr>
          <w:sz w:val="20"/>
          <w:szCs w:val="20"/>
        </w:rPr>
        <w:t xml:space="preserve">, именуемое в дальнейшем «Заказчик», в лице Директора Сидоркина Ивана Александровича, действующего на основании Устава, с одной стороны, и </w:t>
      </w:r>
    </w:p>
    <w:p>
      <w:pPr>
        <w:pStyle w:val="Normal"/>
        <w:widowControl w:val="false"/>
        <w:autoSpaceDE w:val="false"/>
        <w:ind w:firstLine="720" w:right="0"/>
        <w:jc w:val="both"/>
        <w:rPr/>
      </w:pPr>
      <w:r>
        <w:rPr>
          <w:b/>
          <w:bCs/>
          <w:sz w:val="20"/>
          <w:szCs w:val="20"/>
        </w:rPr>
        <w:t>_________</w:t>
      </w:r>
      <w:r>
        <w:rPr>
          <w:sz w:val="20"/>
          <w:szCs w:val="20"/>
        </w:rPr>
        <w:t xml:space="preserve">, именуемое в дальнейшем «Подрядчик», в лице _________, действующего на ___________., с другой стороны, вместе именуемые в дальнейшем "Стороны", с в соответствии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2">
        <w:r>
          <w:rPr>
            <w:rStyle w:val="Hyperlink"/>
            <w:sz w:val="20"/>
            <w:szCs w:val="20"/>
          </w:rPr>
          <w:t>Федеральный закон</w:t>
        </w:r>
      </w:hyperlink>
      <w:r>
        <w:rPr>
          <w:sz w:val="20"/>
          <w:szCs w:val="20"/>
        </w:rPr>
        <w:t xml:space="preserve"> № 44-ФЗ), заключили настоящий договор (далее - Договор) о нижеследующем.</w:t>
      </w:r>
    </w:p>
    <w:p>
      <w:pPr>
        <w:pStyle w:val="Normal"/>
        <w:numPr>
          <w:ilvl w:val="0"/>
          <w:numId w:val="1"/>
        </w:numPr>
        <w:tabs>
          <w:tab w:val="clear" w:pos="708"/>
          <w:tab w:val="left" w:pos="284" w:leader="none"/>
        </w:tabs>
        <w:spacing w:before="240" w:after="120"/>
        <w:ind w:firstLine="17" w:left="0" w:right="0"/>
        <w:jc w:val="center"/>
        <w:rPr>
          <w:b/>
          <w:sz w:val="20"/>
          <w:szCs w:val="20"/>
        </w:rPr>
      </w:pPr>
      <w:r>
        <w:rPr>
          <w:b/>
          <w:sz w:val="20"/>
          <w:szCs w:val="20"/>
        </w:rPr>
        <w:t>ПРЕДМЕТ И СРОК ДОГОВОРА</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Заказчик поручает, а Подрядчик обязуется выполнить работы по определению места повреждения и ремонту кабельной линии 10кВ, согласно Приложению № 1 к настоящему Договору, а Заказчик обязуется принять и оплатить выполненные Подрядчиком работы.</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Работы, указанные в п. 1.1 настоящего Договора выполняются по адресу: Тульская область, г. Алексин, ул. Чехова, д.21.</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 xml:space="preserve">Начало выполнения работ – с даты заключения контракта </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Срок выполнения работ –   до 15.09.2026 г. включительно.</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Подрядчик имеет право выполнить работы досрочно.</w:t>
      </w:r>
    </w:p>
    <w:p>
      <w:pPr>
        <w:pStyle w:val="Normal"/>
        <w:tabs>
          <w:tab w:val="clear" w:pos="708"/>
          <w:tab w:val="left" w:pos="3245" w:leader="none"/>
          <w:tab w:val="left" w:pos="4521" w:leader="none"/>
        </w:tabs>
        <w:rPr>
          <w:sz w:val="20"/>
          <w:szCs w:val="20"/>
        </w:rPr>
      </w:pPr>
      <w:r>
        <w:rPr>
          <w:sz w:val="20"/>
          <w:szCs w:val="20"/>
        </w:rPr>
        <w:t xml:space="preserve">          </w:t>
      </w:r>
      <w:r>
        <w:rPr>
          <w:sz w:val="20"/>
          <w:szCs w:val="20"/>
        </w:rPr>
        <w:t xml:space="preserve">1.6.   ИКЗ: </w:t>
      </w:r>
      <w:hyperlink r:id="rId3" w:tgtFrame="_blank">
        <w:r>
          <w:rPr>
            <w:rStyle w:val="Hyperlink"/>
            <w:sz w:val="20"/>
            <w:szCs w:val="20"/>
          </w:rPr>
          <w:t>261711102107071110100100090000000244</w:t>
        </w:r>
      </w:hyperlink>
      <w:r>
        <w:rPr>
          <w:sz w:val="20"/>
          <w:szCs w:val="20"/>
        </w:rPr>
        <w:t xml:space="preserve">   </w:t>
      </w:r>
    </w:p>
    <w:p>
      <w:pPr>
        <w:pStyle w:val="Normal"/>
        <w:numPr>
          <w:ilvl w:val="0"/>
          <w:numId w:val="1"/>
        </w:numPr>
        <w:tabs>
          <w:tab w:val="clear" w:pos="708"/>
          <w:tab w:val="left" w:pos="284" w:leader="none"/>
        </w:tabs>
        <w:spacing w:before="240" w:after="120"/>
        <w:ind w:firstLine="17" w:left="0" w:right="0"/>
        <w:jc w:val="center"/>
        <w:rPr>
          <w:b/>
          <w:sz w:val="20"/>
          <w:szCs w:val="20"/>
        </w:rPr>
      </w:pPr>
      <w:r>
        <w:rPr>
          <w:b/>
          <w:sz w:val="20"/>
          <w:szCs w:val="20"/>
        </w:rPr>
        <w:t>СТОИМОСТЬ РАБОТ И ПОРЯДОК ОПЛАТЫ</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 xml:space="preserve">Стоимость работ по настоящему Договору определяется в Приложении №1 и составляет _____ рублей (_______),НДС облагается (не облагается) </w:t>
      </w:r>
    </w:p>
    <w:p>
      <w:pPr>
        <w:pStyle w:val="Normal"/>
        <w:numPr>
          <w:ilvl w:val="1"/>
          <w:numId w:val="1"/>
        </w:numPr>
        <w:tabs>
          <w:tab w:val="clear" w:pos="708"/>
          <w:tab w:val="left" w:pos="1134" w:leader="none"/>
        </w:tabs>
        <w:ind w:firstLine="567" w:left="0" w:right="0"/>
        <w:jc w:val="both"/>
        <w:rPr>
          <w:sz w:val="20"/>
          <w:szCs w:val="20"/>
        </w:rPr>
      </w:pPr>
      <w:r>
        <w:rPr>
          <w:sz w:val="20"/>
          <w:szCs w:val="20"/>
        </w:rPr>
        <w:t>Оплата, выполняемых Подрядчиком работ производится в следующем порядке:</w:t>
      </w:r>
    </w:p>
    <w:p>
      <w:pPr>
        <w:pStyle w:val="Normal"/>
        <w:ind w:firstLine="851" w:left="142" w:right="0"/>
        <w:jc w:val="both"/>
        <w:rPr/>
      </w:pPr>
      <w:r>
        <w:rPr>
          <w:sz w:val="20"/>
          <w:szCs w:val="20"/>
        </w:rPr>
        <w:t>- расчет Заказчика с Подрядчиком производится согласно, подписанным Сторонами Актам выполненных работ, в соответствии с условиями Договора.</w:t>
      </w:r>
    </w:p>
    <w:p>
      <w:pPr>
        <w:pStyle w:val="Normal"/>
        <w:tabs>
          <w:tab w:val="clear" w:pos="708"/>
          <w:tab w:val="left" w:pos="1260" w:leader="none"/>
        </w:tabs>
        <w:ind w:firstLine="851" w:left="142" w:right="0"/>
        <w:jc w:val="both"/>
        <w:rPr/>
      </w:pPr>
      <w:r>
        <w:rPr>
          <w:sz w:val="20"/>
          <w:szCs w:val="20"/>
        </w:rPr>
        <w:t xml:space="preserve">- Акты выполненных работ составляется Подрядчиком и передается для подписания Заказчику. Одновременно Подрядчик представляет счет-фактуру по установленной форме. </w:t>
      </w:r>
    </w:p>
    <w:p>
      <w:pPr>
        <w:pStyle w:val="Normal"/>
        <w:tabs>
          <w:tab w:val="clear" w:pos="708"/>
          <w:tab w:val="left" w:pos="3245" w:leader="none"/>
        </w:tabs>
        <w:ind w:firstLine="851" w:left="142" w:right="0"/>
        <w:jc w:val="both"/>
        <w:rPr/>
      </w:pPr>
      <w:r>
        <w:rPr>
          <w:sz w:val="20"/>
          <w:szCs w:val="20"/>
        </w:rPr>
        <w:t>- Заказчик производит оплату работ Подрядчику в течение 7 (семи) рабочих дней со дня подписания Сторонами Акта выполненных работ.</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Все налоговые и другие обязательства, фискальные платежи по настоящему Договору Подрядчик выплачивает самостоятельно, в соответствии с действующим законодательством Российской Федерации.</w:t>
      </w:r>
    </w:p>
    <w:p>
      <w:pPr>
        <w:pStyle w:val="Normal"/>
        <w:numPr>
          <w:ilvl w:val="0"/>
          <w:numId w:val="1"/>
        </w:numPr>
        <w:tabs>
          <w:tab w:val="clear" w:pos="708"/>
          <w:tab w:val="left" w:pos="284" w:leader="none"/>
        </w:tabs>
        <w:spacing w:before="240" w:after="120"/>
        <w:ind w:firstLine="17" w:left="0" w:right="0"/>
        <w:jc w:val="center"/>
        <w:rPr>
          <w:b/>
          <w:sz w:val="20"/>
          <w:szCs w:val="20"/>
        </w:rPr>
      </w:pPr>
      <w:r>
        <w:rPr>
          <w:b/>
          <w:sz w:val="20"/>
          <w:szCs w:val="20"/>
        </w:rPr>
        <w:t>ПРАВА И ОБЯЗАННОСТИ ЗАКАЗЧИКА</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Заказчик вправе во всякое время проверять ход и качество работы, выполняемой Подрядчиком, не вмешиваясь в его деятельность.</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Оказывать содействие Подрядчику в выполнении работ в объёме и на условиях, предусмотренных настоящим Договором.</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Предоставить свободный доступ к объекту в согласованное Сторонами время.</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Обеспечить оперативные отключения и (или) переключения для возможности проведения испытаний.</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При отсутствии замечаний к качеству и объему выполненных Работ принять выполненные работы и оплатить их в размере, сроки и порядке, предусмотренным настоящим Договором.</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Подрядчик обязан предоставить:</w:t>
      </w:r>
    </w:p>
    <w:p>
      <w:pPr>
        <w:pStyle w:val="Normal"/>
        <w:tabs>
          <w:tab w:val="clear" w:pos="708"/>
          <w:tab w:val="left" w:pos="3245" w:leader="none"/>
          <w:tab w:val="left" w:pos="4521" w:leader="none"/>
        </w:tabs>
        <w:ind w:left="567" w:right="0"/>
        <w:jc w:val="both"/>
        <w:rPr/>
      </w:pPr>
      <w:r>
        <w:rPr>
          <w:sz w:val="20"/>
          <w:szCs w:val="20"/>
        </w:rPr>
        <w:t>- удостоверения по электробезопасности. Специалисты должны иметь действующие удостоверения с соответствующей группой допуска (III, IV, V).;</w:t>
      </w:r>
    </w:p>
    <w:p>
      <w:pPr>
        <w:pStyle w:val="Normal"/>
        <w:tabs>
          <w:tab w:val="clear" w:pos="708"/>
          <w:tab w:val="left" w:pos="3245" w:leader="none"/>
          <w:tab w:val="left" w:pos="4521" w:leader="none"/>
        </w:tabs>
        <w:ind w:left="567" w:right="0"/>
        <w:jc w:val="both"/>
        <w:rPr>
          <w:sz w:val="20"/>
          <w:szCs w:val="20"/>
        </w:rPr>
      </w:pPr>
      <w:r>
        <w:rPr>
          <w:sz w:val="20"/>
          <w:szCs w:val="20"/>
        </w:rPr>
        <w:t xml:space="preserve">- удостоверение кабельщика; </w:t>
      </w:r>
    </w:p>
    <w:p>
      <w:pPr>
        <w:pStyle w:val="Normal"/>
        <w:tabs>
          <w:tab w:val="clear" w:pos="708"/>
          <w:tab w:val="left" w:pos="3245" w:leader="none"/>
          <w:tab w:val="left" w:pos="4521" w:leader="none"/>
        </w:tabs>
        <w:ind w:left="567" w:right="0"/>
        <w:jc w:val="both"/>
        <w:rPr>
          <w:sz w:val="20"/>
          <w:szCs w:val="20"/>
          <w:highlight w:val="yellow"/>
        </w:rPr>
      </w:pPr>
      <w:r>
        <w:rPr>
          <w:sz w:val="20"/>
          <w:szCs w:val="20"/>
        </w:rPr>
        <w:t>- свидетельство регистрации электролаборатории.</w:t>
      </w:r>
    </w:p>
    <w:p>
      <w:pPr>
        <w:pStyle w:val="Normal"/>
        <w:numPr>
          <w:ilvl w:val="0"/>
          <w:numId w:val="1"/>
        </w:numPr>
        <w:tabs>
          <w:tab w:val="clear" w:pos="708"/>
          <w:tab w:val="left" w:pos="284" w:leader="none"/>
        </w:tabs>
        <w:spacing w:before="240" w:after="120"/>
        <w:ind w:firstLine="17" w:left="0" w:right="0"/>
        <w:jc w:val="center"/>
        <w:rPr>
          <w:b/>
          <w:sz w:val="20"/>
          <w:szCs w:val="20"/>
        </w:rPr>
      </w:pPr>
      <w:r>
        <w:rPr>
          <w:b/>
          <w:sz w:val="20"/>
          <w:szCs w:val="20"/>
        </w:rPr>
        <w:t>ПРАВА И ОБЯЗАННОСТИ ПОДРЯДЧИКА</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Выполнить все работы в объёме и сроки, предусмотренные настоящим Договором и сдать результат работы Заказчику.</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Передать Заказчику результат выполненных работ в виде протоколов выполненных испытаний в 1 (одном) экземпляре.</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 xml:space="preserve"> </w:t>
      </w:r>
      <w:r>
        <w:rPr>
          <w:sz w:val="20"/>
          <w:szCs w:val="20"/>
        </w:rPr>
        <w:t>При выполнении работ на объекте Подрядчик обеспечивает выполнение необходимых мероприятий по соблюдению техники безопасности и пожарной безопасности.</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 xml:space="preserve">Подрядчик обязуется выполнять работы в полном соответствии с требованиями нормативных актов, регламентирующих выполнение данного вида работ. </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В случае мотивированного отказа Заказчика от подписания Акта выполненных работ, Подрядчик обязан в течении 3 (трех) рабочих дней своими силами и за свой счет устранить выявленные недостатки, отраженные в мотивированном отказе Заказчика от подписания Акта выполненных работ.</w:t>
      </w:r>
    </w:p>
    <w:p>
      <w:pPr>
        <w:pStyle w:val="Normal"/>
        <w:numPr>
          <w:ilvl w:val="0"/>
          <w:numId w:val="1"/>
        </w:numPr>
        <w:tabs>
          <w:tab w:val="clear" w:pos="708"/>
          <w:tab w:val="left" w:pos="284" w:leader="none"/>
        </w:tabs>
        <w:spacing w:before="240" w:after="120"/>
        <w:ind w:firstLine="17" w:left="0" w:right="0"/>
        <w:jc w:val="center"/>
        <w:rPr>
          <w:b/>
          <w:sz w:val="20"/>
          <w:szCs w:val="20"/>
        </w:rPr>
      </w:pPr>
      <w:bookmarkStart w:id="0" w:name="bookmark9"/>
      <w:r>
        <w:rPr>
          <w:b/>
          <w:sz w:val="20"/>
          <w:szCs w:val="20"/>
        </w:rPr>
        <w:t>ПОРЯДОК ПРИЕМКИ РАБОТ</w:t>
      </w:r>
      <w:bookmarkEnd w:id="0"/>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 xml:space="preserve"> </w:t>
      </w:r>
      <w:r>
        <w:rPr>
          <w:sz w:val="20"/>
          <w:szCs w:val="20"/>
        </w:rPr>
        <w:t>Заказчик обязан принять выполненные работы. Работы считаются принятыми с момента подписания Сторонами Акта выполненных работ.</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Заказчик в течение 5 (пяти) рабочих дней после получения актов выполненных работ, осуществляет проверку соответствия результата работ предъявляемым настоящим Договором требованиям, и по результатам такой проверки направляет Подрядчику подписанный акт выполненных работ или мотивированный отказ от его подписания.</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Если по истечении срока, указанного в п.5.2, Заказчик не подпишет и не возвратит Подрядчику акт выполненных работ, либо мотивированный отказ от приемки в письменном виде, то Стороны согласились считать указанный акт утвержденным (подписанным) со стороны Заказчика, а работу принятой без претензий по объему и качеству.</w:t>
      </w:r>
    </w:p>
    <w:p>
      <w:pPr>
        <w:pStyle w:val="Normal"/>
        <w:ind w:firstLine="142" w:right="0"/>
        <w:jc w:val="both"/>
        <w:rPr>
          <w:sz w:val="20"/>
          <w:szCs w:val="20"/>
        </w:rPr>
      </w:pPr>
      <w:r>
        <w:rPr>
          <w:sz w:val="20"/>
          <w:szCs w:val="20"/>
        </w:rPr>
        <w:t xml:space="preserve">      </w:t>
      </w:r>
      <w:r>
        <w:rPr>
          <w:sz w:val="20"/>
          <w:szCs w:val="20"/>
        </w:rPr>
        <w:t xml:space="preserve">5.4. В случае досрочного выполнения работ Заказчик обязан досрочно принять результат выполненных работ. </w:t>
      </w:r>
    </w:p>
    <w:p>
      <w:pPr>
        <w:pStyle w:val="Normal"/>
        <w:jc w:val="both"/>
        <w:rPr/>
      </w:pPr>
      <w:r>
        <w:rPr>
          <w:sz w:val="20"/>
          <w:szCs w:val="20"/>
        </w:rPr>
        <w:t xml:space="preserve">        </w:t>
      </w:r>
      <w:r>
        <w:rPr>
          <w:sz w:val="20"/>
          <w:szCs w:val="20"/>
        </w:rPr>
        <w:t xml:space="preserve">5.5. Заказчик в течение 5 (пяти) рабочих дней с момента получения указанных документов проверяет исполнение Подрядчиком условий Договора на соответствие требованиям Договора и по итогам приемки оформляет Акт выполненных работ. </w:t>
      </w:r>
    </w:p>
    <w:p>
      <w:pPr>
        <w:pStyle w:val="Normal"/>
        <w:jc w:val="both"/>
        <w:rPr/>
      </w:pPr>
      <w:r>
        <w:rPr>
          <w:sz w:val="20"/>
          <w:szCs w:val="20"/>
        </w:rPr>
        <w:t xml:space="preserve"> </w:t>
      </w:r>
      <w:r>
        <w:rPr>
          <w:sz w:val="20"/>
          <w:szCs w:val="20"/>
        </w:rPr>
        <w:t>Приемка услуг осуществляется приемочной комиссией Заказчика без участия представителя Подрядчика. Для проверки оказанных услуг в части их соответствия условиям Договора Заказчик своими силами проводит экспертизу. Акт выполненных работ формируется на основании документов, подтверждающих оказание услуг. С даты подписания Заказчиком Акта выполненных работ без претензий обязательства Подрядчика по Договору считаются исполненными в полном объеме и надлежащим образом. Датой подписания считается дата подписания Акта выполненных работ руководителем Заказчика.  В случае выявления несоответствий в оказанных услугах, препятствующих их приемке, Заказчик в срок, установленный для приемки услуг, направляет Подрядчику письменный мотивированный отказ от подписания Акта выполненных работ. По получении мотивированного отказа Подрядчик обязан устранить замечания, недостатки, недоработки не позднее 3 (трех) рабочих дней с момента получения от Заказчика мотивированного отказа.  Работы считаются выполненными после подписания Заказчиком Акта выполненных работ без претензий, обязательства Подрядчика по Договору считаются исполненными в полном объеме и надлежащим образом. Датой подписания считается дата подписания Акта выполненных работ руководителем Заказчика.</w:t>
      </w:r>
    </w:p>
    <w:p>
      <w:pPr>
        <w:pStyle w:val="Normal"/>
        <w:tabs>
          <w:tab w:val="clear" w:pos="708"/>
          <w:tab w:val="left" w:pos="840" w:leader="none"/>
          <w:tab w:val="left" w:pos="31680" w:leader="none"/>
        </w:tabs>
        <w:spacing w:lineRule="auto" w:line="264"/>
        <w:jc w:val="both"/>
        <w:rPr>
          <w:rFonts w:eastAsia="SimHei;黑体"/>
          <w:color w:val="FF0000"/>
          <w:sz w:val="20"/>
          <w:szCs w:val="20"/>
        </w:rPr>
      </w:pPr>
      <w:r>
        <w:rPr>
          <w:sz w:val="20"/>
          <w:szCs w:val="20"/>
        </w:rPr>
        <w:t xml:space="preserve">        </w:t>
      </w:r>
      <w:r>
        <w:rPr>
          <w:sz w:val="20"/>
          <w:szCs w:val="20"/>
        </w:rPr>
        <w:t>5.6.</w:t>
      </w:r>
      <w:r>
        <w:rPr>
          <w:rFonts w:eastAsia="SimHei;黑体"/>
          <w:sz w:val="20"/>
          <w:szCs w:val="20"/>
        </w:rPr>
        <w:t xml:space="preserve"> Акт приемки товаров, работ, услуг ф.0510452 формируется Заказчиком без участия представителя Поставщика / Исполнителя / Подрядчика, на основании документов, подтверждающ</w:t>
      </w:r>
      <w:r>
        <w:rPr>
          <w:rFonts w:eastAsia="SimHei;黑体"/>
          <w:color w:val="000000"/>
          <w:sz w:val="20"/>
          <w:szCs w:val="20"/>
        </w:rPr>
        <w:t>их поставку Товара / Оказания услуг / Выполнения работ.</w:t>
      </w:r>
    </w:p>
    <w:p>
      <w:pPr>
        <w:pStyle w:val="Normal"/>
        <w:numPr>
          <w:ilvl w:val="0"/>
          <w:numId w:val="1"/>
        </w:numPr>
        <w:tabs>
          <w:tab w:val="clear" w:pos="708"/>
          <w:tab w:val="left" w:pos="284" w:leader="none"/>
        </w:tabs>
        <w:spacing w:before="240" w:after="120"/>
        <w:ind w:firstLine="17" w:left="0" w:right="0"/>
        <w:jc w:val="center"/>
        <w:rPr>
          <w:b/>
          <w:sz w:val="20"/>
          <w:szCs w:val="20"/>
        </w:rPr>
      </w:pPr>
      <w:r>
        <w:rPr>
          <w:b/>
          <w:sz w:val="20"/>
          <w:szCs w:val="20"/>
        </w:rPr>
        <w:t>ОТВЕТСТВЕННОСТЬ СТОРОН</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За нарушение сроков оплаты выполненных работ Заказчик уплачивает Подрядчику неустойку в размере 0,1 % от суммы Договора за каждый день просрочки.</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 xml:space="preserve">За нарушение срока выполнения работ по вине Подрядчика, Подрядчик уплачивает Заказчику неустойку в размере 0,1 % от суммы договора за каждый день просрочки. </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Указанные в п.п. 6.1., и 6.2. обязательства вступают в силу, если одна из Сторон направляет другой стороне письменную претензию о нарушении условий Договора.</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Уплата неустоек, а также возмещение убытков не освобождает стороны от исполнения своих обязательств по настоящему Договору.</w:t>
      </w:r>
    </w:p>
    <w:p>
      <w:pPr>
        <w:pStyle w:val="Normal"/>
        <w:numPr>
          <w:ilvl w:val="0"/>
          <w:numId w:val="1"/>
        </w:numPr>
        <w:tabs>
          <w:tab w:val="clear" w:pos="708"/>
          <w:tab w:val="left" w:pos="284" w:leader="none"/>
        </w:tabs>
        <w:spacing w:before="240" w:after="120"/>
        <w:ind w:firstLine="17" w:left="0" w:right="0"/>
        <w:jc w:val="center"/>
        <w:rPr>
          <w:b/>
          <w:sz w:val="20"/>
          <w:szCs w:val="20"/>
        </w:rPr>
      </w:pPr>
      <w:r>
        <w:rPr>
          <w:b/>
          <w:sz w:val="20"/>
          <w:szCs w:val="20"/>
        </w:rPr>
        <w:t>ФОРС - МАЖОРНЫЕ ОБСТОЯТЕЛЬСТВА</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Стороны освобождаются от ответственности за неисполнение обязательств по настоящему Договору, если оно явилось следствием форс-мажорных обстоятельств, возникших после заключения настоящего Договора в результате непредвиденных и непредотвратимых Сторонами событий, как то: стихийные бедствия природного характера, объявленная или необъявленная война, внутренние вооруженные конфликты, массовые гражданские беспорядки, саботаж, бойкот или локаут любых видов, решения, постановления, а также принудительные действия органов государственной власти и управления, если эти обстоятельства непосредственно повлияли на исполнение настоящего Договора. При возникновении форс-мажорных обстоятельств одна Сторона настоящего Договора уведомляет другую Сторону в течение 5 дней в порядке, предусмотренном действующим законодательством РФ с приложением справки с компетентных органов.</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Срок исполнения обязательств по настоящему Договору отодвигается соразмерно времени, в течение которого действовали: форс-мажорные обстоятельства.</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Если форс-мажорные обстоятельства или их последствия будут длиться более двух месяцев, то Подрядчик и Заказчик обсудят, какие меры следует принять для дальнейшего исполнения Договора.</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Если Стороны не смогли договориться в течение двух месяцев, тогда каждая из сторон вправе потребовать расторжения Договора.</w:t>
      </w:r>
    </w:p>
    <w:p>
      <w:pPr>
        <w:pStyle w:val="Normal"/>
        <w:numPr>
          <w:ilvl w:val="0"/>
          <w:numId w:val="1"/>
        </w:numPr>
        <w:tabs>
          <w:tab w:val="clear" w:pos="708"/>
          <w:tab w:val="left" w:pos="284" w:leader="none"/>
        </w:tabs>
        <w:spacing w:before="240" w:after="120"/>
        <w:ind w:firstLine="17" w:left="0" w:right="0"/>
        <w:jc w:val="center"/>
        <w:rPr>
          <w:b/>
          <w:sz w:val="20"/>
          <w:szCs w:val="20"/>
        </w:rPr>
      </w:pPr>
      <w:r>
        <w:rPr>
          <w:b/>
          <w:sz w:val="20"/>
          <w:szCs w:val="20"/>
        </w:rPr>
        <w:t>ПРОЧИЕ УСЛОВИЯ</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Любые изменения и дополнения к настоящему Договору действительны в том случае, если они совершены в письменной форме и подписаны обеими Сторонами.</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Во всем остальном, что не предусмотрено настоящим Договором, стороны руководствуются действующим законодательством РФ.</w:t>
      </w:r>
    </w:p>
    <w:p>
      <w:pPr>
        <w:pStyle w:val="Normal"/>
        <w:numPr>
          <w:ilvl w:val="1"/>
          <w:numId w:val="1"/>
        </w:numPr>
        <w:tabs>
          <w:tab w:val="clear" w:pos="708"/>
          <w:tab w:val="left" w:pos="709" w:leader="none"/>
          <w:tab w:val="left" w:pos="1134" w:leader="none"/>
        </w:tabs>
        <w:ind w:firstLine="425" w:left="142" w:right="0"/>
        <w:jc w:val="both"/>
        <w:rPr>
          <w:sz w:val="20"/>
          <w:szCs w:val="20"/>
        </w:rPr>
      </w:pPr>
      <w:r>
        <w:rPr>
          <w:sz w:val="20"/>
          <w:szCs w:val="20"/>
        </w:rPr>
        <w:t>Настоящий Договор вступает в силу с даты подписания его обеими Сторонами и действует до полного выполнения Сторонами обязательств, принятых ими в Договоре.</w:t>
      </w:r>
    </w:p>
    <w:p>
      <w:pPr>
        <w:pStyle w:val="Normal"/>
        <w:numPr>
          <w:ilvl w:val="1"/>
          <w:numId w:val="1"/>
        </w:numPr>
        <w:tabs>
          <w:tab w:val="clear" w:pos="708"/>
          <w:tab w:val="left" w:pos="142" w:leader="none"/>
          <w:tab w:val="left" w:pos="1080" w:leader="none"/>
        </w:tabs>
        <w:ind w:firstLine="425" w:left="142" w:right="0"/>
        <w:jc w:val="both"/>
        <w:rPr>
          <w:sz w:val="20"/>
          <w:szCs w:val="20"/>
        </w:rPr>
      </w:pPr>
      <w:r>
        <w:rPr>
          <w:sz w:val="20"/>
          <w:szCs w:val="20"/>
        </w:rPr>
        <w:t xml:space="preserve">Стороны вправе подписать документы, имеющие отношение к настоящему Договору, в том числе: договор, документ о приемке работ (акт выполненных работ), дополнительные соглашения, спецификации, любые акты, претензии следующим образом: с помощью электронного документооборота (далее возможно «ЭДО» с использованием электронно-цифровой подписи в программах «Контур. Диадок» (далее по тексту «электронный документооборот» или «ЭДО»). </w:t>
      </w:r>
    </w:p>
    <w:p>
      <w:pPr>
        <w:pStyle w:val="Normal"/>
        <w:tabs>
          <w:tab w:val="clear" w:pos="708"/>
          <w:tab w:val="left" w:pos="1080" w:leader="none"/>
        </w:tabs>
        <w:ind w:hanging="142" w:left="142" w:right="0"/>
        <w:jc w:val="both"/>
        <w:rPr/>
      </w:pPr>
      <w:r>
        <w:rPr>
          <w:sz w:val="20"/>
          <w:szCs w:val="20"/>
        </w:rPr>
        <w:t xml:space="preserve">  </w:t>
      </w:r>
      <w:r>
        <w:rPr>
          <w:sz w:val="20"/>
          <w:szCs w:val="20"/>
        </w:rPr>
        <w:t xml:space="preserve">Стороны договорились, что в целях исполнения настоящего Договора, подписание настоящего Договора, а также дополнительных соглашений, приложений, и др., обмен документами и информацией может осуществляться посредством электронной почты. Копии документов, направленных посредством указанных способов обмена, приравниваются к оригиналам до момента фактического получения последних. Обязанность по предоставлению оригиналов возлагается на Сторону, направившую документ посредством электронной почты. Электронные документы, отправленные по электронной почте, в том числе: копии настоящего договора, Приложения и Дополнения, уведомления, извещения, претензии, требования, акты и прочие документы к нему, в том числе извещение об отказе от договора, действительны и имеют юридическую силу до предоставления Сторонами оригиналов. Оригиналы документов направляются в течение </w:t>
      </w:r>
      <w:r>
        <w:rPr>
          <w:b/>
          <w:sz w:val="20"/>
          <w:szCs w:val="20"/>
        </w:rPr>
        <w:t>7 (семи) рабочих</w:t>
      </w:r>
      <w:r>
        <w:rPr>
          <w:sz w:val="20"/>
          <w:szCs w:val="20"/>
        </w:rPr>
        <w:t xml:space="preserve"> дней с даты направления их копий. Уведомления, предложения и иные сообщения, приложения к настоящему договору, включая сам договор могут быть направлены любым из способов: заказным письмом, или электронным сообщением, передано лично или с курьером. Любой из способов должен достоверно установить, что  он исходят от отправляющей Стороны по договору. Стороны подтверждают, что если переписка и отправка документов ведется с электронных почт, указанных в пункте 10 настоящего договора, значит лица, которые ведут эту переписку уполномочены на это.</w:t>
      </w:r>
    </w:p>
    <w:p>
      <w:pPr>
        <w:pStyle w:val="Normal"/>
        <w:numPr>
          <w:ilvl w:val="1"/>
          <w:numId w:val="1"/>
        </w:numPr>
        <w:tabs>
          <w:tab w:val="clear" w:pos="708"/>
          <w:tab w:val="left" w:pos="0" w:leader="none"/>
        </w:tabs>
        <w:ind w:firstLine="709" w:left="0" w:right="247"/>
        <w:jc w:val="both"/>
        <w:rPr>
          <w:sz w:val="20"/>
          <w:szCs w:val="20"/>
        </w:rPr>
      </w:pPr>
      <w:r>
        <w:rPr>
          <w:sz w:val="20"/>
          <w:szCs w:val="20"/>
        </w:rPr>
        <w:t>Все спорные вопросы, возникающие при исполнении настоящего Договора, решаются сторонами путём претензионного порядка их рассмотрения. Срок для ответа на претензию составляет  не более 10  (десяти) рабочих дней. В случае не достижения соглашения спор передается на разрешение в Арбитражный суд по месту нахождения Истца.</w:t>
      </w:r>
    </w:p>
    <w:p>
      <w:pPr>
        <w:pStyle w:val="Normal"/>
        <w:ind w:firstLine="708" w:right="247"/>
        <w:jc w:val="both"/>
        <w:rPr>
          <w:sz w:val="20"/>
          <w:szCs w:val="20"/>
        </w:rPr>
      </w:pPr>
      <w:r>
        <w:rPr>
          <w:sz w:val="20"/>
          <w:szCs w:val="20"/>
        </w:rPr>
        <w:t xml:space="preserve">8.6. В случае изменения адресов, банковских реквизитов, номеров телефонов Сторон письменно извещают друг друга о таком изменении в течение 3 (трех) рабочих дней со дня такого изменения. При этом дополнительное соглашение не требуется. </w:t>
      </w:r>
    </w:p>
    <w:p>
      <w:pPr>
        <w:pStyle w:val="Normal"/>
        <w:ind w:firstLine="708" w:right="247"/>
        <w:jc w:val="both"/>
        <w:rPr>
          <w:sz w:val="20"/>
          <w:szCs w:val="20"/>
        </w:rPr>
      </w:pPr>
      <w:r>
        <w:rPr>
          <w:sz w:val="20"/>
          <w:szCs w:val="20"/>
        </w:rPr>
        <w:t>8.7. Все приложения к настоящему Договору являются его неотъемлемой частью, при условии подписания их полномочными представителями обеих Сторон.</w:t>
      </w:r>
    </w:p>
    <w:p>
      <w:pPr>
        <w:pStyle w:val="Normal"/>
        <w:ind w:firstLine="708" w:right="247"/>
        <w:jc w:val="both"/>
        <w:rPr>
          <w:sz w:val="20"/>
          <w:szCs w:val="20"/>
        </w:rPr>
      </w:pPr>
      <w:r>
        <w:rPr>
          <w:sz w:val="20"/>
          <w:szCs w:val="20"/>
        </w:rPr>
        <w:t>8.8. Все изменения и дополнения к настоящему Договору оформляются письменно, в виде дополнительных соглашений, подписанных полномочными представителями Сторон, и считаются неотъемлемой частью настоящего Договора.</w:t>
      </w:r>
    </w:p>
    <w:p>
      <w:pPr>
        <w:pStyle w:val="Normal"/>
        <w:ind w:firstLine="708" w:right="0"/>
        <w:rPr>
          <w:sz w:val="20"/>
          <w:szCs w:val="20"/>
        </w:rPr>
      </w:pPr>
      <w:r>
        <w:rPr>
          <w:sz w:val="20"/>
          <w:szCs w:val="20"/>
        </w:rPr>
        <w:t>8.9. Подрядчик не  имеет право без письменного согласия Заказчика делать переуступку прав и обязанностей по настоящему договору.</w:t>
      </w:r>
    </w:p>
    <w:p>
      <w:pPr>
        <w:pStyle w:val="Normal"/>
        <w:ind w:firstLine="708" w:right="247"/>
        <w:jc w:val="both"/>
        <w:rPr>
          <w:sz w:val="20"/>
          <w:szCs w:val="20"/>
        </w:rPr>
      </w:pPr>
      <w:r>
        <w:rPr>
          <w:sz w:val="20"/>
          <w:szCs w:val="20"/>
        </w:rPr>
        <w:t>8.10. Привлечение третьих лиц к выполнению работ допускается только с письменного согласия Заказчика. При привлечении третьих лиц Подрядчик несет полную ответственность перед Заказчиком за действия третьих лиц как за свои собственные, включая обязательство по соблюдению сроков производства Работ, качества производимых работ и иных требований, указанных в Договоре.</w:t>
      </w:r>
    </w:p>
    <w:p>
      <w:pPr>
        <w:pStyle w:val="Normal"/>
        <w:numPr>
          <w:ilvl w:val="0"/>
          <w:numId w:val="1"/>
        </w:numPr>
        <w:tabs>
          <w:tab w:val="clear" w:pos="708"/>
          <w:tab w:val="left" w:pos="284" w:leader="none"/>
        </w:tabs>
        <w:spacing w:before="240" w:after="120"/>
        <w:ind w:firstLine="17" w:left="0" w:right="0"/>
        <w:jc w:val="center"/>
        <w:rPr>
          <w:b/>
          <w:sz w:val="20"/>
          <w:szCs w:val="20"/>
        </w:rPr>
      </w:pPr>
      <w:r>
        <w:rPr>
          <w:b/>
          <w:sz w:val="20"/>
          <w:szCs w:val="20"/>
        </w:rPr>
        <w:t>ПРИЛОЖЕНИЯ</w:t>
      </w:r>
    </w:p>
    <w:p>
      <w:pPr>
        <w:pStyle w:val="Normal"/>
        <w:tabs>
          <w:tab w:val="clear" w:pos="708"/>
          <w:tab w:val="left" w:pos="567" w:leader="none"/>
          <w:tab w:val="left" w:pos="1134" w:leader="none"/>
        </w:tabs>
        <w:ind w:left="709" w:right="0"/>
        <w:jc w:val="both"/>
        <w:rPr/>
      </w:pPr>
      <w:r>
        <w:rPr>
          <w:sz w:val="20"/>
          <w:szCs w:val="20"/>
        </w:rPr>
        <w:t>К настоящему Договору прилагается следующее приложение, являющиеся неотъемлемой частью Договора: Приложение № 1 – Протокол согласования цены.</w:t>
      </w:r>
    </w:p>
    <w:p>
      <w:pPr>
        <w:pStyle w:val="Normal"/>
        <w:spacing w:before="240" w:after="120"/>
        <w:ind w:left="851" w:right="0"/>
        <w:rPr>
          <w:b/>
          <w:sz w:val="20"/>
          <w:szCs w:val="20"/>
        </w:rPr>
      </w:pPr>
      <w:r>
        <w:rPr>
          <w:b/>
          <w:sz w:val="20"/>
          <w:szCs w:val="20"/>
        </w:rPr>
        <w:t xml:space="preserve">                 </w:t>
      </w:r>
      <w:r>
        <w:rPr>
          <w:b/>
          <w:sz w:val="20"/>
          <w:szCs w:val="20"/>
        </w:rPr>
        <w:t>10. АДРЕСА И БАНКОВСКИЕ РЕКВИЗИТЫ СТОРОН</w:t>
      </w:r>
    </w:p>
    <w:tbl>
      <w:tblPr>
        <w:tblW w:w="9923" w:type="dxa"/>
        <w:jc w:val="left"/>
        <w:tblInd w:w="108" w:type="dxa"/>
        <w:tblLayout w:type="fixed"/>
        <w:tblCellMar>
          <w:top w:w="0" w:type="dxa"/>
          <w:left w:w="108" w:type="dxa"/>
          <w:bottom w:w="0" w:type="dxa"/>
          <w:right w:w="108" w:type="dxa"/>
        </w:tblCellMar>
      </w:tblPr>
      <w:tblGrid>
        <w:gridCol w:w="4820"/>
        <w:gridCol w:w="5103"/>
      </w:tblGrid>
      <w:tr>
        <w:trPr>
          <w:trHeight w:val="416" w:hRule="atLeast"/>
        </w:trPr>
        <w:tc>
          <w:tcPr>
            <w:tcW w:w="4820" w:type="dxa"/>
            <w:tcBorders/>
          </w:tcPr>
          <w:p>
            <w:pPr>
              <w:pStyle w:val="Normal"/>
              <w:snapToGrid w:val="false"/>
              <w:jc w:val="center"/>
              <w:rPr>
                <w:b/>
                <w:sz w:val="20"/>
                <w:szCs w:val="20"/>
              </w:rPr>
            </w:pPr>
            <w:r>
              <w:rPr>
                <w:b/>
                <w:sz w:val="20"/>
                <w:szCs w:val="20"/>
              </w:rPr>
              <w:t>Заказчик</w:t>
            </w:r>
          </w:p>
          <w:p>
            <w:pPr>
              <w:pStyle w:val="Normal"/>
              <w:snapToGrid w:val="false"/>
              <w:spacing w:before="0" w:after="0"/>
              <w:contextualSpacing/>
              <w:jc w:val="both"/>
              <w:rPr>
                <w:b/>
                <w:sz w:val="20"/>
                <w:szCs w:val="20"/>
              </w:rPr>
            </w:pPr>
            <w:r>
              <w:rPr>
                <w:b/>
                <w:sz w:val="20"/>
                <w:szCs w:val="20"/>
              </w:rPr>
              <w:t>ФГБУ «РУТБ «Ока» г. Алексин»</w:t>
            </w:r>
          </w:p>
          <w:p>
            <w:pPr>
              <w:pStyle w:val="Normal"/>
              <w:snapToGrid w:val="false"/>
              <w:jc w:val="both"/>
              <w:rPr/>
            </w:pPr>
            <w:r>
              <w:rPr>
                <w:rFonts w:eastAsia="SimSun;宋体"/>
                <w:sz w:val="20"/>
                <w:szCs w:val="20"/>
              </w:rPr>
              <w:t xml:space="preserve">Юридический адрес: </w:t>
            </w:r>
            <w:r>
              <w:rPr>
                <w:sz w:val="20"/>
                <w:szCs w:val="20"/>
              </w:rPr>
              <w:t xml:space="preserve">301365, РФ, Тульская область, г. Алексин, ул. Чехова, д. 21 </w:t>
            </w:r>
          </w:p>
          <w:p>
            <w:pPr>
              <w:pStyle w:val="Normal"/>
              <w:snapToGrid w:val="false"/>
              <w:jc w:val="both"/>
              <w:rPr>
                <w:rFonts w:eastAsia="SimSun;宋体"/>
                <w:sz w:val="20"/>
                <w:szCs w:val="20"/>
              </w:rPr>
            </w:pPr>
            <w:r>
              <w:rPr>
                <w:rFonts w:eastAsia="SimSun;宋体"/>
                <w:sz w:val="20"/>
                <w:szCs w:val="20"/>
              </w:rPr>
              <w:t>ИНН /КПП 7111021070/711101001</w:t>
            </w:r>
          </w:p>
          <w:p>
            <w:pPr>
              <w:pStyle w:val="Normal"/>
              <w:snapToGrid w:val="false"/>
              <w:jc w:val="both"/>
              <w:rPr>
                <w:sz w:val="20"/>
                <w:szCs w:val="20"/>
              </w:rPr>
            </w:pPr>
            <w:r>
              <w:rPr>
                <w:sz w:val="20"/>
                <w:szCs w:val="20"/>
              </w:rPr>
              <w:t xml:space="preserve">Управление Федерального Казначейства по Тульской области (ФГБУ «РУТБ «Ока» г.Алексин» л/с 20666В80160) </w:t>
            </w:r>
          </w:p>
          <w:p>
            <w:pPr>
              <w:pStyle w:val="Normal"/>
              <w:snapToGrid w:val="false"/>
              <w:jc w:val="both"/>
              <w:rPr>
                <w:sz w:val="20"/>
                <w:szCs w:val="20"/>
              </w:rPr>
            </w:pPr>
            <w:r>
              <w:rPr>
                <w:sz w:val="20"/>
                <w:szCs w:val="20"/>
              </w:rPr>
              <w:t xml:space="preserve">Банковские реквизиты: </w:t>
            </w:r>
          </w:p>
          <w:p>
            <w:pPr>
              <w:pStyle w:val="Normal"/>
              <w:pBdr/>
              <w:snapToGrid w:val="false"/>
              <w:jc w:val="both"/>
              <w:rPr>
                <w:sz w:val="20"/>
                <w:szCs w:val="20"/>
              </w:rPr>
            </w:pPr>
            <w:r>
              <w:rPr>
                <w:sz w:val="20"/>
                <w:szCs w:val="20"/>
              </w:rPr>
              <w:t>ОКЦ № 1 ВВГУ Банка России//УФК по Нижегородской области, г. Нижний Новгород</w:t>
            </w:r>
          </w:p>
          <w:p>
            <w:pPr>
              <w:pStyle w:val="Normal"/>
              <w:snapToGrid w:val="false"/>
              <w:jc w:val="both"/>
              <w:rPr>
                <w:sz w:val="20"/>
                <w:szCs w:val="20"/>
              </w:rPr>
            </w:pPr>
            <w:r>
              <w:rPr>
                <w:sz w:val="20"/>
                <w:szCs w:val="20"/>
              </w:rPr>
              <w:t>Номер казначейского счета: 03214643000000013256</w:t>
            </w:r>
          </w:p>
          <w:p>
            <w:pPr>
              <w:pStyle w:val="Normal"/>
              <w:snapToGrid w:val="false"/>
              <w:jc w:val="both"/>
              <w:rPr>
                <w:sz w:val="20"/>
                <w:szCs w:val="20"/>
              </w:rPr>
            </w:pPr>
            <w:r>
              <w:rPr>
                <w:sz w:val="20"/>
                <w:szCs w:val="20"/>
              </w:rPr>
              <w:t xml:space="preserve">Корреспондирующий счет (номер банковского счета, входящего в состав ЕКС): 40102810745370000024   </w:t>
            </w:r>
          </w:p>
          <w:p>
            <w:pPr>
              <w:pStyle w:val="Normal"/>
              <w:snapToGrid w:val="false"/>
              <w:jc w:val="both"/>
              <w:rPr>
                <w:sz w:val="20"/>
                <w:szCs w:val="20"/>
              </w:rPr>
            </w:pPr>
            <w:r>
              <w:rPr>
                <w:sz w:val="20"/>
                <w:szCs w:val="20"/>
              </w:rPr>
              <w:t xml:space="preserve">БИК 012202102     </w:t>
            </w:r>
          </w:p>
          <w:p>
            <w:pPr>
              <w:pStyle w:val="Normal"/>
              <w:snapToGrid w:val="false"/>
              <w:jc w:val="both"/>
              <w:rPr>
                <w:sz w:val="20"/>
                <w:szCs w:val="20"/>
              </w:rPr>
            </w:pPr>
            <w:r>
              <w:rPr>
                <w:sz w:val="20"/>
                <w:szCs w:val="20"/>
              </w:rPr>
              <w:t>тел. (48753) 5-50-62, 5-83-87</w:t>
            </w:r>
          </w:p>
          <w:p>
            <w:pPr>
              <w:pStyle w:val="Normal"/>
              <w:snapToGrid w:val="false"/>
              <w:jc w:val="both"/>
              <w:rPr>
                <w:sz w:val="20"/>
                <w:szCs w:val="20"/>
              </w:rPr>
            </w:pPr>
            <w:r>
              <w:rPr>
                <w:sz w:val="20"/>
                <w:szCs w:val="20"/>
              </w:rPr>
              <w:t>Email: rutb-oka@yandex.ru</w:t>
            </w:r>
          </w:p>
          <w:p>
            <w:pPr>
              <w:pStyle w:val="Normal"/>
              <w:snapToGrid w:val="false"/>
              <w:jc w:val="both"/>
              <w:rPr>
                <w:rFonts w:eastAsia="SimSun;宋体"/>
                <w:sz w:val="20"/>
                <w:szCs w:val="20"/>
                <w:lang w:val="en-US"/>
              </w:rPr>
            </w:pPr>
            <w:r>
              <w:rPr>
                <w:rFonts w:eastAsia="SimSun;宋体"/>
                <w:sz w:val="20"/>
                <w:szCs w:val="20"/>
                <w:lang w:val="en-US"/>
              </w:rPr>
            </w:r>
          </w:p>
          <w:p>
            <w:pPr>
              <w:pStyle w:val="Normal"/>
              <w:snapToGrid w:val="false"/>
              <w:jc w:val="both"/>
              <w:rPr>
                <w:rFonts w:eastAsia="SimSun;宋体"/>
                <w:sz w:val="20"/>
                <w:szCs w:val="20"/>
              </w:rPr>
            </w:pPr>
            <w:r>
              <w:rPr>
                <w:rFonts w:eastAsia="SimSun;宋体"/>
                <w:sz w:val="20"/>
                <w:szCs w:val="20"/>
              </w:rPr>
              <w:t>Директор</w:t>
            </w:r>
          </w:p>
          <w:p>
            <w:pPr>
              <w:pStyle w:val="Normal"/>
              <w:snapToGrid w:val="false"/>
              <w:jc w:val="both"/>
              <w:rPr/>
            </w:pPr>
            <w:r>
              <w:rPr>
                <w:rFonts w:eastAsia="SimSun;宋体"/>
                <w:sz w:val="20"/>
                <w:szCs w:val="20"/>
              </w:rPr>
              <w:t>ФГБУ «РУТБ «Ока» г. Алексин</w:t>
            </w:r>
            <w:r>
              <w:rPr>
                <w:sz w:val="20"/>
                <w:szCs w:val="20"/>
              </w:rPr>
              <w:t>»</w:t>
            </w:r>
          </w:p>
          <w:p>
            <w:pPr>
              <w:pStyle w:val="Normal"/>
              <w:snapToGrid w:val="false"/>
              <w:jc w:val="both"/>
              <w:rPr>
                <w:rFonts w:eastAsia="SimSun;宋体"/>
                <w:sz w:val="20"/>
                <w:szCs w:val="20"/>
              </w:rPr>
            </w:pPr>
            <w:r>
              <w:rPr>
                <w:rFonts w:eastAsia="SimSun;宋体"/>
                <w:sz w:val="20"/>
                <w:szCs w:val="20"/>
              </w:rPr>
            </w:r>
          </w:p>
          <w:p>
            <w:pPr>
              <w:pStyle w:val="Normal"/>
              <w:snapToGrid w:val="false"/>
              <w:spacing w:before="0" w:after="0"/>
              <w:contextualSpacing/>
              <w:jc w:val="both"/>
              <w:rPr>
                <w:sz w:val="20"/>
                <w:szCs w:val="20"/>
              </w:rPr>
            </w:pPr>
            <w:r>
              <w:rPr>
                <w:rFonts w:eastAsia="SimSun;宋体"/>
                <w:sz w:val="20"/>
                <w:szCs w:val="20"/>
              </w:rPr>
              <w:t>______________ И.А. Сидоркин</w:t>
            </w:r>
          </w:p>
          <w:p>
            <w:pPr>
              <w:pStyle w:val="Normal"/>
              <w:snapToGrid w:val="false"/>
              <w:spacing w:before="0" w:after="0"/>
              <w:contextualSpacing/>
              <w:jc w:val="both"/>
              <w:rPr/>
            </w:pPr>
            <w:r>
              <w:rPr>
                <w:sz w:val="20"/>
                <w:szCs w:val="20"/>
              </w:rPr>
              <w:t>«______» _______________ 2026 г.</w:t>
            </w:r>
          </w:p>
          <w:p>
            <w:pPr>
              <w:pStyle w:val="Normal"/>
              <w:snapToGrid w:val="false"/>
              <w:spacing w:before="0" w:after="0"/>
              <w:contextualSpacing/>
              <w:jc w:val="both"/>
              <w:rPr>
                <w:b/>
                <w:sz w:val="20"/>
                <w:szCs w:val="20"/>
              </w:rPr>
            </w:pPr>
            <w:r>
              <w:rPr>
                <w:sz w:val="20"/>
                <w:szCs w:val="20"/>
              </w:rPr>
              <w:t>МП</w:t>
              <w:tab/>
            </w:r>
          </w:p>
        </w:tc>
        <w:tc>
          <w:tcPr>
            <w:tcW w:w="5103" w:type="dxa"/>
            <w:tcBorders/>
          </w:tcPr>
          <w:p>
            <w:pPr>
              <w:pStyle w:val="Normal"/>
              <w:snapToGrid w:val="false"/>
              <w:jc w:val="center"/>
              <w:rPr>
                <w:b/>
                <w:sz w:val="20"/>
                <w:szCs w:val="20"/>
              </w:rPr>
            </w:pPr>
            <w:r>
              <w:rPr>
                <w:b/>
                <w:sz w:val="20"/>
                <w:szCs w:val="20"/>
              </w:rPr>
              <w:t>Подрядчик</w:t>
            </w:r>
          </w:p>
          <w:p>
            <w:pPr>
              <w:pStyle w:val="Normal"/>
              <w:snapToGrid w:val="false"/>
              <w:spacing w:before="0" w:after="0"/>
              <w:contextualSpacing/>
              <w:jc w:val="both"/>
              <w:rPr>
                <w:b/>
                <w:sz w:val="20"/>
                <w:szCs w:val="20"/>
              </w:rPr>
            </w:pPr>
            <w:r>
              <w:rPr>
                <w:b/>
                <w:sz w:val="20"/>
                <w:szCs w:val="20"/>
              </w:rPr>
              <w:t>______________</w:t>
            </w:r>
          </w:p>
          <w:p>
            <w:pPr>
              <w:pStyle w:val="Normal"/>
              <w:snapToGrid w:val="false"/>
              <w:spacing w:before="0" w:after="0"/>
              <w:contextualSpacing/>
              <w:jc w:val="both"/>
              <w:rPr>
                <w:sz w:val="20"/>
                <w:szCs w:val="20"/>
              </w:rPr>
            </w:pPr>
            <w:r>
              <w:rPr>
                <w:sz w:val="20"/>
                <w:szCs w:val="20"/>
              </w:rPr>
              <w:t>Юридический адрес:</w:t>
            </w:r>
          </w:p>
          <w:p>
            <w:pPr>
              <w:pStyle w:val="Normal"/>
              <w:snapToGrid w:val="false"/>
              <w:spacing w:before="0" w:after="0"/>
              <w:contextualSpacing/>
              <w:jc w:val="both"/>
              <w:rPr>
                <w:sz w:val="20"/>
                <w:szCs w:val="20"/>
              </w:rPr>
            </w:pPr>
            <w:r>
              <w:rPr>
                <w:sz w:val="20"/>
                <w:szCs w:val="20"/>
              </w:rPr>
              <w:t>_____________________</w:t>
            </w:r>
          </w:p>
          <w:p>
            <w:pPr>
              <w:pStyle w:val="Normal"/>
              <w:snapToGrid w:val="false"/>
              <w:spacing w:before="0" w:after="0"/>
              <w:contextualSpacing/>
              <w:jc w:val="both"/>
              <w:rPr>
                <w:sz w:val="20"/>
                <w:szCs w:val="20"/>
              </w:rPr>
            </w:pPr>
            <w:r>
              <w:rPr>
                <w:sz w:val="20"/>
                <w:szCs w:val="20"/>
              </w:rPr>
              <w:t>ИНН/КПП ____________</w:t>
            </w:r>
          </w:p>
          <w:p>
            <w:pPr>
              <w:pStyle w:val="Normal"/>
              <w:snapToGrid w:val="false"/>
              <w:spacing w:before="0" w:after="0"/>
              <w:contextualSpacing/>
              <w:jc w:val="both"/>
              <w:rPr>
                <w:sz w:val="20"/>
                <w:szCs w:val="20"/>
              </w:rPr>
            </w:pPr>
            <w:r>
              <w:rPr>
                <w:sz w:val="20"/>
                <w:szCs w:val="20"/>
              </w:rPr>
              <w:t>Тел. __________________</w:t>
            </w:r>
          </w:p>
          <w:p>
            <w:pPr>
              <w:pStyle w:val="Normal"/>
              <w:snapToGrid w:val="false"/>
              <w:spacing w:before="0" w:after="0"/>
              <w:contextualSpacing/>
              <w:jc w:val="both"/>
              <w:rPr/>
            </w:pPr>
            <w:r>
              <w:rPr>
                <w:sz w:val="20"/>
                <w:szCs w:val="20"/>
                <w:lang w:val="en-US"/>
              </w:rPr>
              <w:t xml:space="preserve">e-mail: </w:t>
            </w:r>
            <w:r>
              <w:rPr>
                <w:sz w:val="20"/>
                <w:szCs w:val="20"/>
              </w:rPr>
              <w:t>________________</w:t>
            </w:r>
          </w:p>
          <w:p>
            <w:pPr>
              <w:pStyle w:val="Normal"/>
              <w:snapToGrid w:val="false"/>
              <w:spacing w:before="0" w:after="0"/>
              <w:contextualSpacing/>
              <w:jc w:val="both"/>
              <w:rPr>
                <w:sz w:val="20"/>
                <w:szCs w:val="20"/>
              </w:rPr>
            </w:pPr>
            <w:r>
              <w:rPr>
                <w:sz w:val="20"/>
                <w:szCs w:val="20"/>
              </w:rPr>
              <w:t>Банк: _________________</w:t>
            </w:r>
          </w:p>
          <w:p>
            <w:pPr>
              <w:pStyle w:val="Normal"/>
              <w:snapToGrid w:val="false"/>
              <w:spacing w:before="0" w:after="0"/>
              <w:contextualSpacing/>
              <w:jc w:val="both"/>
              <w:rPr>
                <w:sz w:val="20"/>
                <w:szCs w:val="20"/>
              </w:rPr>
            </w:pPr>
            <w:r>
              <w:rPr>
                <w:sz w:val="20"/>
                <w:szCs w:val="20"/>
              </w:rPr>
              <w:t>р/с ___________________</w:t>
            </w:r>
          </w:p>
          <w:p>
            <w:pPr>
              <w:pStyle w:val="Normal"/>
              <w:snapToGrid w:val="false"/>
              <w:spacing w:before="0" w:after="0"/>
              <w:contextualSpacing/>
              <w:jc w:val="both"/>
              <w:rPr>
                <w:sz w:val="20"/>
                <w:szCs w:val="20"/>
              </w:rPr>
            </w:pPr>
            <w:r>
              <w:rPr>
                <w:sz w:val="20"/>
                <w:szCs w:val="20"/>
              </w:rPr>
              <w:t>к/c____________________</w:t>
            </w:r>
          </w:p>
          <w:p>
            <w:pPr>
              <w:pStyle w:val="Normal"/>
              <w:snapToGrid w:val="false"/>
              <w:spacing w:before="0" w:after="0"/>
              <w:contextualSpacing/>
              <w:jc w:val="both"/>
              <w:rPr>
                <w:sz w:val="20"/>
                <w:szCs w:val="20"/>
              </w:rPr>
            </w:pPr>
            <w:r>
              <w:rPr>
                <w:sz w:val="20"/>
                <w:szCs w:val="20"/>
              </w:rPr>
              <w:t>БИК __________________</w:t>
            </w:r>
          </w:p>
          <w:p>
            <w:pPr>
              <w:pStyle w:val="Normal"/>
              <w:snapToGrid w:val="false"/>
              <w:spacing w:before="0" w:after="0"/>
              <w:contextualSpacing/>
              <w:jc w:val="both"/>
              <w:rPr>
                <w:sz w:val="20"/>
                <w:szCs w:val="20"/>
                <w:lang w:val="en-US"/>
              </w:rPr>
            </w:pPr>
            <w:r>
              <w:rPr>
                <w:sz w:val="20"/>
                <w:szCs w:val="20"/>
                <w:lang w:val="en-US"/>
              </w:rPr>
            </w:r>
          </w:p>
          <w:p>
            <w:pPr>
              <w:pStyle w:val="Normal"/>
              <w:snapToGrid w:val="false"/>
              <w:spacing w:before="0" w:after="0"/>
              <w:contextualSpacing/>
              <w:jc w:val="both"/>
              <w:rPr>
                <w:sz w:val="20"/>
                <w:szCs w:val="20"/>
                <w:lang w:val="en-US"/>
              </w:rPr>
            </w:pPr>
            <w:r>
              <w:rPr>
                <w:sz w:val="20"/>
                <w:szCs w:val="20"/>
                <w:lang w:val="en-US"/>
              </w:rPr>
            </w:r>
          </w:p>
          <w:p>
            <w:pPr>
              <w:pStyle w:val="Normal"/>
              <w:snapToGrid w:val="false"/>
              <w:spacing w:before="0" w:after="0"/>
              <w:contextualSpacing/>
              <w:jc w:val="both"/>
              <w:rPr>
                <w:sz w:val="20"/>
                <w:szCs w:val="20"/>
              </w:rPr>
            </w:pPr>
            <w:r>
              <w:rPr>
                <w:sz w:val="20"/>
                <w:szCs w:val="20"/>
              </w:rPr>
            </w:r>
          </w:p>
          <w:p>
            <w:pPr>
              <w:pStyle w:val="Normal"/>
              <w:snapToGrid w:val="false"/>
              <w:spacing w:before="0" w:after="0"/>
              <w:contextualSpacing/>
              <w:jc w:val="both"/>
              <w:rPr>
                <w:sz w:val="20"/>
                <w:szCs w:val="20"/>
              </w:rPr>
            </w:pPr>
            <w:r>
              <w:rPr>
                <w:sz w:val="20"/>
                <w:szCs w:val="20"/>
              </w:rPr>
            </w:r>
          </w:p>
          <w:p>
            <w:pPr>
              <w:pStyle w:val="Normal"/>
              <w:snapToGrid w:val="false"/>
              <w:spacing w:before="0" w:after="0"/>
              <w:contextualSpacing/>
              <w:jc w:val="both"/>
              <w:rPr>
                <w:sz w:val="20"/>
                <w:szCs w:val="20"/>
              </w:rPr>
            </w:pPr>
            <w:r>
              <w:rPr>
                <w:sz w:val="20"/>
                <w:szCs w:val="20"/>
              </w:rPr>
            </w:r>
          </w:p>
          <w:p>
            <w:pPr>
              <w:pStyle w:val="Normal"/>
              <w:snapToGrid w:val="false"/>
              <w:spacing w:before="0" w:after="0"/>
              <w:contextualSpacing/>
              <w:jc w:val="both"/>
              <w:rPr>
                <w:sz w:val="20"/>
                <w:szCs w:val="20"/>
              </w:rPr>
            </w:pPr>
            <w:r>
              <w:rPr>
                <w:sz w:val="20"/>
                <w:szCs w:val="20"/>
              </w:rPr>
              <w:t>______________________</w:t>
            </w:r>
          </w:p>
          <w:p>
            <w:pPr>
              <w:pStyle w:val="Normal"/>
              <w:snapToGrid w:val="false"/>
              <w:spacing w:before="0" w:after="0"/>
              <w:contextualSpacing/>
              <w:jc w:val="both"/>
              <w:rPr>
                <w:sz w:val="20"/>
                <w:szCs w:val="20"/>
              </w:rPr>
            </w:pPr>
            <w:r>
              <w:rPr>
                <w:sz w:val="20"/>
                <w:szCs w:val="20"/>
              </w:rPr>
            </w:r>
          </w:p>
          <w:p>
            <w:pPr>
              <w:pStyle w:val="Normal"/>
              <w:snapToGrid w:val="false"/>
              <w:spacing w:before="0" w:after="0"/>
              <w:contextualSpacing/>
              <w:jc w:val="both"/>
              <w:rPr>
                <w:sz w:val="20"/>
                <w:szCs w:val="20"/>
              </w:rPr>
            </w:pPr>
            <w:r>
              <w:rPr>
                <w:sz w:val="20"/>
                <w:szCs w:val="20"/>
              </w:rPr>
            </w:r>
          </w:p>
          <w:p>
            <w:pPr>
              <w:pStyle w:val="Normal"/>
              <w:snapToGrid w:val="false"/>
              <w:spacing w:before="0" w:after="0"/>
              <w:contextualSpacing/>
              <w:jc w:val="both"/>
              <w:rPr>
                <w:sz w:val="20"/>
                <w:szCs w:val="20"/>
              </w:rPr>
            </w:pPr>
            <w:r>
              <w:rPr>
                <w:sz w:val="20"/>
                <w:szCs w:val="20"/>
              </w:rPr>
              <w:t>______________ /_______/</w:t>
            </w:r>
          </w:p>
          <w:p>
            <w:pPr>
              <w:pStyle w:val="Normal"/>
              <w:snapToGrid w:val="false"/>
              <w:spacing w:before="0" w:after="0"/>
              <w:contextualSpacing/>
              <w:jc w:val="both"/>
              <w:rPr>
                <w:sz w:val="20"/>
                <w:szCs w:val="20"/>
              </w:rPr>
            </w:pPr>
            <w:r>
              <w:rPr>
                <w:sz w:val="20"/>
                <w:szCs w:val="20"/>
              </w:rPr>
            </w:r>
          </w:p>
          <w:p>
            <w:pPr>
              <w:pStyle w:val="Normal"/>
              <w:snapToGrid w:val="false"/>
              <w:spacing w:before="0" w:after="0"/>
              <w:contextualSpacing/>
              <w:jc w:val="both"/>
              <w:rPr/>
            </w:pPr>
            <w:r>
              <w:rPr>
                <w:sz w:val="20"/>
                <w:szCs w:val="20"/>
              </w:rPr>
              <w:t>«______» _______________ 2026 г.</w:t>
            </w:r>
          </w:p>
          <w:p>
            <w:pPr>
              <w:pStyle w:val="Normal"/>
              <w:snapToGrid w:val="false"/>
              <w:spacing w:before="0" w:after="0"/>
              <w:contextualSpacing/>
              <w:jc w:val="both"/>
              <w:rPr>
                <w:rFonts w:eastAsia="SimSun;宋体"/>
                <w:sz w:val="20"/>
                <w:szCs w:val="20"/>
              </w:rPr>
            </w:pPr>
            <w:r>
              <w:rPr>
                <w:sz w:val="20"/>
                <w:szCs w:val="20"/>
              </w:rPr>
              <w:t>МП</w:t>
              <w:tab/>
            </w:r>
          </w:p>
        </w:tc>
      </w:tr>
    </w:tbl>
    <w:p>
      <w:pPr>
        <w:sectPr>
          <w:type w:val="nextPage"/>
          <w:pgSz w:w="11906" w:h="16838"/>
          <w:pgMar w:left="1134" w:right="567" w:gutter="0" w:header="0" w:top="567" w:footer="0" w:bottom="567"/>
          <w:pgNumType w:fmt="decimal"/>
          <w:formProt w:val="false"/>
          <w:textDirection w:val="lrTb"/>
          <w:docGrid w:type="default" w:linePitch="360" w:charSpace="0"/>
        </w:sectPr>
        <w:pStyle w:val="Normal"/>
        <w:numPr>
          <w:ilvl w:val="0"/>
          <w:numId w:val="0"/>
        </w:numPr>
        <w:rPr>
          <w:sz w:val="20"/>
          <w:szCs w:val="20"/>
        </w:rPr>
      </w:pPr>
      <w:r>
        <w:rPr>
          <w:sz w:val="20"/>
          <w:szCs w:val="20"/>
        </w:rPr>
        <mc:AlternateContent>
          <mc:Choice Requires="wps">
            <w:drawing>
              <wp:anchor behindDoc="0" distT="0" distB="0" distL="114935" distR="114935" simplePos="0" locked="0" layoutInCell="1" allowOverlap="1" relativeHeight="4">
                <wp:simplePos x="0" y="0"/>
                <wp:positionH relativeFrom="column">
                  <wp:posOffset>-253365</wp:posOffset>
                </wp:positionH>
                <wp:positionV relativeFrom="paragraph">
                  <wp:posOffset>1551305</wp:posOffset>
                </wp:positionV>
                <wp:extent cx="6286500" cy="923290"/>
                <wp:effectExtent l="5080" t="5080" r="5080" b="5080"/>
                <wp:wrapNone/>
                <wp:docPr id="1" name=""/>
                <a:graphic xmlns:a="http://schemas.openxmlformats.org/drawingml/2006/main">
                  <a:graphicData uri="http://schemas.microsoft.com/office/word/2010/wordprocessingShape">
                    <wps:wsp>
                      <wps:cNvSpPr/>
                      <wps:spPr>
                        <a:xfrm>
                          <a:off x="0" y="0"/>
                          <a:ext cx="6286680" cy="92340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19.95pt;margin-top:122.15pt;width:494.95pt;height:72.65pt;mso-wrap-style:none;v-text-anchor:middle">
                <v:fill o:detectmouseclick="t" type="solid" color2="black"/>
                <v:stroke color="white" weight="9360" joinstyle="miter" endcap="flat"/>
                <w10:wrap type="none"/>
              </v:rect>
            </w:pict>
          </mc:Fallback>
        </mc:AlternateContent>
      </w:r>
      <w:r>
        <mc:AlternateContent>
          <mc:Choice Requires="wps">
            <w:drawing>
              <wp:anchor behindDoc="0" distT="0" distB="0" distL="114935" distR="114935" simplePos="0" locked="0" layoutInCell="1" allowOverlap="1" relativeHeight="3">
                <wp:simplePos x="0" y="0"/>
                <wp:positionH relativeFrom="column">
                  <wp:posOffset>-167640</wp:posOffset>
                </wp:positionH>
                <wp:positionV relativeFrom="paragraph">
                  <wp:posOffset>641985</wp:posOffset>
                </wp:positionV>
                <wp:extent cx="6200775" cy="396240"/>
                <wp:effectExtent l="0" t="0" r="0" b="0"/>
                <wp:wrapNone/>
                <wp:docPr id="2" name="Frame1"/>
                <a:graphic xmlns:a="http://schemas.openxmlformats.org/drawingml/2006/main">
                  <a:graphicData uri="http://schemas.microsoft.com/office/word/2010/wordprocessingShape">
                    <wps:wsp>
                      <wps:cNvSpPr txBox="1"/>
                      <wps:spPr>
                        <a:xfrm>
                          <a:off x="0" y="0"/>
                          <a:ext cx="6200775" cy="39624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488.25pt;height:31.2pt;mso-wrap-distance-left:9.05pt;mso-wrap-distance-right:9.05pt;mso-wrap-distance-top:0pt;mso-wrap-distance-bottom:0pt;margin-top:50.55pt;mso-position-vertical-relative:text;margin-left:-13.2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jc w:val="right"/>
        <w:rPr>
          <w:sz w:val="20"/>
          <w:szCs w:val="20"/>
        </w:rPr>
      </w:pPr>
      <w:r>
        <w:rPr>
          <w:sz w:val="20"/>
          <w:szCs w:val="20"/>
        </w:rPr>
        <w:t xml:space="preserve">Приложение №1 </w:t>
      </w:r>
    </w:p>
    <w:p>
      <w:pPr>
        <w:pStyle w:val="Normal"/>
        <w:jc w:val="right"/>
        <w:rPr/>
      </w:pPr>
      <w:r>
        <w:rPr>
          <w:sz w:val="20"/>
          <w:szCs w:val="20"/>
        </w:rPr>
        <w:t>к договору № 601 от «___» ___ 2026 года</w:t>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center"/>
        <w:rPr>
          <w:b/>
          <w:bCs/>
          <w:sz w:val="20"/>
          <w:szCs w:val="20"/>
        </w:rPr>
      </w:pPr>
      <w:r>
        <w:rPr>
          <w:b/>
          <w:bCs/>
          <w:sz w:val="20"/>
          <w:szCs w:val="20"/>
        </w:rPr>
        <w:t>Протокол согласования цены</w:t>
      </w:r>
    </w:p>
    <w:p>
      <w:pPr>
        <w:pStyle w:val="Normal"/>
        <w:tabs>
          <w:tab w:val="clear" w:pos="708"/>
          <w:tab w:val="left" w:pos="1725" w:leader="none"/>
        </w:tabs>
        <w:rPr>
          <w:b/>
          <w:bCs/>
          <w:sz w:val="20"/>
          <w:szCs w:val="20"/>
        </w:rPr>
      </w:pPr>
      <w:r>
        <w:rPr>
          <w:b/>
          <w:bCs/>
          <w:sz w:val="20"/>
          <w:szCs w:val="20"/>
        </w:rPr>
      </w:r>
    </w:p>
    <w:p>
      <w:pPr>
        <w:pStyle w:val="Normal"/>
        <w:tabs>
          <w:tab w:val="clear" w:pos="708"/>
          <w:tab w:val="left" w:pos="1725" w:leader="none"/>
        </w:tabs>
        <w:rPr>
          <w:b/>
          <w:sz w:val="20"/>
          <w:szCs w:val="20"/>
        </w:rPr>
      </w:pPr>
      <w:r>
        <w:rPr>
          <w:b/>
          <w:sz w:val="20"/>
          <w:szCs w:val="20"/>
        </w:rPr>
      </w:r>
    </w:p>
    <w:tbl>
      <w:tblPr>
        <w:tblW w:w="9413" w:type="dxa"/>
        <w:jc w:val="left"/>
        <w:tblInd w:w="-34" w:type="dxa"/>
        <w:tblLayout w:type="fixed"/>
        <w:tblCellMar>
          <w:top w:w="0" w:type="dxa"/>
          <w:left w:w="108" w:type="dxa"/>
          <w:bottom w:w="0" w:type="dxa"/>
          <w:right w:w="108" w:type="dxa"/>
        </w:tblCellMar>
      </w:tblPr>
      <w:tblGrid>
        <w:gridCol w:w="680"/>
        <w:gridCol w:w="4140"/>
        <w:gridCol w:w="840"/>
        <w:gridCol w:w="861"/>
        <w:gridCol w:w="1474"/>
        <w:gridCol w:w="1418"/>
      </w:tblGrid>
      <w:tr>
        <w:trPr>
          <w:trHeight w:val="900" w:hRule="atLeast"/>
        </w:trPr>
        <w:tc>
          <w:tcPr>
            <w:tcW w:w="6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 xml:space="preserve">№ </w:t>
            </w:r>
            <w:r>
              <w:rPr>
                <w:b/>
                <w:bCs/>
                <w:sz w:val="20"/>
                <w:szCs w:val="20"/>
              </w:rPr>
              <w:t>п/п</w:t>
            </w:r>
          </w:p>
        </w:tc>
        <w:tc>
          <w:tcPr>
            <w:tcW w:w="4140"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Наименование работ</w:t>
            </w:r>
          </w:p>
        </w:tc>
        <w:tc>
          <w:tcPr>
            <w:tcW w:w="840"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Ед. изм.</w:t>
            </w:r>
          </w:p>
        </w:tc>
        <w:tc>
          <w:tcPr>
            <w:tcW w:w="861"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Кол-во</w:t>
            </w:r>
          </w:p>
        </w:tc>
        <w:tc>
          <w:tcPr>
            <w:tcW w:w="1474"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Цена за 1 ед., руб., без НДС</w:t>
            </w:r>
          </w:p>
        </w:tc>
        <w:tc>
          <w:tcPr>
            <w:tcW w:w="1418"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Всего, руб., без НДС</w:t>
            </w:r>
          </w:p>
        </w:tc>
      </w:tr>
      <w:tr>
        <w:trPr>
          <w:trHeight w:val="624" w:hRule="atLeast"/>
        </w:trPr>
        <w:tc>
          <w:tcPr>
            <w:tcW w:w="6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w:t>
            </w:r>
          </w:p>
        </w:tc>
        <w:tc>
          <w:tcPr>
            <w:tcW w:w="41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 xml:space="preserve">Определение места повреждения КЛ-10кВ </w:t>
            </w:r>
          </w:p>
        </w:tc>
        <w:tc>
          <w:tcPr>
            <w:tcW w:w="84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место</w:t>
            </w:r>
          </w:p>
        </w:tc>
        <w:tc>
          <w:tcPr>
            <w:tcW w:w="861" w:type="dxa"/>
            <w:tcBorders>
              <w:top w:val="single" w:sz="4" w:space="0" w:color="000000"/>
              <w:bottom w:val="single" w:sz="4" w:space="0" w:color="000000"/>
              <w:right w:val="single" w:sz="4" w:space="0" w:color="000000"/>
            </w:tcBorders>
            <w:vAlign w:val="center"/>
          </w:tcPr>
          <w:p>
            <w:pPr>
              <w:pStyle w:val="Normal"/>
              <w:snapToGrid w:val="false"/>
              <w:jc w:val="center"/>
              <w:rPr>
                <w:sz w:val="20"/>
                <w:szCs w:val="20"/>
              </w:rPr>
            </w:pPr>
            <w:r>
              <w:rPr>
                <w:sz w:val="20"/>
                <w:szCs w:val="20"/>
              </w:rPr>
            </w:r>
          </w:p>
        </w:tc>
        <w:tc>
          <w:tcPr>
            <w:tcW w:w="1474" w:type="dxa"/>
            <w:tcBorders>
              <w:top w:val="single" w:sz="4" w:space="0" w:color="000000"/>
              <w:bottom w:val="single" w:sz="4" w:space="0" w:color="000000"/>
              <w:right w:val="single" w:sz="4" w:space="0" w:color="000000"/>
            </w:tcBorders>
            <w:vAlign w:val="center"/>
          </w:tcPr>
          <w:p>
            <w:pPr>
              <w:pStyle w:val="Normal"/>
              <w:snapToGrid w:val="false"/>
              <w:jc w:val="center"/>
              <w:rPr>
                <w:sz w:val="20"/>
                <w:szCs w:val="20"/>
              </w:rPr>
            </w:pPr>
            <w:r>
              <w:rPr>
                <w:sz w:val="20"/>
                <w:szCs w:val="20"/>
              </w:rPr>
            </w:r>
          </w:p>
        </w:tc>
        <w:tc>
          <w:tcPr>
            <w:tcW w:w="1418" w:type="dxa"/>
            <w:tcBorders>
              <w:top w:val="single" w:sz="4" w:space="0" w:color="000000"/>
              <w:bottom w:val="single" w:sz="4" w:space="0" w:color="000000"/>
              <w:right w:val="single" w:sz="4" w:space="0" w:color="000000"/>
            </w:tcBorders>
            <w:vAlign w:val="center"/>
          </w:tcPr>
          <w:p>
            <w:pPr>
              <w:pStyle w:val="Normal"/>
              <w:snapToGrid w:val="false"/>
              <w:jc w:val="center"/>
              <w:rPr>
                <w:sz w:val="20"/>
                <w:szCs w:val="20"/>
              </w:rPr>
            </w:pPr>
            <w:r>
              <w:rPr>
                <w:sz w:val="20"/>
                <w:szCs w:val="20"/>
              </w:rPr>
            </w:r>
          </w:p>
        </w:tc>
      </w:tr>
      <w:tr>
        <w:trPr>
          <w:trHeight w:val="624" w:hRule="atLeast"/>
        </w:trPr>
        <w:tc>
          <w:tcPr>
            <w:tcW w:w="68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w:t>
            </w:r>
          </w:p>
        </w:tc>
        <w:tc>
          <w:tcPr>
            <w:tcW w:w="4140" w:type="dxa"/>
            <w:tcBorders>
              <w:bottom w:val="single" w:sz="4" w:space="0" w:color="000000"/>
              <w:right w:val="single" w:sz="4" w:space="0" w:color="000000"/>
            </w:tcBorders>
            <w:vAlign w:val="center"/>
          </w:tcPr>
          <w:p>
            <w:pPr>
              <w:pStyle w:val="Normal"/>
              <w:rPr>
                <w:sz w:val="20"/>
                <w:szCs w:val="20"/>
              </w:rPr>
            </w:pPr>
            <w:r>
              <w:rPr>
                <w:sz w:val="20"/>
                <w:szCs w:val="20"/>
              </w:rPr>
              <w:t>Прокладка кабеля АСБл 3х150 с учётом материала</w:t>
            </w:r>
          </w:p>
        </w:tc>
        <w:tc>
          <w:tcPr>
            <w:tcW w:w="840" w:type="dxa"/>
            <w:tcBorders>
              <w:bottom w:val="single" w:sz="4" w:space="0" w:color="000000"/>
              <w:right w:val="single" w:sz="4" w:space="0" w:color="000000"/>
            </w:tcBorders>
            <w:vAlign w:val="center"/>
          </w:tcPr>
          <w:p>
            <w:pPr>
              <w:pStyle w:val="Normal"/>
              <w:jc w:val="center"/>
              <w:rPr>
                <w:sz w:val="20"/>
                <w:szCs w:val="20"/>
              </w:rPr>
            </w:pPr>
            <w:r>
              <w:rPr>
                <w:sz w:val="20"/>
                <w:szCs w:val="20"/>
              </w:rPr>
              <w:t>м</w:t>
            </w:r>
          </w:p>
        </w:tc>
        <w:tc>
          <w:tcPr>
            <w:tcW w:w="861" w:type="dxa"/>
            <w:tcBorders>
              <w:bottom w:val="single" w:sz="4" w:space="0" w:color="000000"/>
              <w:right w:val="single" w:sz="4" w:space="0" w:color="000000"/>
            </w:tcBorders>
            <w:vAlign w:val="center"/>
          </w:tcPr>
          <w:p>
            <w:pPr>
              <w:pStyle w:val="Normal"/>
              <w:snapToGrid w:val="false"/>
              <w:jc w:val="center"/>
              <w:rPr>
                <w:sz w:val="20"/>
                <w:szCs w:val="20"/>
              </w:rPr>
            </w:pPr>
            <w:r>
              <w:rPr>
                <w:sz w:val="20"/>
                <w:szCs w:val="20"/>
              </w:rPr>
            </w:r>
          </w:p>
        </w:tc>
        <w:tc>
          <w:tcPr>
            <w:tcW w:w="1474" w:type="dxa"/>
            <w:tcBorders>
              <w:bottom w:val="single" w:sz="4" w:space="0" w:color="000000"/>
              <w:right w:val="single" w:sz="4" w:space="0" w:color="000000"/>
            </w:tcBorders>
            <w:vAlign w:val="center"/>
          </w:tcPr>
          <w:p>
            <w:pPr>
              <w:pStyle w:val="Normal"/>
              <w:snapToGrid w:val="false"/>
              <w:jc w:val="center"/>
              <w:rPr>
                <w:sz w:val="20"/>
                <w:szCs w:val="20"/>
              </w:rPr>
            </w:pPr>
            <w:r>
              <w:rPr>
                <w:sz w:val="20"/>
                <w:szCs w:val="20"/>
              </w:rPr>
            </w:r>
          </w:p>
        </w:tc>
        <w:tc>
          <w:tcPr>
            <w:tcW w:w="1418" w:type="dxa"/>
            <w:tcBorders>
              <w:bottom w:val="single" w:sz="4" w:space="0" w:color="000000"/>
              <w:right w:val="single" w:sz="4" w:space="0" w:color="000000"/>
            </w:tcBorders>
            <w:vAlign w:val="center"/>
          </w:tcPr>
          <w:p>
            <w:pPr>
              <w:pStyle w:val="Normal"/>
              <w:snapToGrid w:val="false"/>
              <w:jc w:val="center"/>
              <w:rPr>
                <w:sz w:val="20"/>
                <w:szCs w:val="20"/>
              </w:rPr>
            </w:pPr>
            <w:r>
              <w:rPr>
                <w:sz w:val="20"/>
                <w:szCs w:val="20"/>
              </w:rPr>
            </w:r>
          </w:p>
        </w:tc>
      </w:tr>
      <w:tr>
        <w:trPr>
          <w:trHeight w:val="624" w:hRule="atLeast"/>
        </w:trPr>
        <w:tc>
          <w:tcPr>
            <w:tcW w:w="68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w:t>
            </w:r>
          </w:p>
        </w:tc>
        <w:tc>
          <w:tcPr>
            <w:tcW w:w="4140" w:type="dxa"/>
            <w:tcBorders>
              <w:bottom w:val="single" w:sz="4" w:space="0" w:color="000000"/>
              <w:right w:val="single" w:sz="4" w:space="0" w:color="000000"/>
            </w:tcBorders>
            <w:vAlign w:val="center"/>
          </w:tcPr>
          <w:p>
            <w:pPr>
              <w:pStyle w:val="Normal"/>
              <w:rPr/>
            </w:pPr>
            <w:r>
              <w:rPr>
                <w:sz w:val="20"/>
                <w:szCs w:val="20"/>
              </w:rPr>
              <w:t>Монтаж кабельной муфты 3СТп-10-150-240(Б) с учётом материала</w:t>
            </w:r>
          </w:p>
        </w:tc>
        <w:tc>
          <w:tcPr>
            <w:tcW w:w="840" w:type="dxa"/>
            <w:tcBorders>
              <w:bottom w:val="single" w:sz="4" w:space="0" w:color="000000"/>
              <w:right w:val="single" w:sz="4" w:space="0" w:color="000000"/>
            </w:tcBorders>
            <w:vAlign w:val="center"/>
          </w:tcPr>
          <w:p>
            <w:pPr>
              <w:pStyle w:val="Normal"/>
              <w:jc w:val="center"/>
              <w:rPr>
                <w:sz w:val="20"/>
                <w:szCs w:val="20"/>
              </w:rPr>
            </w:pPr>
            <w:r>
              <w:rPr>
                <w:sz w:val="20"/>
                <w:szCs w:val="20"/>
              </w:rPr>
              <w:t>шт.</w:t>
            </w:r>
          </w:p>
        </w:tc>
        <w:tc>
          <w:tcPr>
            <w:tcW w:w="861" w:type="dxa"/>
            <w:tcBorders>
              <w:bottom w:val="single" w:sz="4" w:space="0" w:color="000000"/>
              <w:right w:val="single" w:sz="4" w:space="0" w:color="000000"/>
            </w:tcBorders>
            <w:vAlign w:val="center"/>
          </w:tcPr>
          <w:p>
            <w:pPr>
              <w:pStyle w:val="Normal"/>
              <w:snapToGrid w:val="false"/>
              <w:jc w:val="center"/>
              <w:rPr>
                <w:sz w:val="20"/>
                <w:szCs w:val="20"/>
              </w:rPr>
            </w:pPr>
            <w:r>
              <w:rPr>
                <w:sz w:val="20"/>
                <w:szCs w:val="20"/>
              </w:rPr>
            </w:r>
          </w:p>
        </w:tc>
        <w:tc>
          <w:tcPr>
            <w:tcW w:w="1474" w:type="dxa"/>
            <w:tcBorders>
              <w:bottom w:val="single" w:sz="4" w:space="0" w:color="000000"/>
              <w:right w:val="single" w:sz="4" w:space="0" w:color="000000"/>
            </w:tcBorders>
            <w:vAlign w:val="center"/>
          </w:tcPr>
          <w:p>
            <w:pPr>
              <w:pStyle w:val="Normal"/>
              <w:snapToGrid w:val="false"/>
              <w:jc w:val="center"/>
              <w:rPr>
                <w:sz w:val="20"/>
                <w:szCs w:val="20"/>
              </w:rPr>
            </w:pPr>
            <w:r>
              <w:rPr>
                <w:sz w:val="20"/>
                <w:szCs w:val="20"/>
              </w:rPr>
            </w:r>
          </w:p>
        </w:tc>
        <w:tc>
          <w:tcPr>
            <w:tcW w:w="1418" w:type="dxa"/>
            <w:tcBorders>
              <w:bottom w:val="single" w:sz="4" w:space="0" w:color="000000"/>
              <w:right w:val="single" w:sz="4" w:space="0" w:color="000000"/>
            </w:tcBorders>
            <w:vAlign w:val="center"/>
          </w:tcPr>
          <w:p>
            <w:pPr>
              <w:pStyle w:val="Normal"/>
              <w:snapToGrid w:val="false"/>
              <w:jc w:val="center"/>
              <w:rPr>
                <w:sz w:val="20"/>
                <w:szCs w:val="20"/>
              </w:rPr>
            </w:pPr>
            <w:r>
              <w:rPr>
                <w:sz w:val="20"/>
                <w:szCs w:val="20"/>
              </w:rPr>
            </w:r>
          </w:p>
        </w:tc>
      </w:tr>
      <w:tr>
        <w:trPr>
          <w:trHeight w:val="624" w:hRule="atLeast"/>
        </w:trPr>
        <w:tc>
          <w:tcPr>
            <w:tcW w:w="68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w:t>
            </w:r>
          </w:p>
        </w:tc>
        <w:tc>
          <w:tcPr>
            <w:tcW w:w="4140" w:type="dxa"/>
            <w:tcBorders>
              <w:bottom w:val="single" w:sz="4" w:space="0" w:color="000000"/>
              <w:right w:val="single" w:sz="4" w:space="0" w:color="000000"/>
            </w:tcBorders>
            <w:vAlign w:val="center"/>
          </w:tcPr>
          <w:p>
            <w:pPr>
              <w:pStyle w:val="Normal"/>
              <w:rPr>
                <w:sz w:val="20"/>
                <w:szCs w:val="20"/>
              </w:rPr>
            </w:pPr>
            <w:r>
              <w:rPr>
                <w:sz w:val="20"/>
                <w:szCs w:val="20"/>
              </w:rPr>
              <w:t xml:space="preserve">Испытание КЛ-10 кВ повышенным напряжением </w:t>
            </w:r>
          </w:p>
        </w:tc>
        <w:tc>
          <w:tcPr>
            <w:tcW w:w="840" w:type="dxa"/>
            <w:tcBorders>
              <w:bottom w:val="single" w:sz="4" w:space="0" w:color="000000"/>
              <w:right w:val="single" w:sz="4" w:space="0" w:color="000000"/>
            </w:tcBorders>
            <w:vAlign w:val="center"/>
          </w:tcPr>
          <w:p>
            <w:pPr>
              <w:pStyle w:val="Normal"/>
              <w:jc w:val="center"/>
              <w:rPr>
                <w:sz w:val="20"/>
                <w:szCs w:val="20"/>
              </w:rPr>
            </w:pPr>
            <w:r>
              <w:rPr>
                <w:sz w:val="20"/>
                <w:szCs w:val="20"/>
              </w:rPr>
              <w:t>линия</w:t>
            </w:r>
          </w:p>
        </w:tc>
        <w:tc>
          <w:tcPr>
            <w:tcW w:w="861" w:type="dxa"/>
            <w:tcBorders>
              <w:bottom w:val="single" w:sz="4" w:space="0" w:color="000000"/>
              <w:right w:val="single" w:sz="4" w:space="0" w:color="000000"/>
            </w:tcBorders>
            <w:vAlign w:val="center"/>
          </w:tcPr>
          <w:p>
            <w:pPr>
              <w:pStyle w:val="Normal"/>
              <w:snapToGrid w:val="false"/>
              <w:jc w:val="center"/>
              <w:rPr>
                <w:sz w:val="20"/>
                <w:szCs w:val="20"/>
              </w:rPr>
            </w:pPr>
            <w:r>
              <w:rPr>
                <w:sz w:val="20"/>
                <w:szCs w:val="20"/>
              </w:rPr>
            </w:r>
          </w:p>
        </w:tc>
        <w:tc>
          <w:tcPr>
            <w:tcW w:w="1474" w:type="dxa"/>
            <w:tcBorders>
              <w:bottom w:val="single" w:sz="4" w:space="0" w:color="000000"/>
              <w:right w:val="single" w:sz="4" w:space="0" w:color="000000"/>
            </w:tcBorders>
            <w:vAlign w:val="center"/>
          </w:tcPr>
          <w:p>
            <w:pPr>
              <w:pStyle w:val="Normal"/>
              <w:snapToGrid w:val="false"/>
              <w:jc w:val="center"/>
              <w:rPr>
                <w:sz w:val="20"/>
                <w:szCs w:val="20"/>
              </w:rPr>
            </w:pPr>
            <w:r>
              <w:rPr>
                <w:sz w:val="20"/>
                <w:szCs w:val="20"/>
              </w:rPr>
            </w:r>
          </w:p>
        </w:tc>
        <w:tc>
          <w:tcPr>
            <w:tcW w:w="1418" w:type="dxa"/>
            <w:tcBorders>
              <w:bottom w:val="single" w:sz="4" w:space="0" w:color="000000"/>
              <w:right w:val="single" w:sz="4" w:space="0" w:color="000000"/>
            </w:tcBorders>
            <w:vAlign w:val="center"/>
          </w:tcPr>
          <w:p>
            <w:pPr>
              <w:pStyle w:val="Normal"/>
              <w:snapToGrid w:val="false"/>
              <w:jc w:val="center"/>
              <w:rPr>
                <w:sz w:val="20"/>
                <w:szCs w:val="20"/>
              </w:rPr>
            </w:pPr>
            <w:r>
              <w:rPr>
                <w:sz w:val="20"/>
                <w:szCs w:val="20"/>
              </w:rPr>
            </w:r>
          </w:p>
        </w:tc>
      </w:tr>
      <w:tr>
        <w:trPr>
          <w:trHeight w:val="300" w:hRule="atLeast"/>
        </w:trPr>
        <w:tc>
          <w:tcPr>
            <w:tcW w:w="7995" w:type="dxa"/>
            <w:gridSpan w:val="5"/>
            <w:tcBorders>
              <w:top w:val="single" w:sz="4" w:space="0" w:color="000000"/>
              <w:left w:val="single" w:sz="4" w:space="0" w:color="000000"/>
              <w:bottom w:val="single" w:sz="4" w:space="0" w:color="000000"/>
              <w:right w:val="single" w:sz="4" w:space="0" w:color="000000"/>
            </w:tcBorders>
            <w:vAlign w:val="center"/>
          </w:tcPr>
          <w:p>
            <w:pPr>
              <w:pStyle w:val="Normal"/>
              <w:rPr>
                <w:b/>
                <w:bCs/>
                <w:sz w:val="20"/>
                <w:szCs w:val="20"/>
              </w:rPr>
            </w:pPr>
            <w:r>
              <w:rPr>
                <w:b/>
                <w:bCs/>
                <w:sz w:val="20"/>
                <w:szCs w:val="20"/>
              </w:rPr>
              <w:t>Итого без НДС:</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b/>
                <w:bCs/>
                <w:sz w:val="20"/>
                <w:szCs w:val="20"/>
              </w:rPr>
            </w:pPr>
            <w:r>
              <w:rPr>
                <w:b/>
                <w:bCs/>
                <w:sz w:val="20"/>
                <w:szCs w:val="20"/>
              </w:rPr>
            </w:r>
          </w:p>
        </w:tc>
      </w:tr>
      <w:tr>
        <w:trPr>
          <w:trHeight w:val="300" w:hRule="atLeast"/>
        </w:trPr>
        <w:tc>
          <w:tcPr>
            <w:tcW w:w="7995" w:type="dxa"/>
            <w:gridSpan w:val="5"/>
            <w:tcBorders>
              <w:top w:val="single" w:sz="4" w:space="0" w:color="000000"/>
              <w:left w:val="single" w:sz="4" w:space="0" w:color="000000"/>
              <w:bottom w:val="single" w:sz="4" w:space="0" w:color="000000"/>
              <w:right w:val="single" w:sz="4" w:space="0" w:color="000000"/>
            </w:tcBorders>
            <w:vAlign w:val="center"/>
          </w:tcPr>
          <w:p>
            <w:pPr>
              <w:pStyle w:val="Normal"/>
              <w:rPr>
                <w:b/>
                <w:bCs/>
                <w:sz w:val="20"/>
                <w:szCs w:val="20"/>
              </w:rPr>
            </w:pPr>
            <w:r>
              <w:rPr>
                <w:b/>
                <w:bCs/>
                <w:sz w:val="20"/>
                <w:szCs w:val="20"/>
              </w:rPr>
              <w:t>НДС облагается/не облагается</w:t>
            </w:r>
          </w:p>
        </w:tc>
        <w:tc>
          <w:tcPr>
            <w:tcW w:w="1418" w:type="dxa"/>
            <w:tcBorders>
              <w:left w:val="single" w:sz="4" w:space="0" w:color="000000"/>
              <w:bottom w:val="single" w:sz="4" w:space="0" w:color="000000"/>
              <w:right w:val="single" w:sz="4" w:space="0" w:color="000000"/>
            </w:tcBorders>
            <w:vAlign w:val="center"/>
          </w:tcPr>
          <w:p>
            <w:pPr>
              <w:pStyle w:val="Normal"/>
              <w:snapToGrid w:val="false"/>
              <w:jc w:val="center"/>
              <w:rPr>
                <w:b/>
                <w:bCs/>
                <w:sz w:val="20"/>
                <w:szCs w:val="20"/>
              </w:rPr>
            </w:pPr>
            <w:r>
              <w:rPr>
                <w:b/>
                <w:bCs/>
                <w:sz w:val="20"/>
                <w:szCs w:val="20"/>
              </w:rPr>
            </w:r>
          </w:p>
        </w:tc>
      </w:tr>
      <w:tr>
        <w:trPr>
          <w:trHeight w:val="300" w:hRule="atLeast"/>
        </w:trPr>
        <w:tc>
          <w:tcPr>
            <w:tcW w:w="7995" w:type="dxa"/>
            <w:gridSpan w:val="5"/>
            <w:tcBorders>
              <w:top w:val="single" w:sz="4" w:space="0" w:color="000000"/>
              <w:left w:val="single" w:sz="4" w:space="0" w:color="000000"/>
              <w:bottom w:val="single" w:sz="4" w:space="0" w:color="000000"/>
              <w:right w:val="single" w:sz="4" w:space="0" w:color="000000"/>
            </w:tcBorders>
            <w:vAlign w:val="center"/>
          </w:tcPr>
          <w:p>
            <w:pPr>
              <w:pStyle w:val="Normal"/>
              <w:rPr>
                <w:b/>
                <w:bCs/>
                <w:sz w:val="20"/>
                <w:szCs w:val="20"/>
              </w:rPr>
            </w:pPr>
            <w:r>
              <w:rPr>
                <w:b/>
                <w:bCs/>
                <w:sz w:val="20"/>
                <w:szCs w:val="20"/>
              </w:rPr>
              <w:t>Всего с НДС:</w:t>
            </w:r>
          </w:p>
        </w:tc>
        <w:tc>
          <w:tcPr>
            <w:tcW w:w="1418" w:type="dxa"/>
            <w:tcBorders>
              <w:left w:val="single" w:sz="4" w:space="0" w:color="000000"/>
              <w:bottom w:val="single" w:sz="4" w:space="0" w:color="000000"/>
              <w:right w:val="single" w:sz="4" w:space="0" w:color="000000"/>
            </w:tcBorders>
            <w:vAlign w:val="center"/>
          </w:tcPr>
          <w:p>
            <w:pPr>
              <w:pStyle w:val="Normal"/>
              <w:snapToGrid w:val="false"/>
              <w:jc w:val="center"/>
              <w:rPr>
                <w:b/>
                <w:bCs/>
                <w:sz w:val="20"/>
                <w:szCs w:val="20"/>
              </w:rPr>
            </w:pPr>
            <w:r>
              <w:rPr>
                <w:b/>
                <w:bCs/>
                <w:sz w:val="20"/>
                <w:szCs w:val="20"/>
              </w:rPr>
            </w:r>
          </w:p>
        </w:tc>
      </w:tr>
    </w:tbl>
    <w:p>
      <w:pPr>
        <w:pStyle w:val="Normal"/>
        <w:tabs>
          <w:tab w:val="clear" w:pos="708"/>
          <w:tab w:val="left" w:pos="1725" w:leader="none"/>
        </w:tabs>
        <w:ind w:firstLine="142" w:right="0"/>
        <w:rPr>
          <w:b/>
          <w:sz w:val="20"/>
          <w:szCs w:val="20"/>
        </w:rPr>
      </w:pPr>
      <w:r>
        <w:rPr>
          <w:b/>
          <w:sz w:val="20"/>
          <w:szCs w:val="20"/>
        </w:rPr>
      </w:r>
    </w:p>
    <w:p>
      <w:pPr>
        <w:pStyle w:val="Normal"/>
        <w:jc w:val="center"/>
        <w:rPr>
          <w:b/>
          <w:bCs/>
          <w:sz w:val="20"/>
          <w:szCs w:val="20"/>
        </w:rPr>
      </w:pPr>
      <w:r>
        <w:rPr>
          <w:b/>
          <w:bCs/>
          <w:sz w:val="20"/>
          <w:szCs w:val="20"/>
        </w:rPr>
      </w:r>
    </w:p>
    <w:p>
      <w:pPr>
        <w:pStyle w:val="Normal"/>
        <w:jc w:val="center"/>
        <w:rPr>
          <w:bCs/>
          <w:sz w:val="20"/>
          <w:szCs w:val="20"/>
        </w:rPr>
      </w:pPr>
      <w:r>
        <w:rPr>
          <w:bCs/>
          <w:sz w:val="20"/>
          <w:szCs w:val="20"/>
        </w:rPr>
      </w:r>
    </w:p>
    <w:p>
      <w:pPr>
        <w:pStyle w:val="Normal"/>
        <w:jc w:val="right"/>
        <w:rPr>
          <w:bCs/>
          <w:sz w:val="20"/>
          <w:szCs w:val="20"/>
        </w:rPr>
      </w:pPr>
      <w:r>
        <w:rPr>
          <w:bCs/>
          <w:sz w:val="20"/>
          <w:szCs w:val="20"/>
        </w:rPr>
      </w:r>
    </w:p>
    <w:tbl>
      <w:tblPr>
        <w:tblW w:w="9214" w:type="dxa"/>
        <w:jc w:val="left"/>
        <w:tblInd w:w="392" w:type="dxa"/>
        <w:tblLayout w:type="fixed"/>
        <w:tblCellMar>
          <w:top w:w="0" w:type="dxa"/>
          <w:left w:w="108" w:type="dxa"/>
          <w:bottom w:w="0" w:type="dxa"/>
          <w:right w:w="108" w:type="dxa"/>
        </w:tblCellMar>
      </w:tblPr>
      <w:tblGrid>
        <w:gridCol w:w="4962"/>
        <w:gridCol w:w="4252"/>
      </w:tblGrid>
      <w:tr>
        <w:trPr>
          <w:trHeight w:val="416" w:hRule="atLeast"/>
        </w:trPr>
        <w:tc>
          <w:tcPr>
            <w:tcW w:w="4962" w:type="dxa"/>
            <w:tcBorders/>
          </w:tcPr>
          <w:p>
            <w:pPr>
              <w:pStyle w:val="Normal"/>
              <w:snapToGrid w:val="false"/>
              <w:spacing w:before="0" w:after="120"/>
              <w:rPr>
                <w:b/>
                <w:sz w:val="20"/>
                <w:szCs w:val="20"/>
              </w:rPr>
            </w:pPr>
            <w:r>
              <w:rPr>
                <w:b/>
                <w:sz w:val="20"/>
                <w:szCs w:val="20"/>
              </w:rPr>
              <w:t>Заказчик</w:t>
            </w:r>
          </w:p>
          <w:p>
            <w:pPr>
              <w:pStyle w:val="Normal"/>
              <w:snapToGrid w:val="false"/>
              <w:jc w:val="both"/>
              <w:rPr/>
            </w:pPr>
            <w:r>
              <w:rPr>
                <w:rFonts w:eastAsia="SimSun;宋体"/>
                <w:sz w:val="20"/>
                <w:szCs w:val="20"/>
              </w:rPr>
              <w:t>Директор</w:t>
            </w:r>
          </w:p>
          <w:p>
            <w:pPr>
              <w:pStyle w:val="Normal"/>
              <w:snapToGrid w:val="false"/>
              <w:jc w:val="both"/>
              <w:rPr/>
            </w:pPr>
            <w:r>
              <w:rPr>
                <w:rFonts w:eastAsia="SimSun;宋体"/>
                <w:sz w:val="20"/>
                <w:szCs w:val="20"/>
              </w:rPr>
              <w:t>ФГБУ «РУТБ «Ока» г. Алексин</w:t>
            </w:r>
            <w:r>
              <w:rPr>
                <w:sz w:val="20"/>
                <w:szCs w:val="20"/>
              </w:rPr>
              <w:t>»</w:t>
            </w:r>
          </w:p>
          <w:p>
            <w:pPr>
              <w:pStyle w:val="Normal"/>
              <w:snapToGrid w:val="false"/>
              <w:jc w:val="both"/>
              <w:rPr>
                <w:rFonts w:eastAsia="SimSun;宋体"/>
                <w:sz w:val="20"/>
                <w:szCs w:val="20"/>
              </w:rPr>
            </w:pPr>
            <w:r>
              <w:rPr>
                <w:rFonts w:eastAsia="SimSun;宋体"/>
                <w:sz w:val="20"/>
                <w:szCs w:val="20"/>
              </w:rPr>
            </w:r>
          </w:p>
          <w:p>
            <w:pPr>
              <w:pStyle w:val="Normal"/>
              <w:snapToGrid w:val="false"/>
              <w:jc w:val="both"/>
              <w:rPr>
                <w:rFonts w:eastAsia="SimSun;宋体"/>
                <w:sz w:val="20"/>
                <w:szCs w:val="20"/>
              </w:rPr>
            </w:pPr>
            <w:r>
              <w:rPr>
                <w:rFonts w:eastAsia="SimSun;宋体"/>
                <w:sz w:val="20"/>
                <w:szCs w:val="20"/>
              </w:rPr>
            </w:r>
          </w:p>
          <w:p>
            <w:pPr>
              <w:pStyle w:val="Normal"/>
              <w:snapToGrid w:val="false"/>
              <w:jc w:val="both"/>
              <w:rPr>
                <w:rFonts w:eastAsia="SimSun;宋体"/>
                <w:sz w:val="20"/>
                <w:szCs w:val="20"/>
              </w:rPr>
            </w:pPr>
            <w:r>
              <w:rPr>
                <w:rFonts w:eastAsia="SimSun;宋体"/>
                <w:sz w:val="20"/>
                <w:szCs w:val="20"/>
              </w:rPr>
            </w:r>
          </w:p>
          <w:p>
            <w:pPr>
              <w:pStyle w:val="Normal"/>
              <w:snapToGrid w:val="false"/>
              <w:spacing w:before="0" w:after="0"/>
              <w:contextualSpacing/>
              <w:jc w:val="both"/>
              <w:rPr>
                <w:sz w:val="20"/>
                <w:szCs w:val="20"/>
              </w:rPr>
            </w:pPr>
            <w:r>
              <w:rPr>
                <w:rFonts w:eastAsia="SimSun;宋体"/>
                <w:sz w:val="20"/>
                <w:szCs w:val="20"/>
              </w:rPr>
              <w:t>______________ И.А. Сидоркин</w:t>
            </w:r>
          </w:p>
          <w:p>
            <w:pPr>
              <w:pStyle w:val="Normal"/>
              <w:snapToGrid w:val="false"/>
              <w:spacing w:before="0" w:after="0"/>
              <w:contextualSpacing/>
              <w:jc w:val="both"/>
              <w:rPr>
                <w:sz w:val="20"/>
                <w:szCs w:val="20"/>
              </w:rPr>
            </w:pPr>
            <w:r>
              <w:rPr>
                <w:sz w:val="20"/>
                <w:szCs w:val="20"/>
              </w:rPr>
            </w:r>
          </w:p>
          <w:p>
            <w:pPr>
              <w:pStyle w:val="Normal"/>
              <w:snapToGrid w:val="false"/>
              <w:spacing w:before="0" w:after="0"/>
              <w:contextualSpacing/>
              <w:jc w:val="both"/>
              <w:rPr/>
            </w:pPr>
            <w:r>
              <w:rPr>
                <w:sz w:val="20"/>
                <w:szCs w:val="20"/>
              </w:rPr>
              <w:t>«______» _______________ 2026 г.</w:t>
            </w:r>
          </w:p>
          <w:p>
            <w:pPr>
              <w:pStyle w:val="Normal"/>
              <w:snapToGrid w:val="false"/>
              <w:spacing w:before="0" w:after="0"/>
              <w:contextualSpacing/>
              <w:jc w:val="both"/>
              <w:rPr>
                <w:b/>
                <w:sz w:val="20"/>
                <w:szCs w:val="20"/>
              </w:rPr>
            </w:pPr>
            <w:r>
              <w:rPr>
                <w:sz w:val="20"/>
                <w:szCs w:val="20"/>
              </w:rPr>
              <w:t>МП</w:t>
              <w:tab/>
              <w:tab/>
              <w:tab/>
            </w:r>
          </w:p>
        </w:tc>
        <w:tc>
          <w:tcPr>
            <w:tcW w:w="4252" w:type="dxa"/>
            <w:tcBorders/>
          </w:tcPr>
          <w:p>
            <w:pPr>
              <w:pStyle w:val="Normal"/>
              <w:snapToGrid w:val="false"/>
              <w:spacing w:before="0" w:after="120"/>
              <w:rPr>
                <w:b/>
                <w:sz w:val="20"/>
                <w:szCs w:val="20"/>
              </w:rPr>
            </w:pPr>
            <w:r>
              <w:rPr>
                <w:b/>
                <w:sz w:val="20"/>
                <w:szCs w:val="20"/>
              </w:rPr>
              <w:t>Подрядчик</w:t>
            </w:r>
          </w:p>
          <w:p>
            <w:pPr>
              <w:pStyle w:val="Normal"/>
              <w:snapToGrid w:val="false"/>
              <w:spacing w:before="0" w:after="0"/>
              <w:contextualSpacing/>
              <w:jc w:val="both"/>
              <w:rPr>
                <w:sz w:val="20"/>
                <w:szCs w:val="20"/>
              </w:rPr>
            </w:pPr>
            <w:r>
              <w:rPr>
                <w:sz w:val="20"/>
                <w:szCs w:val="20"/>
              </w:rPr>
              <w:t>___________________</w:t>
            </w:r>
          </w:p>
          <w:p>
            <w:pPr>
              <w:pStyle w:val="Normal"/>
              <w:snapToGrid w:val="false"/>
              <w:spacing w:before="0" w:after="0"/>
              <w:contextualSpacing/>
              <w:jc w:val="both"/>
              <w:rPr>
                <w:sz w:val="20"/>
                <w:szCs w:val="20"/>
              </w:rPr>
            </w:pPr>
            <w:r>
              <w:rPr>
                <w:sz w:val="20"/>
                <w:szCs w:val="20"/>
              </w:rPr>
            </w:r>
          </w:p>
          <w:p>
            <w:pPr>
              <w:pStyle w:val="Normal"/>
              <w:snapToGrid w:val="false"/>
              <w:spacing w:before="0" w:after="0"/>
              <w:contextualSpacing/>
              <w:jc w:val="both"/>
              <w:rPr>
                <w:sz w:val="20"/>
                <w:szCs w:val="20"/>
              </w:rPr>
            </w:pPr>
            <w:r>
              <w:rPr>
                <w:sz w:val="20"/>
                <w:szCs w:val="20"/>
              </w:rPr>
            </w:r>
          </w:p>
          <w:p>
            <w:pPr>
              <w:pStyle w:val="Normal"/>
              <w:snapToGrid w:val="false"/>
              <w:spacing w:before="0" w:after="0"/>
              <w:contextualSpacing/>
              <w:jc w:val="both"/>
              <w:rPr>
                <w:sz w:val="20"/>
                <w:szCs w:val="20"/>
              </w:rPr>
            </w:pPr>
            <w:r>
              <w:rPr>
                <w:sz w:val="20"/>
                <w:szCs w:val="20"/>
              </w:rPr>
            </w:r>
          </w:p>
          <w:p>
            <w:pPr>
              <w:pStyle w:val="Normal"/>
              <w:snapToGrid w:val="false"/>
              <w:spacing w:before="0" w:after="0"/>
              <w:contextualSpacing/>
              <w:jc w:val="both"/>
              <w:rPr>
                <w:sz w:val="20"/>
                <w:szCs w:val="20"/>
              </w:rPr>
            </w:pPr>
            <w:r>
              <w:rPr>
                <w:sz w:val="20"/>
                <w:szCs w:val="20"/>
              </w:rPr>
            </w:r>
          </w:p>
          <w:p>
            <w:pPr>
              <w:pStyle w:val="Normal"/>
              <w:snapToGrid w:val="false"/>
              <w:spacing w:before="0" w:after="0"/>
              <w:contextualSpacing/>
              <w:jc w:val="both"/>
              <w:rPr>
                <w:sz w:val="20"/>
                <w:szCs w:val="20"/>
              </w:rPr>
            </w:pPr>
            <w:r>
              <w:rPr>
                <w:sz w:val="20"/>
                <w:szCs w:val="20"/>
              </w:rPr>
              <w:t>______________ /_______/</w:t>
            </w:r>
          </w:p>
          <w:p>
            <w:pPr>
              <w:pStyle w:val="Normal"/>
              <w:snapToGrid w:val="false"/>
              <w:spacing w:before="0" w:after="0"/>
              <w:contextualSpacing/>
              <w:jc w:val="both"/>
              <w:rPr>
                <w:sz w:val="20"/>
                <w:szCs w:val="20"/>
              </w:rPr>
            </w:pPr>
            <w:r>
              <w:rPr>
                <w:sz w:val="20"/>
                <w:szCs w:val="20"/>
              </w:rPr>
            </w:r>
          </w:p>
          <w:p>
            <w:pPr>
              <w:pStyle w:val="Normal"/>
              <w:snapToGrid w:val="false"/>
              <w:spacing w:before="0" w:after="0"/>
              <w:contextualSpacing/>
              <w:jc w:val="both"/>
              <w:rPr/>
            </w:pPr>
            <w:r>
              <w:rPr>
                <w:sz w:val="20"/>
                <w:szCs w:val="20"/>
              </w:rPr>
              <w:t>«______» _______________ 2026 г.</w:t>
            </w:r>
          </w:p>
          <w:p>
            <w:pPr>
              <w:pStyle w:val="Normal"/>
              <w:snapToGrid w:val="false"/>
              <w:spacing w:before="0" w:after="0"/>
              <w:contextualSpacing/>
              <w:jc w:val="both"/>
              <w:rPr>
                <w:rFonts w:eastAsia="SimSun;宋体"/>
                <w:sz w:val="20"/>
                <w:szCs w:val="20"/>
              </w:rPr>
            </w:pPr>
            <w:r>
              <w:rPr>
                <w:sz w:val="20"/>
                <w:szCs w:val="20"/>
              </w:rPr>
              <w:t>МП</w:t>
              <w:tab/>
            </w:r>
          </w:p>
        </w:tc>
      </w:tr>
    </w:tbl>
    <w:p>
      <w:pPr>
        <w:pStyle w:val="Normal"/>
        <w:rPr>
          <w:sz w:val="20"/>
          <w:szCs w:val="20"/>
        </w:rPr>
      </w:pPr>
      <w:r>
        <w:rPr>
          <w:sz w:val="20"/>
          <w:szCs w:val="20"/>
        </w:rPr>
      </w:r>
    </w:p>
    <w:sectPr>
      <w:footerReference w:type="default" r:id="rId4"/>
      <w:type w:val="nextPage"/>
      <w:pgSz w:w="11906" w:h="16838"/>
      <w:pgMar w:left="1418" w:right="720" w:gutter="0" w:header="0" w:top="568" w:footer="709"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cc"/>
    <w:family w:val="roman"/>
    <w:pitch w:val="variable"/>
  </w:font>
  <w:font w:name="Wingdings">
    <w:charset w:val="02"/>
    <w:family w:val="auto"/>
    <w:pitch w:val="variable"/>
  </w:font>
  <w:font w:name="Courier New">
    <w:charset w:val="cc"/>
    <w:family w:val="modern"/>
    <w:pitch w:val="default"/>
  </w:font>
  <w:font w:name="Liberation Sans">
    <w:altName w:val="Arial"/>
    <w:charset w:val="00"/>
    <w:family w:val="swiss"/>
    <w:pitch w:val="variable"/>
  </w:font>
  <w:font w:name="Arial">
    <w:charset w:val="cc"/>
    <w:family w:val="swiss"/>
    <w:pitch w:val="variable"/>
  </w:font>
  <w:font w:name="Tahoma">
    <w:charset w:val="cc"/>
    <w:family w:val="swiss"/>
    <w:pitch w:val="variable"/>
  </w:font>
  <w:font w:name="Verdana">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0" allowOverlap="1" relativeHeight="2">
              <wp:simplePos x="0" y="0"/>
              <wp:positionH relativeFrom="page">
                <wp:posOffset>6972300</wp:posOffset>
              </wp:positionH>
              <wp:positionV relativeFrom="paragraph">
                <wp:posOffset>139065</wp:posOffset>
              </wp:positionV>
              <wp:extent cx="76835" cy="175260"/>
              <wp:effectExtent l="0" t="0" r="0" b="0"/>
              <wp:wrapSquare wrapText="bothSides"/>
              <wp:docPr id="3" name="Frame2"/>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6.05pt;height:13.8pt;mso-wrap-distance-left:0pt;mso-wrap-distance-right:0pt;mso-wrap-distance-top:0pt;mso-wrap-distance-bottom:0pt;margin-top:10.95pt;mso-position-vertical-relative:text;margin-left:549pt;mso-position-horizontal-relative:page">
              <v:fill opacity="0f"/>
              <v:textbox inset="0in,0in,0in,0in">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txbxContent>
              </v:textbox>
              <w10:wrap type="squar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245"/>
        </w:tabs>
        <w:ind w:left="3245" w:hanging="1260"/>
      </w:pPr>
      <w:rPr/>
    </w:lvl>
    <w:lvl w:ilvl="1">
      <w:start w:val="1"/>
      <w:numFmt w:val="decimal"/>
      <w:lvlText w:val="%1.%2."/>
      <w:lvlJc w:val="left"/>
      <w:pPr>
        <w:tabs>
          <w:tab w:val="num" w:pos="4521"/>
        </w:tabs>
        <w:ind w:left="4521" w:hanging="1260"/>
      </w:pPr>
      <w:rPr>
        <w:b w:val="false"/>
      </w:rPr>
    </w:lvl>
    <w:lvl w:ilvl="2">
      <w:start w:val="1"/>
      <w:numFmt w:val="decimal"/>
      <w:lvlText w:val="%1.%2.%3."/>
      <w:lvlJc w:val="left"/>
      <w:pPr>
        <w:tabs>
          <w:tab w:val="num" w:pos="2340"/>
        </w:tabs>
        <w:ind w:left="2340" w:hanging="1260"/>
      </w:pPr>
      <w:rPr/>
    </w:lvl>
    <w:lvl w:ilvl="3">
      <w:start w:val="1"/>
      <w:numFmt w:val="decimal"/>
      <w:lvlText w:val="%1.%2.%3.%4."/>
      <w:lvlJc w:val="left"/>
      <w:pPr>
        <w:tabs>
          <w:tab w:val="num" w:pos="2880"/>
        </w:tabs>
        <w:ind w:left="2880" w:hanging="1260"/>
      </w:pPr>
      <w:rPr/>
    </w:lvl>
    <w:lvl w:ilvl="4">
      <w:start w:val="1"/>
      <w:numFmt w:val="decimal"/>
      <w:lvlText w:val="%1.%2.%3.%4.%5."/>
      <w:lvlJc w:val="left"/>
      <w:pPr>
        <w:tabs>
          <w:tab w:val="num" w:pos="3420"/>
        </w:tabs>
        <w:ind w:left="3420" w:hanging="1260"/>
      </w:pPr>
      <w:rPr/>
    </w:lvl>
    <w:lvl w:ilvl="5">
      <w:start w:val="1"/>
      <w:numFmt w:val="decimal"/>
      <w:lvlText w:val="%1.%2.%3.%4.%5.%6."/>
      <w:lvlJc w:val="left"/>
      <w:pPr>
        <w:tabs>
          <w:tab w:val="num" w:pos="3960"/>
        </w:tabs>
        <w:ind w:left="3960" w:hanging="1260"/>
      </w:pPr>
      <w:rPr/>
    </w:lvl>
    <w:lvl w:ilvl="6">
      <w:start w:val="1"/>
      <w:numFmt w:val="decimal"/>
      <w:lvlText w:val="%1.%2.%3.%4.%5.%6.%7."/>
      <w:lvlJc w:val="left"/>
      <w:pPr>
        <w:tabs>
          <w:tab w:val="num" w:pos="4680"/>
        </w:tabs>
        <w:ind w:left="4680" w:hanging="1440"/>
      </w:pPr>
      <w:rPr/>
    </w:lvl>
    <w:lvl w:ilvl="7">
      <w:start w:val="1"/>
      <w:numFmt w:val="decimal"/>
      <w:lvlText w:val="%1.%2.%3.%4.%5.%6.%7.%8."/>
      <w:lvlJc w:val="left"/>
      <w:pPr>
        <w:tabs>
          <w:tab w:val="num" w:pos="5220"/>
        </w:tabs>
        <w:ind w:left="5220" w:hanging="1440"/>
      </w:pPr>
      <w:rPr/>
    </w:lvl>
    <w:lvl w:ilvl="8">
      <w:start w:val="1"/>
      <w:numFmt w:val="decimal"/>
      <w:lvlText w:val="%1.%2.%3.%4.%5.%6.%7.%8.%9."/>
      <w:lvlJc w:val="left"/>
      <w:pPr>
        <w:tabs>
          <w:tab w:val="num" w:pos="6120"/>
        </w:tabs>
        <w:ind w:left="6120" w:hanging="180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Droid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ru-RU" w:bidi="ar-SA" w:eastAsia="zh-CN"/>
    </w:rPr>
  </w:style>
  <w:style w:type="character" w:styleId="WW8Num1z0">
    <w:name w:val="WW8Num1z0"/>
    <w:qFormat/>
    <w:rPr>
      <w:b w:val="false"/>
      <w:bCs w:val="false"/>
      <w:i w:val="false"/>
      <w:iCs w:val="false"/>
      <w:caps w:val="false"/>
      <w:smallCaps w:val="false"/>
      <w:strike w:val="false"/>
      <w:dstrike w:val="false"/>
      <w:color w:val="000000"/>
      <w:spacing w:val="0"/>
      <w:w w:val="100"/>
      <w:position w:val="0"/>
      <w:sz w:val="24"/>
      <w:sz w:val="24"/>
      <w:szCs w:val="24"/>
      <w:u w:val="none"/>
      <w:vertAlign w:val="baseline"/>
    </w:rPr>
  </w:style>
  <w:style w:type="character" w:styleId="WW8Num1z1">
    <w:name w:val="WW8Num1z1"/>
    <w:qFormat/>
    <w:rPr/>
  </w:style>
  <w:style w:type="character" w:styleId="WW8Num2z0">
    <w:name w:val="WW8Num2z0"/>
    <w:qFormat/>
    <w:rPr>
      <w:rFonts w:ascii="Wingdings" w:hAnsi="Wingdings" w:cs="Wingdings"/>
      <w:color w:val="000000"/>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style>
  <w:style w:type="character" w:styleId="WW8Num9z0">
    <w:name w:val="WW8Num9z0"/>
    <w:qFormat/>
    <w:rPr/>
  </w:style>
  <w:style w:type="character" w:styleId="WW8Num10z0">
    <w:name w:val="WW8Num10z0"/>
    <w:qFormat/>
    <w:rPr/>
  </w:style>
  <w:style w:type="character" w:styleId="WW8Num11z0">
    <w:name w:val="WW8Num11z0"/>
    <w:qFormat/>
    <w:rPr/>
  </w:style>
  <w:style w:type="character" w:styleId="WW8Num12z0">
    <w:name w:val="WW8Num12z0"/>
    <w:qFormat/>
    <w:rPr>
      <w:b w:val="false"/>
      <w:bCs w:val="false"/>
      <w:i w:val="false"/>
      <w:iCs w:val="false"/>
      <w:caps w:val="false"/>
      <w:smallCaps w:val="false"/>
      <w:strike w:val="false"/>
      <w:dstrike w:val="false"/>
      <w:color w:val="000000"/>
      <w:spacing w:val="0"/>
      <w:w w:val="100"/>
      <w:position w:val="0"/>
      <w:sz w:val="24"/>
      <w:sz w:val="24"/>
      <w:szCs w:val="24"/>
      <w:u w:val="none"/>
      <w:vertAlign w:val="baseline"/>
    </w:rPr>
  </w:style>
  <w:style w:type="character" w:styleId="WW8Num12z1">
    <w:name w:val="WW8Num12z1"/>
    <w:qFormat/>
    <w:rPr/>
  </w:style>
  <w:style w:type="character" w:styleId="WW8Num13z0">
    <w:name w:val="WW8Num13z0"/>
    <w:qFormat/>
    <w:rPr/>
  </w:style>
  <w:style w:type="character" w:styleId="WW8Num14z0">
    <w:name w:val="WW8Num14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1"/>
      <w:sz w:val="21"/>
      <w:szCs w:val="21"/>
      <w:u w:val="none"/>
      <w:vertAlign w:val="baseline"/>
    </w:rPr>
  </w:style>
  <w:style w:type="character" w:styleId="WW8Num15z0">
    <w:name w:val="WW8Num15z0"/>
    <w:qFormat/>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style>
  <w:style w:type="character" w:styleId="WW8Num18z0">
    <w:name w:val="WW8Num18z0"/>
    <w:qFormat/>
    <w:rPr/>
  </w:style>
  <w:style w:type="character" w:styleId="WW8Num18z1">
    <w:name w:val="WW8Num18z1"/>
    <w:qFormat/>
    <w:rPr>
      <w:b w:val="false"/>
    </w:rPr>
  </w:style>
  <w:style w:type="character" w:styleId="WW8Num19z0">
    <w:name w:val="WW8Num19z0"/>
    <w:qFormat/>
    <w:rPr/>
  </w:style>
  <w:style w:type="character" w:styleId="WW8Num20z0">
    <w:name w:val="WW8Num20z0"/>
    <w:qFormat/>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rFonts w:ascii="Symbol" w:hAnsi="Symbol" w:cs="Symbol"/>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4z0">
    <w:name w:val="WW8Num24z0"/>
    <w:qFormat/>
    <w:rPr>
      <w:rFonts w:ascii="Symbol" w:hAnsi="Symbol" w:cs="Symbol"/>
      <w:sz w:val="20"/>
    </w:rPr>
  </w:style>
  <w:style w:type="character" w:styleId="WW8Num24z1">
    <w:name w:val="WW8Num24z1"/>
    <w:qFormat/>
    <w:rPr>
      <w:rFonts w:ascii="Courier New" w:hAnsi="Courier New" w:cs="Courier New"/>
      <w:sz w:val="20"/>
    </w:rPr>
  </w:style>
  <w:style w:type="character" w:styleId="WW8Num24z2">
    <w:name w:val="WW8Num24z2"/>
    <w:qFormat/>
    <w:rPr>
      <w:rFonts w:ascii="Wingdings" w:hAnsi="Wingdings" w:cs="Wingdings"/>
      <w:sz w:val="20"/>
    </w:rPr>
  </w:style>
  <w:style w:type="character" w:styleId="WW8Num25z0">
    <w:name w:val="WW8Num25z0"/>
    <w:qFormat/>
    <w:rPr>
      <w:b w:val="false"/>
      <w:bCs w:val="false"/>
      <w:i w:val="false"/>
      <w:iCs w:val="false"/>
      <w:caps w:val="false"/>
      <w:smallCaps w:val="false"/>
      <w:strike w:val="false"/>
      <w:dstrike w:val="false"/>
      <w:color w:val="000000"/>
      <w:spacing w:val="0"/>
      <w:w w:val="100"/>
      <w:position w:val="0"/>
      <w:sz w:val="24"/>
      <w:sz w:val="24"/>
      <w:szCs w:val="24"/>
      <w:u w:val="none"/>
      <w:vertAlign w:val="baseline"/>
    </w:rPr>
  </w:style>
  <w:style w:type="character" w:styleId="WW8Num26z0">
    <w:name w:val="WW8Num26z0"/>
    <w:qFormat/>
    <w:rPr>
      <w:b w:val="false"/>
      <w:bCs w:val="false"/>
      <w:i w:val="false"/>
      <w:iCs w:val="false"/>
      <w:caps w:val="false"/>
      <w:smallCaps w:val="false"/>
      <w:strike w:val="false"/>
      <w:dstrike w:val="false"/>
      <w:color w:val="000000"/>
      <w:spacing w:val="0"/>
      <w:w w:val="100"/>
      <w:position w:val="0"/>
      <w:sz w:val="24"/>
      <w:sz w:val="24"/>
      <w:szCs w:val="24"/>
      <w:u w:val="none"/>
      <w:vertAlign w:val="baseline"/>
    </w:rPr>
  </w:style>
  <w:style w:type="character" w:styleId="WW8Num26z1">
    <w:name w:val="WW8Num26z1"/>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2"/>
      <w:sz w:val="22"/>
      <w:szCs w:val="22"/>
      <w:u w:val="none"/>
      <w:vertAlign w:val="baseline"/>
    </w:rPr>
  </w:style>
  <w:style w:type="character" w:styleId="WW8Num26z2">
    <w:name w:val="WW8Num26z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1"/>
      <w:sz w:val="21"/>
      <w:szCs w:val="21"/>
      <w:u w:val="none"/>
      <w:vertAlign w:val="baseline"/>
    </w:rPr>
  </w:style>
  <w:style w:type="character" w:styleId="WW8Num26z7">
    <w:name w:val="WW8Num26z7"/>
    <w:qFormat/>
    <w:rPr/>
  </w:style>
  <w:style w:type="character" w:styleId="WW8Num27z0">
    <w:name w:val="WW8Num27z0"/>
    <w:qFormat/>
    <w:rPr>
      <w:b w:val="false"/>
      <w:bCs w:val="false"/>
      <w:i w:val="false"/>
      <w:iCs w:val="false"/>
      <w:caps w:val="false"/>
      <w:smallCaps w:val="false"/>
      <w:strike w:val="false"/>
      <w:dstrike w:val="false"/>
      <w:color w:val="000000"/>
      <w:spacing w:val="0"/>
      <w:w w:val="100"/>
      <w:position w:val="0"/>
      <w:sz w:val="21"/>
      <w:sz w:val="21"/>
      <w:szCs w:val="21"/>
      <w:u w:val="none"/>
      <w:vertAlign w:val="baseline"/>
    </w:rPr>
  </w:style>
  <w:style w:type="character" w:styleId="WW8Num27z1">
    <w:name w:val="WW8Num27z1"/>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2"/>
      <w:sz w:val="22"/>
      <w:szCs w:val="22"/>
      <w:u w:val="none"/>
      <w:vertAlign w:val="baseline"/>
    </w:rPr>
  </w:style>
  <w:style w:type="character" w:styleId="WW8Num27z2">
    <w:name w:val="WW8Num27z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1"/>
      <w:sz w:val="21"/>
      <w:szCs w:val="21"/>
      <w:u w:val="none"/>
      <w:vertAlign w:val="baseline"/>
    </w:rPr>
  </w:style>
  <w:style w:type="character" w:styleId="WW8Num27z7">
    <w:name w:val="WW8Num27z7"/>
    <w:qFormat/>
    <w:rPr/>
  </w:style>
  <w:style w:type="character" w:styleId="WW8Num28z0">
    <w:name w:val="WW8Num28z0"/>
    <w:qFormat/>
    <w:rPr>
      <w:b w:val="false"/>
      <w:bCs w:val="false"/>
      <w:i w:val="false"/>
      <w:iCs w:val="false"/>
      <w:caps w:val="false"/>
      <w:smallCaps w:val="false"/>
      <w:strike w:val="false"/>
      <w:dstrike w:val="false"/>
      <w:color w:val="000000"/>
      <w:spacing w:val="0"/>
      <w:w w:val="100"/>
      <w:position w:val="0"/>
      <w:sz w:val="24"/>
      <w:sz w:val="24"/>
      <w:szCs w:val="24"/>
      <w:u w:val="none"/>
      <w:vertAlign w:val="baseline"/>
    </w:rPr>
  </w:style>
  <w:style w:type="character" w:styleId="WW8Num28z1">
    <w:name w:val="WW8Num28z1"/>
    <w:qFormat/>
    <w:rPr/>
  </w:style>
  <w:style w:type="character" w:styleId="WW8Num29z0">
    <w:name w:val="WW8Num29z0"/>
    <w:qFormat/>
    <w:rPr/>
  </w:style>
  <w:style w:type="character" w:styleId="WW8Num30z0">
    <w:name w:val="WW8Num30z0"/>
    <w:qFormat/>
    <w:rPr/>
  </w:style>
  <w:style w:type="character" w:styleId="WW8Num31z0">
    <w:name w:val="WW8Num31z0"/>
    <w:qFormat/>
    <w:rPr>
      <w:b w:val="false"/>
      <w:bCs w:val="false"/>
      <w:i w:val="false"/>
      <w:iCs w:val="false"/>
      <w:caps w:val="false"/>
      <w:smallCaps w:val="false"/>
      <w:strike w:val="false"/>
      <w:dstrike w:val="false"/>
      <w:color w:val="000000"/>
      <w:spacing w:val="0"/>
      <w:w w:val="100"/>
      <w:position w:val="0"/>
      <w:sz w:val="24"/>
      <w:sz w:val="24"/>
      <w:szCs w:val="24"/>
      <w:u w:val="none"/>
      <w:vertAlign w:val="baseline"/>
    </w:rPr>
  </w:style>
  <w:style w:type="character" w:styleId="Style14">
    <w:name w:val="Основной шрифт абзаца"/>
    <w:qFormat/>
    <w:rPr/>
  </w:style>
  <w:style w:type="character" w:styleId="PageNumber">
    <w:name w:val="page number"/>
    <w:basedOn w:val="Style14"/>
    <w:rPr/>
  </w:style>
  <w:style w:type="character" w:styleId="Style15">
    <w:name w:val="Верхний колонтитул Знак"/>
    <w:qFormat/>
    <w:rPr>
      <w:sz w:val="24"/>
      <w:szCs w:val="24"/>
      <w:lang w:val="ru-RU" w:bidi="ar-SA"/>
    </w:rPr>
  </w:style>
  <w:style w:type="character" w:styleId="Style16">
    <w:name w:val="Основной текст_"/>
    <w:qFormat/>
    <w:rPr>
      <w:sz w:val="21"/>
      <w:szCs w:val="21"/>
      <w:shd w:fill="FFFFFF" w:val="clear"/>
    </w:rPr>
  </w:style>
  <w:style w:type="character" w:styleId="2">
    <w:name w:val="Заголовок №2_"/>
    <w:qFormat/>
    <w:rPr>
      <w:sz w:val="22"/>
      <w:szCs w:val="22"/>
      <w:shd w:fill="FFFFFF" w:val="clear"/>
    </w:rPr>
  </w:style>
  <w:style w:type="character" w:styleId="Style17">
    <w:name w:val="Знак примечания"/>
    <w:qFormat/>
    <w:rPr>
      <w:sz w:val="16"/>
      <w:szCs w:val="16"/>
    </w:rPr>
  </w:style>
  <w:style w:type="character" w:styleId="Style18">
    <w:name w:val="Текст примечания Знак"/>
    <w:basedOn w:val="Style14"/>
    <w:qFormat/>
    <w:rPr/>
  </w:style>
  <w:style w:type="character" w:styleId="Style19">
    <w:name w:val="Тема примечания Знак"/>
    <w:qFormat/>
    <w:rPr>
      <w:b/>
      <w:bCs/>
    </w:rPr>
  </w:style>
  <w:style w:type="character" w:styleId="Hyperlink">
    <w:name w:val="Hyperlink"/>
    <w:rPr>
      <w:color w:val="0000FF"/>
      <w:u w:val="single"/>
    </w:rPr>
  </w:style>
  <w:style w:type="character" w:styleId="FollowedHyperlink">
    <w:name w:val="FollowedHyperlink"/>
    <w:rPr>
      <w:color w:val="800080"/>
      <w:u w:val="single"/>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Index">
    <w:name w:val="Index"/>
    <w:basedOn w:val="Normal"/>
    <w:qFormat/>
    <w:pPr>
      <w:suppressLineNumbers/>
    </w:pPr>
    <w:rPr>
      <w:rFonts w:cs="Droid Sans"/>
    </w:rPr>
  </w:style>
  <w:style w:type="paragraph" w:styleId="CharCharCharChar">
    <w:name w:val="Char Char Знак Знак Char Char"/>
    <w:basedOn w:val="Normal"/>
    <w:qFormat/>
    <w:pPr>
      <w:spacing w:before="120" w:after="120"/>
      <w:jc w:val="both"/>
    </w:pPr>
    <w:rPr>
      <w:rFonts w:ascii="Arial" w:hAnsi="Arial" w:cs="Arial"/>
      <w:bCs/>
      <w:sz w:val="20"/>
      <w:szCs w:val="20"/>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677" w:leader="none"/>
        <w:tab w:val="right" w:pos="9355" w:leader="none"/>
      </w:tabs>
    </w:pPr>
    <w:rPr/>
  </w:style>
  <w:style w:type="paragraph" w:styleId="Header">
    <w:name w:val="header"/>
    <w:basedOn w:val="Normal"/>
    <w:pPr>
      <w:tabs>
        <w:tab w:val="clear" w:pos="708"/>
        <w:tab w:val="center" w:pos="4677" w:leader="none"/>
        <w:tab w:val="right" w:pos="9355" w:leader="none"/>
      </w:tabs>
    </w:pPr>
    <w:rPr/>
  </w:style>
  <w:style w:type="paragraph" w:styleId="Style20">
    <w:name w:val="Текст выноски"/>
    <w:basedOn w:val="Normal"/>
    <w:qFormat/>
    <w:pPr/>
    <w:rPr>
      <w:rFonts w:ascii="Tahoma" w:hAnsi="Tahoma" w:cs="Tahoma"/>
      <w:sz w:val="16"/>
      <w:szCs w:val="16"/>
    </w:rPr>
  </w:style>
  <w:style w:type="paragraph" w:styleId="1">
    <w:name w:val="Основной текст1"/>
    <w:basedOn w:val="Normal"/>
    <w:qFormat/>
    <w:pPr>
      <w:shd w:fill="FFFFFF" w:val="clear"/>
      <w:spacing w:lineRule="exact" w:line="264"/>
      <w:jc w:val="both"/>
    </w:pPr>
    <w:rPr>
      <w:sz w:val="21"/>
      <w:szCs w:val="21"/>
      <w:lang w:val="en-US"/>
    </w:rPr>
  </w:style>
  <w:style w:type="paragraph" w:styleId="Style21">
    <w:name w:val="Абзац списка"/>
    <w:basedOn w:val="Normal"/>
    <w:qFormat/>
    <w:pPr>
      <w:ind w:hanging="0" w:left="708" w:right="0"/>
    </w:pPr>
    <w:rPr/>
  </w:style>
  <w:style w:type="paragraph" w:styleId="21">
    <w:name w:val="Заголовок №2"/>
    <w:basedOn w:val="Normal"/>
    <w:qFormat/>
    <w:pPr>
      <w:shd w:fill="FFFFFF" w:val="clear"/>
      <w:spacing w:lineRule="exact" w:line="778"/>
      <w:outlineLvl w:val="1"/>
    </w:pPr>
    <w:rPr>
      <w:sz w:val="22"/>
      <w:szCs w:val="22"/>
      <w:lang w:val="en-US"/>
    </w:rPr>
  </w:style>
  <w:style w:type="paragraph" w:styleId="Style22">
    <w:name w:val="Текст примечания"/>
    <w:basedOn w:val="Normal"/>
    <w:qFormat/>
    <w:pPr/>
    <w:rPr>
      <w:sz w:val="20"/>
      <w:szCs w:val="20"/>
    </w:rPr>
  </w:style>
  <w:style w:type="paragraph" w:styleId="Style23">
    <w:name w:val="Тема примечания"/>
    <w:basedOn w:val="Style22"/>
    <w:next w:val="Style22"/>
    <w:qFormat/>
    <w:pPr/>
    <w:rPr>
      <w:b/>
      <w:bCs/>
      <w:lang w:val="en-US"/>
    </w:rPr>
  </w:style>
  <w:style w:type="paragraph" w:styleId="Style24">
    <w:name w:val="Рецензия"/>
    <w:qFormat/>
    <w:pPr>
      <w:widowControl/>
      <w:bidi w:val="0"/>
    </w:pPr>
    <w:rPr>
      <w:rFonts w:ascii="Times New Roman" w:hAnsi="Times New Roman" w:eastAsia="Times New Roman" w:cs="Times New Roman"/>
      <w:color w:val="auto"/>
      <w:sz w:val="24"/>
      <w:szCs w:val="24"/>
      <w:lang w:val="ru-RU" w:bidi="ar-SA" w:eastAsia="zh-CN"/>
    </w:rPr>
  </w:style>
  <w:style w:type="paragraph" w:styleId="xl58">
    <w:name w:val="xl58"/>
    <w:basedOn w:val="Normal"/>
    <w:qFormat/>
    <w:pPr>
      <w:spacing w:before="280" w:after="280"/>
      <w:jc w:val="right"/>
      <w:textAlignment w:val="top"/>
    </w:pPr>
    <w:rPr>
      <w:rFonts w:ascii="Verdana" w:hAnsi="Verdana" w:cs="Verdana"/>
      <w:sz w:val="12"/>
      <w:szCs w:val="12"/>
    </w:rPr>
  </w:style>
  <w:style w:type="paragraph" w:styleId="xl59">
    <w:name w:val="xl59"/>
    <w:basedOn w:val="Normal"/>
    <w:qFormat/>
    <w:pPr>
      <w:spacing w:before="280" w:after="280"/>
      <w:jc w:val="right"/>
      <w:textAlignment w:val="top"/>
    </w:pPr>
    <w:rPr>
      <w:rFonts w:ascii="Verdana" w:hAnsi="Verdana" w:cs="Verdana"/>
      <w:sz w:val="12"/>
      <w:szCs w:val="12"/>
    </w:rPr>
  </w:style>
  <w:style w:type="paragraph" w:styleId="xl60">
    <w:name w:val="xl60"/>
    <w:basedOn w:val="Normal"/>
    <w:qFormat/>
    <w:pPr>
      <w:spacing w:before="280" w:after="280"/>
      <w:textAlignment w:val="top"/>
    </w:pPr>
    <w:rPr>
      <w:rFonts w:ascii="Verdana" w:hAnsi="Verdana" w:cs="Verdana"/>
      <w:sz w:val="12"/>
      <w:szCs w:val="12"/>
    </w:rPr>
  </w:style>
  <w:style w:type="paragraph" w:styleId="xl61">
    <w:name w:val="xl61"/>
    <w:basedOn w:val="Normal"/>
    <w:qFormat/>
    <w:pPr>
      <w:spacing w:before="280" w:after="280"/>
      <w:jc w:val="center"/>
      <w:textAlignment w:val="top"/>
    </w:pPr>
    <w:rPr>
      <w:rFonts w:ascii="Verdana" w:hAnsi="Verdana" w:cs="Verdana"/>
      <w:b/>
      <w:bCs/>
      <w:sz w:val="12"/>
      <w:szCs w:val="12"/>
    </w:rPr>
  </w:style>
  <w:style w:type="paragraph" w:styleId="xl62">
    <w:name w:val="xl62"/>
    <w:basedOn w:val="Normal"/>
    <w:qFormat/>
    <w:pPr>
      <w:spacing w:before="280" w:after="280"/>
      <w:jc w:val="center"/>
      <w:textAlignment w:val="top"/>
    </w:pPr>
    <w:rPr>
      <w:rFonts w:ascii="Verdana" w:hAnsi="Verdana" w:cs="Verdana"/>
      <w:sz w:val="12"/>
      <w:szCs w:val="12"/>
    </w:rPr>
  </w:style>
  <w:style w:type="paragraph" w:styleId="xl63">
    <w:name w:val="xl63"/>
    <w:basedOn w:val="Normal"/>
    <w:qFormat/>
    <w:pPr>
      <w:spacing w:before="280" w:after="280"/>
      <w:jc w:val="right"/>
      <w:textAlignment w:val="top"/>
    </w:pPr>
    <w:rPr>
      <w:rFonts w:ascii="Verdana" w:hAnsi="Verdana" w:cs="Verdana"/>
      <w:b/>
      <w:bCs/>
      <w:sz w:val="12"/>
      <w:szCs w:val="12"/>
    </w:rPr>
  </w:style>
  <w:style w:type="paragraph" w:styleId="xl64">
    <w:name w:val="xl64"/>
    <w:basedOn w:val="Normal"/>
    <w:qFormat/>
    <w:pPr>
      <w:spacing w:before="280" w:after="280"/>
      <w:textAlignment w:val="top"/>
    </w:pPr>
    <w:rPr>
      <w:rFonts w:ascii="Verdana" w:hAnsi="Verdana" w:cs="Verdana"/>
      <w:b/>
      <w:bCs/>
      <w:sz w:val="12"/>
      <w:szCs w:val="12"/>
    </w:rPr>
  </w:style>
  <w:style w:type="paragraph" w:styleId="xl65">
    <w:name w:val="xl65"/>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Verdana" w:hAnsi="Verdana" w:cs="Verdana"/>
      <w:sz w:val="12"/>
      <w:szCs w:val="12"/>
    </w:rPr>
  </w:style>
  <w:style w:type="paragraph" w:styleId="xl66">
    <w:name w:val="xl66"/>
    <w:basedOn w:val="Normal"/>
    <w:qFormat/>
    <w:pPr>
      <w:pBdr>
        <w:top w:val="double" w:sz="6" w:space="0" w:color="000000"/>
        <w:left w:val="single" w:sz="4" w:space="0" w:color="000000"/>
        <w:bottom w:val="single" w:sz="4" w:space="0" w:color="000000"/>
        <w:right w:val="single" w:sz="4" w:space="0" w:color="000000"/>
      </w:pBdr>
      <w:spacing w:before="280" w:after="280"/>
      <w:jc w:val="center"/>
      <w:textAlignment w:val="top"/>
    </w:pPr>
    <w:rPr>
      <w:rFonts w:ascii="Verdana" w:hAnsi="Verdana" w:cs="Verdana"/>
      <w:sz w:val="12"/>
      <w:szCs w:val="12"/>
    </w:rPr>
  </w:style>
  <w:style w:type="paragraph" w:styleId="xl67">
    <w:name w:val="xl67"/>
    <w:basedOn w:val="Normal"/>
    <w:qFormat/>
    <w:pPr>
      <w:spacing w:before="280" w:after="280"/>
      <w:textAlignment w:val="top"/>
    </w:pPr>
    <w:rPr>
      <w:rFonts w:ascii="Verdana" w:hAnsi="Verdana" w:cs="Verdana"/>
      <w:b/>
      <w:bCs/>
      <w:sz w:val="12"/>
      <w:szCs w:val="12"/>
      <w:u w:val="single"/>
    </w:rPr>
  </w:style>
  <w:style w:type="paragraph" w:styleId="xl68">
    <w:name w:val="xl68"/>
    <w:basedOn w:val="Normal"/>
    <w:qFormat/>
    <w:pPr>
      <w:spacing w:before="280" w:after="280"/>
      <w:jc w:val="right"/>
      <w:textAlignment w:val="top"/>
    </w:pPr>
    <w:rPr>
      <w:rFonts w:ascii="Verdana" w:hAnsi="Verdana" w:cs="Verdana"/>
      <w:sz w:val="12"/>
      <w:szCs w:val="12"/>
    </w:rPr>
  </w:style>
  <w:style w:type="paragraph" w:styleId="xl69">
    <w:name w:val="xl69"/>
    <w:basedOn w:val="Normal"/>
    <w:qFormat/>
    <w:pPr>
      <w:spacing w:before="280" w:after="280"/>
      <w:textAlignment w:val="top"/>
    </w:pPr>
    <w:rPr>
      <w:rFonts w:ascii="Verdana" w:hAnsi="Verdana" w:cs="Verdana"/>
      <w:sz w:val="12"/>
      <w:szCs w:val="12"/>
    </w:rPr>
  </w:style>
  <w:style w:type="paragraph" w:styleId="xl70">
    <w:name w:val="xl70"/>
    <w:basedOn w:val="Normal"/>
    <w:qFormat/>
    <w:pPr>
      <w:spacing w:before="280" w:after="280"/>
      <w:jc w:val="right"/>
      <w:textAlignment w:val="top"/>
    </w:pPr>
    <w:rPr>
      <w:rFonts w:ascii="Verdana" w:hAnsi="Verdana" w:cs="Verdana"/>
      <w:sz w:val="12"/>
      <w:szCs w:val="12"/>
    </w:rPr>
  </w:style>
  <w:style w:type="paragraph" w:styleId="xl71">
    <w:name w:val="xl71"/>
    <w:basedOn w:val="Normal"/>
    <w:qFormat/>
    <w:pPr>
      <w:spacing w:before="280" w:after="280"/>
      <w:jc w:val="center"/>
      <w:textAlignment w:val="top"/>
    </w:pPr>
    <w:rPr>
      <w:rFonts w:ascii="Verdana" w:hAnsi="Verdana" w:cs="Verdana"/>
      <w:sz w:val="12"/>
      <w:szCs w:val="12"/>
    </w:rPr>
  </w:style>
  <w:style w:type="paragraph" w:styleId="xl72">
    <w:name w:val="xl72"/>
    <w:basedOn w:val="Normal"/>
    <w:qFormat/>
    <w:pPr>
      <w:spacing w:before="280" w:after="280"/>
      <w:jc w:val="right"/>
      <w:textAlignment w:val="top"/>
    </w:pPr>
    <w:rPr>
      <w:rFonts w:ascii="Verdana" w:hAnsi="Verdana" w:cs="Verdana"/>
      <w:b/>
      <w:bCs/>
      <w:sz w:val="12"/>
      <w:szCs w:val="12"/>
    </w:rPr>
  </w:style>
  <w:style w:type="paragraph" w:styleId="xl73">
    <w:name w:val="xl73"/>
    <w:basedOn w:val="Normal"/>
    <w:qFormat/>
    <w:pPr>
      <w:spacing w:before="280" w:after="280"/>
      <w:textAlignment w:val="top"/>
    </w:pPr>
    <w:rPr>
      <w:rFonts w:ascii="Verdana" w:hAnsi="Verdana" w:cs="Verdana"/>
      <w:i/>
      <w:iCs/>
      <w:sz w:val="12"/>
      <w:szCs w:val="12"/>
    </w:rPr>
  </w:style>
  <w:style w:type="paragraph" w:styleId="xl74">
    <w:name w:val="xl74"/>
    <w:basedOn w:val="Normal"/>
    <w:qFormat/>
    <w:pPr>
      <w:spacing w:before="280" w:after="280"/>
      <w:textAlignment w:val="top"/>
    </w:pPr>
    <w:rPr>
      <w:rFonts w:ascii="Verdana" w:hAnsi="Verdana" w:cs="Verdana"/>
      <w:i/>
      <w:iCs/>
      <w:sz w:val="12"/>
      <w:szCs w:val="12"/>
    </w:rPr>
  </w:style>
  <w:style w:type="paragraph" w:styleId="xl75">
    <w:name w:val="xl75"/>
    <w:basedOn w:val="Normal"/>
    <w:qFormat/>
    <w:pPr>
      <w:spacing w:before="280" w:after="280"/>
      <w:jc w:val="right"/>
      <w:textAlignment w:val="top"/>
    </w:pPr>
    <w:rPr>
      <w:rFonts w:ascii="Verdana" w:hAnsi="Verdana" w:cs="Verdana"/>
      <w:sz w:val="12"/>
      <w:szCs w:val="12"/>
    </w:rPr>
  </w:style>
  <w:style w:type="paragraph" w:styleId="xl76">
    <w:name w:val="xl76"/>
    <w:basedOn w:val="Normal"/>
    <w:qFormat/>
    <w:pPr>
      <w:spacing w:before="280" w:after="280"/>
      <w:jc w:val="right"/>
      <w:textAlignment w:val="top"/>
    </w:pPr>
    <w:rPr>
      <w:rFonts w:ascii="Verdana" w:hAnsi="Verdana" w:cs="Verdana"/>
      <w:color w:val="FFFFFF"/>
      <w:sz w:val="12"/>
      <w:szCs w:val="12"/>
    </w:rPr>
  </w:style>
  <w:style w:type="paragraph" w:styleId="xl77">
    <w:name w:val="xl77"/>
    <w:basedOn w:val="Normal"/>
    <w:qFormat/>
    <w:pPr>
      <w:spacing w:before="280" w:after="280"/>
      <w:jc w:val="right"/>
      <w:textAlignment w:val="top"/>
    </w:pPr>
    <w:rPr>
      <w:rFonts w:ascii="Verdana" w:hAnsi="Verdana" w:cs="Verdana"/>
      <w:sz w:val="12"/>
      <w:szCs w:val="12"/>
    </w:rPr>
  </w:style>
  <w:style w:type="paragraph" w:styleId="xl78">
    <w:name w:val="xl78"/>
    <w:basedOn w:val="Normal"/>
    <w:qFormat/>
    <w:pPr>
      <w:pBdr>
        <w:top w:val="single" w:sz="4" w:space="0" w:color="000000"/>
      </w:pBdr>
      <w:spacing w:before="280" w:after="280"/>
      <w:jc w:val="right"/>
      <w:textAlignment w:val="top"/>
    </w:pPr>
    <w:rPr>
      <w:rFonts w:ascii="Verdana" w:hAnsi="Verdana" w:cs="Verdana"/>
      <w:sz w:val="12"/>
      <w:szCs w:val="12"/>
    </w:rPr>
  </w:style>
  <w:style w:type="paragraph" w:styleId="xl79">
    <w:name w:val="xl79"/>
    <w:basedOn w:val="Normal"/>
    <w:qFormat/>
    <w:pPr>
      <w:pBdr>
        <w:top w:val="single" w:sz="4" w:space="0" w:color="000000"/>
      </w:pBdr>
      <w:spacing w:before="280" w:after="280"/>
      <w:jc w:val="right"/>
      <w:textAlignment w:val="top"/>
    </w:pPr>
    <w:rPr>
      <w:rFonts w:ascii="Verdana" w:hAnsi="Verdana" w:cs="Verdana"/>
      <w:b/>
      <w:bCs/>
      <w:sz w:val="12"/>
      <w:szCs w:val="12"/>
    </w:rPr>
  </w:style>
  <w:style w:type="paragraph" w:styleId="xl80">
    <w:name w:val="xl80"/>
    <w:basedOn w:val="Normal"/>
    <w:qFormat/>
    <w:pPr>
      <w:pBdr>
        <w:top w:val="single" w:sz="4" w:space="0" w:color="000000"/>
      </w:pBdr>
      <w:spacing w:before="280" w:after="280"/>
      <w:jc w:val="right"/>
      <w:textAlignment w:val="top"/>
    </w:pPr>
    <w:rPr>
      <w:rFonts w:ascii="Verdana" w:hAnsi="Verdana" w:cs="Verdana"/>
      <w:b/>
      <w:bCs/>
      <w:sz w:val="12"/>
      <w:szCs w:val="12"/>
    </w:rPr>
  </w:style>
  <w:style w:type="paragraph" w:styleId="xl81">
    <w:name w:val="xl81"/>
    <w:basedOn w:val="Normal"/>
    <w:qFormat/>
    <w:pPr>
      <w:pBdr>
        <w:top w:val="single" w:sz="4" w:space="0" w:color="000000"/>
      </w:pBdr>
      <w:spacing w:before="280" w:after="280"/>
      <w:jc w:val="right"/>
      <w:textAlignment w:val="top"/>
    </w:pPr>
    <w:rPr>
      <w:rFonts w:ascii="Verdana" w:hAnsi="Verdana" w:cs="Verdana"/>
      <w:sz w:val="12"/>
      <w:szCs w:val="12"/>
    </w:rPr>
  </w:style>
  <w:style w:type="paragraph" w:styleId="xl82">
    <w:name w:val="xl82"/>
    <w:basedOn w:val="Normal"/>
    <w:qFormat/>
    <w:pPr>
      <w:pBdr>
        <w:top w:val="single" w:sz="4" w:space="0" w:color="000000"/>
      </w:pBdr>
      <w:spacing w:before="280" w:after="280"/>
      <w:textAlignment w:val="top"/>
    </w:pPr>
    <w:rPr>
      <w:rFonts w:ascii="Verdana" w:hAnsi="Verdana" w:cs="Verdana"/>
      <w:sz w:val="12"/>
      <w:szCs w:val="12"/>
    </w:rPr>
  </w:style>
  <w:style w:type="paragraph" w:styleId="xl83">
    <w:name w:val="xl83"/>
    <w:basedOn w:val="Normal"/>
    <w:qFormat/>
    <w:pPr>
      <w:pBdr>
        <w:top w:val="single" w:sz="4" w:space="0" w:color="000000"/>
      </w:pBdr>
      <w:spacing w:before="280" w:after="280"/>
      <w:jc w:val="right"/>
      <w:textAlignment w:val="top"/>
    </w:pPr>
    <w:rPr>
      <w:rFonts w:ascii="Verdana" w:hAnsi="Verdana" w:cs="Verdana"/>
      <w:sz w:val="12"/>
      <w:szCs w:val="12"/>
    </w:rPr>
  </w:style>
  <w:style w:type="paragraph" w:styleId="xl84">
    <w:name w:val="xl84"/>
    <w:basedOn w:val="Normal"/>
    <w:qFormat/>
    <w:pPr>
      <w:pBdr>
        <w:top w:val="single" w:sz="4" w:space="0" w:color="000000"/>
      </w:pBdr>
      <w:spacing w:before="280" w:after="280"/>
      <w:jc w:val="center"/>
      <w:textAlignment w:val="top"/>
    </w:pPr>
    <w:rPr>
      <w:rFonts w:ascii="Verdana" w:hAnsi="Verdana" w:cs="Verdana"/>
      <w:sz w:val="12"/>
      <w:szCs w:val="12"/>
    </w:rPr>
  </w:style>
  <w:style w:type="paragraph" w:styleId="xl85">
    <w:name w:val="xl85"/>
    <w:basedOn w:val="Normal"/>
    <w:qFormat/>
    <w:pPr>
      <w:spacing w:before="280" w:after="280"/>
      <w:jc w:val="right"/>
      <w:textAlignment w:val="top"/>
    </w:pPr>
    <w:rPr>
      <w:rFonts w:ascii="Verdana" w:hAnsi="Verdana" w:cs="Verdana"/>
      <w:b/>
      <w:bCs/>
      <w:sz w:val="12"/>
      <w:szCs w:val="12"/>
    </w:rPr>
  </w:style>
  <w:style w:type="paragraph" w:styleId="xl86">
    <w:name w:val="xl86"/>
    <w:basedOn w:val="Normal"/>
    <w:qFormat/>
    <w:pPr>
      <w:spacing w:before="280" w:after="280"/>
      <w:jc w:val="right"/>
      <w:textAlignment w:val="top"/>
    </w:pPr>
    <w:rPr>
      <w:rFonts w:ascii="Verdana" w:hAnsi="Verdana" w:cs="Verdana"/>
      <w:b/>
      <w:bCs/>
      <w:sz w:val="12"/>
      <w:szCs w:val="12"/>
    </w:rPr>
  </w:style>
  <w:style w:type="paragraph" w:styleId="xl87">
    <w:name w:val="xl87"/>
    <w:basedOn w:val="Normal"/>
    <w:qFormat/>
    <w:pPr>
      <w:spacing w:before="280" w:after="280"/>
      <w:jc w:val="right"/>
      <w:textAlignment w:val="top"/>
    </w:pPr>
    <w:rPr>
      <w:rFonts w:ascii="Verdana" w:hAnsi="Verdana" w:cs="Verdana"/>
      <w:b/>
      <w:bCs/>
      <w:sz w:val="12"/>
      <w:szCs w:val="12"/>
    </w:rPr>
  </w:style>
  <w:style w:type="paragraph" w:styleId="xl88">
    <w:name w:val="xl88"/>
    <w:basedOn w:val="Normal"/>
    <w:qFormat/>
    <w:pPr>
      <w:pBdr>
        <w:bottom w:val="single" w:sz="4" w:space="0" w:color="000000"/>
      </w:pBdr>
      <w:spacing w:before="280" w:after="280"/>
      <w:textAlignment w:val="top"/>
    </w:pPr>
    <w:rPr>
      <w:rFonts w:ascii="Verdana" w:hAnsi="Verdana" w:cs="Verdana"/>
      <w:sz w:val="12"/>
      <w:szCs w:val="12"/>
    </w:rPr>
  </w:style>
  <w:style w:type="paragraph" w:styleId="xl89">
    <w:name w:val="xl89"/>
    <w:basedOn w:val="Normal"/>
    <w:qFormat/>
    <w:pPr>
      <w:spacing w:before="280" w:after="280"/>
      <w:jc w:val="center"/>
      <w:textAlignment w:val="top"/>
    </w:pPr>
    <w:rPr>
      <w:rFonts w:ascii="Verdana" w:hAnsi="Verdana" w:cs="Verdana"/>
      <w:i/>
      <w:iCs/>
      <w:sz w:val="12"/>
      <w:szCs w:val="12"/>
    </w:rPr>
  </w:style>
  <w:style w:type="paragraph" w:styleId="xl90">
    <w:name w:val="xl90"/>
    <w:basedOn w:val="Normal"/>
    <w:qFormat/>
    <w:pPr>
      <w:pBdr>
        <w:bottom w:val="single" w:sz="4" w:space="0" w:color="000000"/>
      </w:pBdr>
      <w:spacing w:before="280" w:after="280"/>
      <w:textAlignment w:val="top"/>
    </w:pPr>
    <w:rPr/>
  </w:style>
  <w:style w:type="paragraph" w:styleId="xl91">
    <w:name w:val="xl91"/>
    <w:basedOn w:val="Normal"/>
    <w:qFormat/>
    <w:pPr>
      <w:spacing w:before="280" w:after="280"/>
      <w:jc w:val="center"/>
      <w:textAlignment w:val="top"/>
    </w:pPr>
    <w:rPr>
      <w:i/>
      <w:iCs/>
    </w:rPr>
  </w:style>
  <w:style w:type="paragraph" w:styleId="xl92">
    <w:name w:val="xl92"/>
    <w:basedOn w:val="Normal"/>
    <w:qFormat/>
    <w:pPr>
      <w:spacing w:before="280" w:after="280"/>
      <w:jc w:val="center"/>
    </w:pPr>
    <w:rPr>
      <w:b/>
      <w:bCs/>
      <w:sz w:val="20"/>
      <w:szCs w:val="20"/>
    </w:rPr>
  </w:style>
  <w:style w:type="paragraph" w:styleId="Style25">
    <w:name w:val="Обычный (веб)"/>
    <w:basedOn w:val="Normal"/>
    <w:qFormat/>
    <w:pPr>
      <w:ind w:firstLine="567" w:left="0" w:right="0"/>
      <w:jc w:val="both"/>
    </w:pPr>
    <w:rPr/>
  </w:style>
  <w:style w:type="paragraph" w:styleId="Style26">
    <w:name w:val="Без интервала"/>
    <w:qFormat/>
    <w:pPr>
      <w:widowControl/>
      <w:bidi w:val="0"/>
    </w:pPr>
    <w:rPr>
      <w:rFonts w:ascii="Times New Roman" w:hAnsi="Times New Roman" w:eastAsia="Times New Roman" w:cs="Times New Roman"/>
      <w:color w:val="auto"/>
      <w:sz w:val="24"/>
      <w:szCs w:val="24"/>
      <w:lang w:val="ru-RU" w:bidi="ar-SA" w:eastAsia="zh-CN"/>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garantf1://70253464.41" TargetMode="External"/><Relationship Id="rId3" Type="http://schemas.openxmlformats.org/officeDocument/2006/relationships/hyperlink" Target="https://zakupki.gov.ru/epz/orderplan/pg2020/specialPurchase/special-purchase-info.html?plan-number=202603664000002001&amp;position-number=202603664000002001000005"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LibreOffice/24.8.1.2$Linux_X86_64 LibreOffice_project/87fa9aec1a63e70835390b81c40bb8993f1d4ff6</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2026-09-02T05:57:00Z</dcterms:created>
  <dc:creator>Алексей</dc:creator>
  <dc:description/>
  <cp:keywords/>
  <dc:language>en-US</dc:language>
  <cp:lastModifiedBy>79539564545</cp:lastModifiedBy>
  <cp:lastPrinted>2021-09-02T15:26:00Z</cp:lastPrinted>
  <dcterms:modified xsi:type="dcterms:W3CDTF">2026-09-02T06:37:00Z</dcterms:modified>
  <cp:revision>5</cp:revision>
  <dc:subject/>
  <dc:title>ДОГОВОР ПОДРЯДА № _________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r8>141675301</vt:r8>
  </property>
  <property fmtid="{D5CDD505-2E9C-101B-9397-08002B2CF9AE}" pid="3" name="_AuthorEmail">
    <vt:lpwstr>s.zheltov@ind-garnik.ru</vt:lpwstr>
  </property>
  <property fmtid="{D5CDD505-2E9C-101B-9397-08002B2CF9AE}" pid="4" name="_AuthorEmailDisplayName">
    <vt:lpwstr>Сергей Желтов</vt:lpwstr>
  </property>
  <property fmtid="{D5CDD505-2E9C-101B-9397-08002B2CF9AE}" pid="5" name="_EmailSubject">
    <vt:lpwstr>Договор поиск повреждения</vt:lpwstr>
  </property>
  <property fmtid="{D5CDD505-2E9C-101B-9397-08002B2CF9AE}" pid="6" name="_ReviewingToolsShownOnce">
    <vt:lpwstr/>
  </property>
</Properties>
</file>