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702429">
        <w:rPr>
          <w:b/>
          <w:sz w:val="18"/>
          <w:szCs w:val="18"/>
        </w:rPr>
        <w:t>71</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702429">
        <w:rPr>
          <w:b/>
          <w:sz w:val="18"/>
          <w:szCs w:val="18"/>
        </w:rPr>
        <w:t xml:space="preserve">Тубус внешний </w:t>
      </w:r>
      <w:r w:rsidR="00702429">
        <w:rPr>
          <w:b/>
          <w:sz w:val="18"/>
          <w:szCs w:val="18"/>
          <w:lang w:val="en-US"/>
        </w:rPr>
        <w:t>GLICK</w:t>
      </w:r>
      <w:r w:rsidR="00702429" w:rsidRPr="00702429">
        <w:rPr>
          <w:b/>
          <w:sz w:val="18"/>
          <w:szCs w:val="18"/>
        </w:rPr>
        <w:t xml:space="preserve"> </w:t>
      </w:r>
      <w:r w:rsidR="00702429">
        <w:rPr>
          <w:b/>
          <w:sz w:val="18"/>
          <w:szCs w:val="18"/>
          <w:lang w:val="en-US"/>
        </w:rPr>
        <w:t>LINE</w:t>
      </w:r>
      <w:r w:rsidR="00702429" w:rsidRPr="00702429">
        <w:rPr>
          <w:b/>
          <w:sz w:val="18"/>
          <w:szCs w:val="18"/>
        </w:rPr>
        <w:t xml:space="preserve"> </w:t>
      </w:r>
      <w:r w:rsidR="00702429">
        <w:rPr>
          <w:b/>
          <w:sz w:val="18"/>
          <w:szCs w:val="18"/>
        </w:rPr>
        <w:t>изолированный</w:t>
      </w:r>
      <w:r w:rsidR="008C2721" w:rsidRPr="00E05CC2">
        <w:rPr>
          <w:b/>
          <w:sz w:val="18"/>
          <w:szCs w:val="18"/>
        </w:rPr>
        <w:t xml:space="preserve"> </w:t>
      </w:r>
      <w:r w:rsidR="00A31D37" w:rsidRPr="008A650B">
        <w:rPr>
          <w:i/>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A31D37" w:rsidRPr="00A31D37">
        <w:rPr>
          <w:sz w:val="18"/>
          <w:szCs w:val="18"/>
          <w:highlight w:val="green"/>
        </w:rPr>
        <w:t>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 xml:space="preserve">Поставка Товара осуществляется Поставщиком </w:t>
      </w:r>
      <w:r w:rsidR="00A80389">
        <w:rPr>
          <w:sz w:val="18"/>
          <w:szCs w:val="18"/>
        </w:rPr>
        <w:t xml:space="preserve">в течении </w:t>
      </w:r>
      <w:r w:rsidR="00A31D37" w:rsidRPr="008A650B">
        <w:rPr>
          <w:sz w:val="18"/>
          <w:szCs w:val="18"/>
        </w:rPr>
        <w:t xml:space="preserve"> </w:t>
      </w:r>
      <w:r w:rsidR="00702429" w:rsidRPr="00702429">
        <w:rPr>
          <w:b/>
          <w:sz w:val="18"/>
          <w:szCs w:val="18"/>
        </w:rPr>
        <w:t>30</w:t>
      </w:r>
      <w:r w:rsidR="00702429">
        <w:rPr>
          <w:b/>
          <w:sz w:val="18"/>
          <w:szCs w:val="18"/>
        </w:rPr>
        <w:t xml:space="preserve"> рабочих  дней</w:t>
      </w:r>
      <w:r w:rsidR="00A31D37" w:rsidRPr="00702429">
        <w:rPr>
          <w:b/>
          <w:sz w:val="18"/>
          <w:szCs w:val="18"/>
        </w:rPr>
        <w:t>,</w:t>
      </w:r>
      <w:r w:rsidR="00A31D37" w:rsidRPr="008A650B">
        <w:rPr>
          <w:sz w:val="18"/>
          <w:szCs w:val="18"/>
        </w:rPr>
        <w:t xml:space="preserve">  </w:t>
      </w:r>
      <w:r w:rsidR="00A80389">
        <w:rPr>
          <w:sz w:val="18"/>
          <w:szCs w:val="18"/>
        </w:rPr>
        <w:t>с момента подписания договора.</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702429" w:rsidRPr="00E05CC2" w:rsidRDefault="00702429" w:rsidP="00224917">
      <w:pPr>
        <w:suppressAutoHyphens w:val="0"/>
        <w:spacing w:line="264" w:lineRule="auto"/>
        <w:rPr>
          <w:color w:val="000000"/>
          <w:sz w:val="18"/>
          <w:szCs w:val="18"/>
          <w:lang w:eastAsia="ru-RU"/>
        </w:rPr>
      </w:pP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 xml:space="preserve">.12.2025.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от Заказчика назначается: Представитель аптеки - 2280655.</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24511A">
        <w:rPr>
          <w:rFonts w:ascii="Times New Roman" w:hAnsi="Times New Roman" w:cs="Times New Roman"/>
          <w:b/>
          <w:sz w:val="18"/>
          <w:szCs w:val="18"/>
        </w:rPr>
        <w:t>54</w:t>
      </w:r>
      <w:r w:rsidR="00A31D37">
        <w:rPr>
          <w:rFonts w:ascii="Times New Roman" w:hAnsi="Times New Roman" w:cs="Times New Roman"/>
          <w:b/>
          <w:sz w:val="18"/>
          <w:szCs w:val="18"/>
        </w:rPr>
        <w:t>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tblPr>
      <w:tblGrid>
        <w:gridCol w:w="534"/>
        <w:gridCol w:w="992"/>
        <w:gridCol w:w="1843"/>
        <w:gridCol w:w="2835"/>
        <w:gridCol w:w="1134"/>
        <w:gridCol w:w="850"/>
        <w:gridCol w:w="1134"/>
        <w:gridCol w:w="851"/>
        <w:gridCol w:w="992"/>
      </w:tblGrid>
      <w:tr w:rsidR="00F2562E" w:rsidRPr="00225DC8" w:rsidTr="00F2562E">
        <w:tc>
          <w:tcPr>
            <w:tcW w:w="534" w:type="dxa"/>
          </w:tcPr>
          <w:p w:rsidR="00F2562E" w:rsidRPr="0098060D" w:rsidRDefault="00F2562E" w:rsidP="00F2562E">
            <w:pPr>
              <w:rPr>
                <w:sz w:val="18"/>
                <w:szCs w:val="18"/>
              </w:rPr>
            </w:pPr>
            <w:r w:rsidRPr="0098060D">
              <w:rPr>
                <w:sz w:val="18"/>
                <w:szCs w:val="18"/>
              </w:rPr>
              <w:t>№п.п</w:t>
            </w:r>
          </w:p>
        </w:tc>
        <w:tc>
          <w:tcPr>
            <w:tcW w:w="992" w:type="dxa"/>
          </w:tcPr>
          <w:p w:rsidR="00F2562E" w:rsidRPr="0098060D" w:rsidRDefault="00F2562E" w:rsidP="00F2562E">
            <w:pPr>
              <w:rPr>
                <w:sz w:val="18"/>
                <w:szCs w:val="18"/>
              </w:rPr>
            </w:pPr>
            <w:r w:rsidRPr="0098060D">
              <w:rPr>
                <w:sz w:val="18"/>
                <w:szCs w:val="18"/>
              </w:rPr>
              <w:t>Код ОКПД 2</w:t>
            </w:r>
          </w:p>
        </w:tc>
        <w:tc>
          <w:tcPr>
            <w:tcW w:w="1843" w:type="dxa"/>
          </w:tcPr>
          <w:p w:rsidR="00F2562E" w:rsidRPr="0098060D" w:rsidRDefault="00F2562E" w:rsidP="00F2562E">
            <w:pPr>
              <w:rPr>
                <w:sz w:val="18"/>
                <w:szCs w:val="18"/>
              </w:rPr>
            </w:pPr>
            <w:r w:rsidRPr="0098060D">
              <w:rPr>
                <w:sz w:val="18"/>
                <w:szCs w:val="18"/>
              </w:rPr>
              <w:t>Наименование товара(работ, услуг)</w:t>
            </w:r>
          </w:p>
        </w:tc>
        <w:tc>
          <w:tcPr>
            <w:tcW w:w="2835"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Ед.изм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Цена, за ед,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НДС,руб</w:t>
            </w: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424AAA" w:rsidRDefault="0024511A" w:rsidP="00F2562E">
            <w:pPr>
              <w:pStyle w:val="pStyle"/>
              <w:rPr>
                <w:bCs/>
                <w:sz w:val="18"/>
                <w:szCs w:val="18"/>
              </w:rPr>
            </w:pPr>
            <w:r>
              <w:rPr>
                <w:bCs/>
                <w:sz w:val="18"/>
                <w:szCs w:val="18"/>
              </w:rPr>
              <w:t>32.50.13.139</w:t>
            </w:r>
          </w:p>
        </w:tc>
        <w:tc>
          <w:tcPr>
            <w:tcW w:w="1843" w:type="dxa"/>
          </w:tcPr>
          <w:p w:rsidR="00F2562E" w:rsidRPr="00702429" w:rsidRDefault="00702429" w:rsidP="00702429">
            <w:pPr>
              <w:pStyle w:val="pStyle"/>
              <w:jc w:val="left"/>
              <w:rPr>
                <w:bCs/>
                <w:sz w:val="18"/>
                <w:szCs w:val="18"/>
              </w:rPr>
            </w:pPr>
            <w:r w:rsidRPr="00702429">
              <w:rPr>
                <w:bCs/>
                <w:sz w:val="18"/>
                <w:szCs w:val="18"/>
              </w:rPr>
              <w:t>Тубус GLICK LINE внешний изолированный 36см</w:t>
            </w:r>
          </w:p>
        </w:tc>
        <w:tc>
          <w:tcPr>
            <w:tcW w:w="2835" w:type="dxa"/>
          </w:tcPr>
          <w:p w:rsidR="00F2562E" w:rsidRPr="00702429" w:rsidRDefault="00702429" w:rsidP="00F2562E">
            <w:pPr>
              <w:spacing w:after="45"/>
              <w:rPr>
                <w:bCs/>
                <w:sz w:val="18"/>
                <w:szCs w:val="18"/>
                <w:lang w:eastAsia="ru-RU"/>
              </w:rPr>
            </w:pPr>
            <w:r w:rsidRPr="00702429">
              <w:rPr>
                <w:bCs/>
                <w:sz w:val="18"/>
                <w:szCs w:val="18"/>
                <w:lang w:eastAsia="ru-RU"/>
              </w:rPr>
              <w:t>Тубус GLICK LINE внешний изолированный 36см. РЗН 2015/2518 от 21.12.2017</w:t>
            </w:r>
          </w:p>
        </w:tc>
        <w:tc>
          <w:tcPr>
            <w:tcW w:w="1134" w:type="dxa"/>
            <w:vAlign w:val="center"/>
          </w:tcPr>
          <w:p w:rsidR="00F2562E" w:rsidRPr="00424AAA" w:rsidRDefault="0024511A" w:rsidP="00F2562E">
            <w:pPr>
              <w:jc w:val="center"/>
              <w:rPr>
                <w:sz w:val="18"/>
                <w:szCs w:val="18"/>
              </w:rPr>
            </w:pPr>
            <w:proofErr w:type="spellStart"/>
            <w:r>
              <w:rPr>
                <w:sz w:val="18"/>
                <w:szCs w:val="18"/>
              </w:rPr>
              <w:t>шт</w:t>
            </w:r>
            <w:proofErr w:type="spellEnd"/>
          </w:p>
        </w:tc>
        <w:tc>
          <w:tcPr>
            <w:tcW w:w="850" w:type="dxa"/>
            <w:vAlign w:val="center"/>
          </w:tcPr>
          <w:p w:rsidR="00F2562E" w:rsidRPr="008523F9" w:rsidRDefault="00702429" w:rsidP="00F2562E">
            <w:pPr>
              <w:pStyle w:val="pStyle"/>
              <w:rPr>
                <w:sz w:val="18"/>
                <w:szCs w:val="18"/>
              </w:rPr>
            </w:pPr>
            <w:r>
              <w:rPr>
                <w:sz w:val="18"/>
                <w:szCs w:val="18"/>
              </w:rPr>
              <w:t>5</w:t>
            </w: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24511A" w:rsidP="00F2562E">
            <w:pPr>
              <w:pStyle w:val="pStyle"/>
              <w:rPr>
                <w:sz w:val="18"/>
                <w:szCs w:val="18"/>
              </w:rPr>
            </w:pPr>
            <w:r>
              <w:rPr>
                <w:sz w:val="18"/>
                <w:szCs w:val="18"/>
              </w:rPr>
              <w:t>_</w:t>
            </w:r>
          </w:p>
        </w:tc>
        <w:tc>
          <w:tcPr>
            <w:tcW w:w="992" w:type="dxa"/>
            <w:vAlign w:val="center"/>
          </w:tcPr>
          <w:p w:rsidR="00F2562E" w:rsidRPr="0024511A" w:rsidRDefault="00F2562E" w:rsidP="00F2562E">
            <w:pPr>
              <w:pStyle w:val="pStyle"/>
              <w:rPr>
                <w:sz w:val="18"/>
                <w:szCs w:val="18"/>
              </w:rPr>
            </w:pP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2</w:t>
            </w: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24511A" w:rsidRDefault="00F2562E" w:rsidP="00F2562E">
            <w:pPr>
              <w:pStyle w:val="pStyle"/>
              <w:rPr>
                <w:sz w:val="18"/>
                <w:szCs w:val="18"/>
              </w:rPr>
            </w:pPr>
          </w:p>
        </w:tc>
      </w:tr>
      <w:tr w:rsidR="00F2562E" w:rsidRPr="00424AAA" w:rsidTr="00F2562E">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rPr>
                <w:sz w:val="18"/>
                <w:szCs w:val="18"/>
              </w:rPr>
            </w:pPr>
          </w:p>
        </w:tc>
        <w:tc>
          <w:tcPr>
            <w:tcW w:w="2835"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A464D8" w:rsidRPr="00E05CC2" w:rsidRDefault="00A464D8"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37" w:rsidRDefault="00D20237">
      <w:r>
        <w:separator/>
      </w:r>
    </w:p>
  </w:endnote>
  <w:endnote w:type="continuationSeparator" w:id="0">
    <w:p w:rsidR="00D20237" w:rsidRDefault="00D202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37" w:rsidRDefault="00D20237">
      <w:r>
        <w:separator/>
      </w:r>
    </w:p>
  </w:footnote>
  <w:footnote w:type="continuationSeparator" w:id="0">
    <w:p w:rsidR="00D20237" w:rsidRDefault="00D2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E0C6D"/>
    <w:rsid w:val="001E727F"/>
    <w:rsid w:val="001F28D3"/>
    <w:rsid w:val="001F295D"/>
    <w:rsid w:val="002046F2"/>
    <w:rsid w:val="00211904"/>
    <w:rsid w:val="00214BB9"/>
    <w:rsid w:val="0022059B"/>
    <w:rsid w:val="00222444"/>
    <w:rsid w:val="00224917"/>
    <w:rsid w:val="00234A78"/>
    <w:rsid w:val="002413DA"/>
    <w:rsid w:val="002416CC"/>
    <w:rsid w:val="0024511A"/>
    <w:rsid w:val="002454FB"/>
    <w:rsid w:val="0026569D"/>
    <w:rsid w:val="002669AB"/>
    <w:rsid w:val="00277022"/>
    <w:rsid w:val="00285BCD"/>
    <w:rsid w:val="00292E36"/>
    <w:rsid w:val="00295195"/>
    <w:rsid w:val="002967D8"/>
    <w:rsid w:val="00297030"/>
    <w:rsid w:val="002A3A05"/>
    <w:rsid w:val="002B31E1"/>
    <w:rsid w:val="002B4C0C"/>
    <w:rsid w:val="002B6BE6"/>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85BC5"/>
    <w:rsid w:val="00691F6C"/>
    <w:rsid w:val="006B0AC2"/>
    <w:rsid w:val="006B4422"/>
    <w:rsid w:val="006C5A3F"/>
    <w:rsid w:val="006D4DD6"/>
    <w:rsid w:val="006E5C16"/>
    <w:rsid w:val="006F02B4"/>
    <w:rsid w:val="006F2D6B"/>
    <w:rsid w:val="006F2DE4"/>
    <w:rsid w:val="006F3F52"/>
    <w:rsid w:val="00702429"/>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233A8"/>
    <w:rsid w:val="00A31D37"/>
    <w:rsid w:val="00A35469"/>
    <w:rsid w:val="00A36462"/>
    <w:rsid w:val="00A46484"/>
    <w:rsid w:val="00A464D8"/>
    <w:rsid w:val="00A51A64"/>
    <w:rsid w:val="00A66A02"/>
    <w:rsid w:val="00A66DCA"/>
    <w:rsid w:val="00A80389"/>
    <w:rsid w:val="00A80CDD"/>
    <w:rsid w:val="00A83631"/>
    <w:rsid w:val="00AA2F6E"/>
    <w:rsid w:val="00AA4589"/>
    <w:rsid w:val="00AB5120"/>
    <w:rsid w:val="00AC4819"/>
    <w:rsid w:val="00AC4DB1"/>
    <w:rsid w:val="00AC5BB8"/>
    <w:rsid w:val="00AD3218"/>
    <w:rsid w:val="00AD3E01"/>
    <w:rsid w:val="00AD6626"/>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774FB"/>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046AE"/>
    <w:rsid w:val="00E05CC2"/>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503D-8D95-4635-B15C-950091B6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urkova</cp:lastModifiedBy>
  <cp:revision>23</cp:revision>
  <cp:lastPrinted>2023-09-11T05:58:00Z</cp:lastPrinted>
  <dcterms:created xsi:type="dcterms:W3CDTF">2025-02-17T13:11:00Z</dcterms:created>
  <dcterms:modified xsi:type="dcterms:W3CDTF">2026-05-27T10:19:00Z</dcterms:modified>
</cp:coreProperties>
</file>