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Техническая часть</w:t>
      </w:r>
    </w:p>
    <w:p w14:paraId="03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 Наименование объекта закупки: </w:t>
      </w:r>
      <w:r>
        <w:rPr>
          <w:rFonts w:ascii="Times New Roman" w:hAnsi="Times New Roman"/>
          <w:sz w:val="24"/>
        </w:rPr>
        <w:t>оказание услуг по проведению диспансеризации государственных гражданских служащих по программе «Женщины от 18 до 40 лет»</w:t>
      </w:r>
      <w:r>
        <w:rPr>
          <w:rFonts w:ascii="Times New Roman" w:hAnsi="Times New Roman"/>
          <w:sz w:val="24"/>
        </w:rPr>
        <w:t xml:space="preserve"> (далее – Услуги).</w:t>
      </w:r>
    </w:p>
    <w:p w14:paraId="04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Место оказания У</w:t>
      </w:r>
      <w:r>
        <w:rPr>
          <w:rFonts w:ascii="Times New Roman" w:hAnsi="Times New Roman"/>
          <w:b w:val="1"/>
          <w:sz w:val="24"/>
        </w:rPr>
        <w:t xml:space="preserve">слуг: </w:t>
      </w:r>
      <w:r>
        <w:rPr>
          <w:rFonts w:ascii="Times New Roman" w:hAnsi="Times New Roman"/>
          <w:sz w:val="24"/>
        </w:rPr>
        <w:t>по местонахождению</w:t>
      </w:r>
      <w:r>
        <w:rPr>
          <w:rFonts w:ascii="Times New Roman" w:hAnsi="Times New Roman"/>
          <w:sz w:val="24"/>
        </w:rPr>
        <w:t xml:space="preserve"> Исполнителя</w:t>
      </w:r>
      <w:r>
        <w:rPr>
          <w:rFonts w:ascii="Times New Roman" w:hAnsi="Times New Roman"/>
          <w:b w:val="1"/>
          <w:sz w:val="24"/>
        </w:rPr>
        <w:t>.</w:t>
      </w:r>
    </w:p>
    <w:p w14:paraId="05000000">
      <w:pPr>
        <w:spacing w:after="0" w:before="269" w:line="240" w:lineRule="auto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Услуги должны оказываться в медицинском учреждении, расположенном в ЦАО г. Москвы, в пределах 1000 метров от станции метрополитена г. Москвы.</w:t>
      </w:r>
    </w:p>
    <w:p w14:paraId="06000000">
      <w:pPr>
        <w:widowControl w:val="1"/>
        <w:spacing w:after="0"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Оказание Услуг должно осуществляться исключительно в месте оказания Услуг, предложенном Исполнителем и указанном в лицензии в качестве адреса места осуществления лицензируемых видов деятельности; направление </w:t>
      </w:r>
      <w:r>
        <w:rPr>
          <w:rFonts w:ascii="Times New Roman" w:hAnsi="Times New Roman"/>
          <w:sz w:val="24"/>
        </w:rPr>
        <w:t xml:space="preserve">государственных гражданских служащих центрального аппарата Федерального агентства по управлению государственным имуществом (далее – Государственные служащие) в другие лечебные учреждения и лаборатории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>допускается</w:t>
      </w:r>
      <w:r>
        <w:rPr>
          <w:rFonts w:ascii="Times New Roman" w:hAnsi="Times New Roman"/>
          <w:sz w:val="24"/>
        </w:rPr>
        <w:t>.</w:t>
      </w:r>
    </w:p>
    <w:p w14:paraId="07000000">
      <w:pPr>
        <w:widowControl w:val="1"/>
        <w:spacing w:after="0"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</w:p>
    <w:p w14:paraId="08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 Срок оказания Услуг: </w:t>
      </w:r>
      <w:r>
        <w:rPr>
          <w:rFonts w:ascii="Times New Roman" w:hAnsi="Times New Roman"/>
          <w:sz w:val="24"/>
        </w:rPr>
        <w:t>с даты заключ</w:t>
      </w:r>
      <w:r>
        <w:rPr>
          <w:rFonts w:ascii="Times New Roman" w:hAnsi="Times New Roman"/>
          <w:sz w:val="24"/>
        </w:rPr>
        <w:t xml:space="preserve">ения государственного контракта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30.09.2026 г.</w:t>
      </w:r>
    </w:p>
    <w:p w14:paraId="09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 оказываются в соответствии с Календарным планом прохождения диспансеризации (далее – Календарный план), который разрабатывается Исполнителем на основании направленного Заказчиком поименного спи</w:t>
      </w:r>
      <w:r>
        <w:rPr>
          <w:rFonts w:ascii="Times New Roman" w:hAnsi="Times New Roman"/>
          <w:sz w:val="24"/>
        </w:rPr>
        <w:t>ска Государственных служащих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утверждается совместно с Заказчиком в течение 5 (пяти) рабочих дней с даты за</w:t>
      </w:r>
      <w:bookmarkStart w:id="1" w:name="undefined"/>
      <w:bookmarkEnd w:id="1"/>
      <w:r>
        <w:rPr>
          <w:rFonts w:ascii="Times New Roman" w:hAnsi="Times New Roman"/>
          <w:sz w:val="24"/>
        </w:rPr>
        <w:t>ключения государственного контракта.</w:t>
      </w:r>
    </w:p>
    <w:p w14:paraId="0A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Календарный план должен предусматривать проведение диспансеризации Государственных служащих в служебное время: </w:t>
      </w:r>
      <w:r>
        <w:rPr>
          <w:rFonts w:ascii="Times New Roman" w:hAnsi="Times New Roman"/>
          <w:sz w:val="24"/>
        </w:rPr>
        <w:t xml:space="preserve">в рабочие дни в период с 9 часов 00 минут </w:t>
      </w:r>
      <w:r>
        <w:rPr>
          <w:rFonts w:ascii="Times New Roman" w:hAnsi="Times New Roman"/>
          <w:sz w:val="24"/>
        </w:rPr>
        <w:t xml:space="preserve">до 18 часов 00 минут (по пятницам - с 9 часов 00 минут до 16 часов 45 минут)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московскому времени.</w:t>
      </w:r>
    </w:p>
    <w:p w14:paraId="0B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дни проведения диспансеризации Государственных служащих Исполнитель обязан обеспечить отсутствие приема иных </w:t>
      </w:r>
      <w:r>
        <w:rPr>
          <w:rFonts w:ascii="Times New Roman" w:hAnsi="Times New Roman"/>
          <w:sz w:val="24"/>
        </w:rPr>
        <w:t xml:space="preserve">граждан врачами-специалистами, привлеченными </w:t>
      </w:r>
      <w:r>
        <w:rPr>
          <w:rFonts w:ascii="Times New Roman" w:hAnsi="Times New Roman"/>
          <w:sz w:val="24"/>
        </w:rPr>
        <w:t xml:space="preserve">к проведению диспансеризации Государственных служащих. </w:t>
      </w:r>
    </w:p>
    <w:p w14:paraId="0C000000">
      <w:pPr>
        <w:pStyle w:val="Style_2"/>
        <w:widowControl w:val="1"/>
        <w:ind w:firstLine="709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 xml:space="preserve">4. </w:t>
      </w:r>
      <w:r>
        <w:rPr>
          <w:rFonts w:ascii="Times New Roman" w:hAnsi="Times New Roman"/>
          <w:b w:val="1"/>
          <w:sz w:val="24"/>
        </w:rPr>
        <w:t>Функциональные, технические и качественные характеристики, характеристики объекта закупки</w:t>
      </w:r>
      <w:r>
        <w:rPr>
          <w:rFonts w:ascii="Times New Roman" w:hAnsi="Times New Roman"/>
          <w:b w:val="1"/>
          <w:sz w:val="24"/>
        </w:rPr>
        <w:t>:</w:t>
      </w:r>
    </w:p>
    <w:p w14:paraId="0D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должны быть оказаны в соответствии требованиями действующего законодательства, регламентирующего осуществление медицинской деятельности,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частности проведение диспансеризации Государственных служащих Российской Федерации, в том числе:</w:t>
      </w:r>
    </w:p>
    <w:p w14:paraId="0E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риказ Минздрава России от 14.04.2025 №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</w:t>
      </w:r>
      <w:r>
        <w:rPr>
          <w:rFonts w:ascii="Times New Roman" w:hAnsi="Times New Roman"/>
          <w:sz w:val="24"/>
        </w:rPr>
        <w:t xml:space="preserve">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</w:t>
      </w:r>
      <w:r>
        <w:rPr>
          <w:rFonts w:ascii="Times New Roman" w:hAnsi="Times New Roman"/>
          <w:sz w:val="24"/>
        </w:rPr>
        <w:t xml:space="preserve"> (далее – Приказ № 201н).</w:t>
      </w:r>
    </w:p>
    <w:p w14:paraId="0F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</w:t>
      </w:r>
      <w:r>
        <w:rPr>
          <w:rFonts w:ascii="Times New Roman" w:hAnsi="Times New Roman"/>
          <w:sz w:val="24"/>
        </w:rPr>
        <w:t>Минздравсоцразвития</w:t>
      </w:r>
      <w:r>
        <w:rPr>
          <w:rFonts w:ascii="Times New Roman" w:hAnsi="Times New Roman"/>
          <w:sz w:val="24"/>
        </w:rPr>
        <w:t xml:space="preserve"> Российской Федерации от 26 августа 2011 г.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</w:t>
      </w:r>
      <w:r>
        <w:rPr>
          <w:rFonts w:ascii="Times New Roman" w:hAnsi="Times New Roman"/>
          <w:sz w:val="24"/>
        </w:rPr>
        <w:t>об отсутствии медицинских противопоказаний для работы с использованием сведений, составляющих государственную тайну»;</w:t>
      </w:r>
    </w:p>
    <w:p w14:paraId="10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закона от 4 мая 2011 г. № 99-ФЗ «О лицензировании отдельных видов деятельности»;</w:t>
      </w:r>
    </w:p>
    <w:p w14:paraId="11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постановления Правительства Российской Федерации от 1 июня 2021 г.  № 852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 xml:space="preserve">»)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признании утратившими силу некоторых актов Правительства Российской Федераци</w:t>
      </w:r>
      <w:r>
        <w:rPr>
          <w:rFonts w:ascii="Times New Roman" w:hAnsi="Times New Roman"/>
          <w:sz w:val="24"/>
        </w:rPr>
        <w:t>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др.</w:t>
      </w:r>
    </w:p>
    <w:p w14:paraId="12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4.1.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Категория граждан: </w:t>
      </w:r>
      <w:r>
        <w:rPr>
          <w:rFonts w:ascii="Times New Roman" w:hAnsi="Times New Roman"/>
          <w:sz w:val="24"/>
        </w:rPr>
        <w:t xml:space="preserve">государственные гражданские служащие центрального аппарата Федерального агентства по управлению государственным имуществом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(г. Москва).</w:t>
      </w:r>
    </w:p>
    <w:p w14:paraId="13000000">
      <w:pPr>
        <w:keepNext w:val="1"/>
        <w:widowControl w:val="1"/>
        <w:spacing w:after="240"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4.2. Услуги:</w:t>
      </w:r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  <w:gridCol w:w="8793"/>
      </w:tblGrid>
      <w:tr>
        <w:trPr>
          <w:trHeight w:hRule="atLeast" w:val="83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8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услуги</w:t>
            </w:r>
          </w:p>
        </w:tc>
      </w:tr>
      <w:tr>
        <w:trPr>
          <w:trHeight w:hRule="atLeast" w:val="567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8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«Женщины от 18 до 40 лет»</w:t>
            </w:r>
          </w:p>
        </w:tc>
      </w:tr>
    </w:tbl>
    <w:p w14:paraId="18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4.3. Сведения об обязательном объеме Услуг и видах необходимых исследований:</w:t>
      </w:r>
    </w:p>
    <w:tbl>
      <w:tblPr>
        <w:tblStyle w:val="Style_3"/>
        <w:tblW w:type="auto" w:w="0"/>
        <w:tblInd w:type="dxa" w:w="-12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1908"/>
        <w:gridCol w:w="5137"/>
        <w:gridCol w:w="975"/>
        <w:gridCol w:w="768"/>
      </w:tblGrid>
      <w:tr>
        <w:trPr>
          <w:trHeight w:hRule="atLeast" w:val="94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услуги</w:t>
            </w:r>
          </w:p>
        </w:tc>
        <w:tc>
          <w:tcPr>
            <w:tcW w:type="dxa" w:w="5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Свойства, дополнительные параметры, характеристики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 человек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«Ж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енщины от 18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до 40 лет» </w:t>
            </w:r>
          </w:p>
          <w:p w14:paraId="20000000">
            <w:pPr>
              <w:pStyle w:val="Style_1"/>
              <w:widowControl w:val="1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86.21.10.120-00000003</w:t>
            </w:r>
          </w:p>
          <w:p w14:paraId="21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5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spacing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2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врача-терапевта, включающий установление диагноза, в том числе осмотр на выявление визуальных и иных лока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 xml:space="preserve">изаций онкологических заболеваний, включающий осмотр кожных покровов, слизистых губ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ротовой полости, пальпацию щитовидной железы, лимфатических узлов, определение группы здоровья, группы диспансерного наблюдения (с учетом заключений врачей-специалистов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rPr>
                <w:rFonts w:ascii="Times New Roman" w:hAnsi="Times New Roman"/>
                <w:color w:val="000000"/>
              </w:rPr>
              <w:t xml:space="preserve"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</w:t>
            </w:r>
            <w:r>
              <w:rPr>
                <w:rFonts w:ascii="Times New Roman" w:hAnsi="Times New Roman"/>
                <w:color w:val="000000"/>
              </w:rPr>
              <w:t>диспансеризации</w:t>
            </w:r>
          </w:p>
          <w:p w14:paraId="2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врача-акушера-гинеколога</w:t>
            </w:r>
          </w:p>
          <w:p w14:paraId="2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2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2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2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2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2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2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2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2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2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2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3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3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3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3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3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3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3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3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3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3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Цитологическое исследование мазка из цервикального канала</w:t>
            </w:r>
          </w:p>
          <w:p w14:paraId="3A000000">
            <w:pPr>
              <w:widowControl w:val="1"/>
              <w:spacing w:line="240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3B000000">
            <w:pPr>
              <w:widowControl w:val="1"/>
              <w:spacing w:line="240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</w:t>
            </w:r>
            <w:r>
              <w:rPr>
                <w:rFonts w:ascii="Times New Roman" w:hAnsi="Times New Roman"/>
                <w:color w:val="000000"/>
              </w:rPr>
              <w:t>мерение артериального давления на периферических артериях</w:t>
            </w:r>
          </w:p>
          <w:p w14:paraId="3C000000">
            <w:pPr>
              <w:widowControl w:val="1"/>
              <w:spacing w:line="240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3D000000">
            <w:pPr>
              <w:widowControl w:val="1"/>
              <w:spacing w:line="240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3E000000">
            <w:pPr>
              <w:widowControl w:val="1"/>
              <w:spacing w:after="0" w:before="0" w:line="240" w:lineRule="auto"/>
              <w:ind/>
              <w:contextualSpacing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отн</w:t>
            </w:r>
            <w:r>
              <w:rPr>
                <w:rFonts w:ascii="Times New Roman" w:hAnsi="Times New Roman"/>
              </w:rPr>
              <w:t xml:space="preserve">осительного суммарного сердечно-сосудистого риска, у граждан в возрасте 21 - 39 лет </w:t>
            </w:r>
            <w:r>
              <w:rPr>
                <w:rFonts w:ascii="Times New Roman" w:hAnsi="Times New Roman"/>
              </w:rPr>
              <w:t xml:space="preserve">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3F000000">
            <w:pPr>
              <w:widowControl w:val="1"/>
              <w:spacing w:after="0" w:before="0" w:line="240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40000000">
            <w:pPr>
              <w:widowControl w:val="1"/>
              <w:spacing w:after="0" w:before="0" w:line="240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4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</w:t>
            </w:r>
          </w:p>
        </w:tc>
      </w:tr>
    </w:tbl>
    <w:p w14:paraId="44000000">
      <w:pPr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обследований и лабораторно-клинических исследований, указанный в Приказе № 201н, является обязательным.</w:t>
      </w:r>
    </w:p>
    <w:p w14:paraId="45000000">
      <w:pPr>
        <w:keepNext w:val="1"/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4.3.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Требования к результату услуг: </w:t>
      </w:r>
    </w:p>
    <w:p w14:paraId="46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результатов диспансеризации осуществляется в соответствии с требованиями Приказа № 201н.</w:t>
      </w:r>
    </w:p>
    <w:p w14:paraId="47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на основании результатов ди</w:t>
      </w:r>
      <w:r>
        <w:rPr>
          <w:rFonts w:ascii="Times New Roman" w:hAnsi="Times New Roman"/>
          <w:sz w:val="24"/>
        </w:rPr>
        <w:t xml:space="preserve">спансеризации Гражданского служащего должен выдать ему заключение медицинского учреждения о наличии (отсутствии) заболевания, препятствующего прохождению государственной гражданской службы, подписанное врачебной комиссией Исполнителя (далее – Заключение). </w:t>
      </w:r>
    </w:p>
    <w:p w14:paraId="48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составляется по учетной форме № 001-ГС/у, утвержденной Приказом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№ 201н.</w:t>
      </w:r>
    </w:p>
    <w:p w14:paraId="49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по результатам диспансеризации, оформляет и предоставляет Заказчику отчетную документацию о проведенной диспансеризации Государственных служащих </w:t>
      </w:r>
      <w:r>
        <w:rPr>
          <w:rFonts w:ascii="Times New Roman" w:hAnsi="Times New Roman"/>
          <w:sz w:val="24"/>
        </w:rPr>
        <w:t xml:space="preserve">по данным «Карты учета диспансеризации государственного гражданского служащего Российской Федерации», в соответствии с Приказом №  201н. </w:t>
      </w:r>
    </w:p>
    <w:p w14:paraId="4A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Заключения должна быть передана Исполнителем в составе отчетной документации Заказчику.</w:t>
      </w:r>
    </w:p>
    <w:p w14:paraId="4B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Требования безопасности при оказании услуг:</w:t>
      </w:r>
      <w:r>
        <w:rPr>
          <w:rFonts w:ascii="Times New Roman" w:hAnsi="Times New Roman"/>
          <w:sz w:val="24"/>
        </w:rPr>
        <w:t xml:space="preserve"> </w:t>
      </w:r>
    </w:p>
    <w:p w14:paraId="4C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обеспечивает безопасные условия при проведении диспансеризации и гарантирует конфиденциальность сведений, ставших известными в процессе оказания услуг, согласно законодательству Российской Федерации о персональных данных.</w:t>
      </w:r>
    </w:p>
    <w:p w14:paraId="4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Медицинские услуги должны быть надлежащего качества в объеме, определенном законодательством Российской Федерации для проведения диспансеризации федеральных государственных гражданских служащих, </w:t>
      </w:r>
      <w:r>
        <w:rPr>
          <w:rFonts w:ascii="Times New Roman" w:hAnsi="Times New Roman"/>
          <w:sz w:val="24"/>
        </w:rPr>
        <w:t>отвечать требованиям существующих в Российской Федерации отраслевых стандартов диагностики, а также требованиям Приказа № 201н, оказываться в соответствии с требованиями, предъявляемыми к методам диагностики, разрешенным на территории Российской Федерации.</w:t>
      </w:r>
    </w:p>
    <w:p w14:paraId="4E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осуществлять внутренний контроль качества и безопасности медицинской деятельности, в том числе </w:t>
      </w:r>
      <w:r>
        <w:rPr>
          <w:rFonts w:ascii="Times New Roman" w:hAnsi="Times New Roman"/>
          <w:sz w:val="24"/>
        </w:rPr>
        <w:t>внутрилабораторный</w:t>
      </w:r>
      <w:r>
        <w:rPr>
          <w:rFonts w:ascii="Times New Roman" w:hAnsi="Times New Roman"/>
          <w:sz w:val="24"/>
        </w:rPr>
        <w:t>. При оказании услуг Исполнителем должны быть обеспечены безопасность жизни, здоровья граждан, санитарно-гигиенические требования. М</w:t>
      </w:r>
      <w:r>
        <w:rPr>
          <w:rFonts w:ascii="Times New Roman" w:hAnsi="Times New Roman"/>
          <w:sz w:val="24"/>
        </w:rPr>
        <w:t>едицинская аппаратура, оборудование, материально-технические средства, медикаменты, дезинфицирующие средства, необходимые для проведения медицинского осмотра, должны использоваться в строгом соответствии с требованиями инструкций организаций-изготовителей.</w:t>
      </w:r>
    </w:p>
    <w:p w14:paraId="4F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Предоставляемые Исполнителем и Заказчиком друг другу техническая, финансовая, коммерческая и иная информация, персональные данные Государственных служащих, связанные с контрактом, считаются конфиденциальной информацией.</w:t>
      </w:r>
    </w:p>
    <w:p w14:paraId="50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разглашения указанной информации Исполнитель и Заказчик несут ответственность в соответствии с действующим законодательством (кроме случаев, прямо предусмотренных законодательством Российской Федерации).</w:t>
      </w:r>
    </w:p>
    <w:p w14:paraId="5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Государственных служащих подлежат защите в соответствии с Федеральным законом от 27.07.2006 № 152-ФЗ «О персональных данных».</w:t>
      </w:r>
    </w:p>
    <w:p w14:paraId="52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Требование, установленное в соответствии с законодательством Российской Федерации к лицам, осуществляющим оказание услуг:</w:t>
      </w:r>
    </w:p>
    <w:p w14:paraId="53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иметь действующую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на следующие вид</w:t>
      </w:r>
      <w:r>
        <w:rPr>
          <w:rFonts w:ascii="Times New Roman" w:hAnsi="Times New Roman"/>
          <w:sz w:val="24"/>
        </w:rPr>
        <w:t xml:space="preserve">ы медицинской деятельности: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«неврология», «урология», «хирургия», «офтальмология, «оториноларингологии </w:t>
      </w:r>
      <w:r>
        <w:rPr>
          <w:rFonts w:ascii="Times New Roman" w:hAnsi="Times New Roman"/>
          <w:sz w:val="24"/>
        </w:rPr>
        <w:t xml:space="preserve">(за исключением </w:t>
      </w:r>
      <w:r>
        <w:rPr>
          <w:rFonts w:ascii="Times New Roman" w:hAnsi="Times New Roman"/>
          <w:sz w:val="24"/>
        </w:rPr>
        <w:t>кохлеарной</w:t>
      </w:r>
      <w:r>
        <w:rPr>
          <w:rFonts w:ascii="Times New Roman" w:hAnsi="Times New Roman"/>
          <w:sz w:val="24"/>
        </w:rPr>
        <w:t xml:space="preserve"> имплантации)», «эндокринология», «психиатрия», «психиатрия-наркология», «рентгенология», «ультразвуковая диагностика», «клиническая лабораторная диагностика», в соответствии с требованиями, утвержденными Приказом № 201н </w:t>
      </w:r>
      <w:r>
        <w:rPr>
          <w:rFonts w:ascii="Times New Roman" w:hAnsi="Times New Roman"/>
          <w:sz w:val="24"/>
        </w:rPr>
        <w:t xml:space="preserve">и постановлением Правительства РФ от 01.06.2021 № 852 </w:t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t xml:space="preserve">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признании утратившими силу некоторых актов Правительства Российской федерации».</w:t>
      </w:r>
    </w:p>
    <w:p w14:paraId="54000000">
      <w:pPr>
        <w:rPr>
          <w:rFonts w:ascii="Times New Roman" w:hAnsi="Times New Roman"/>
        </w:rPr>
      </w:pPr>
    </w:p>
    <w:sectPr>
      <w:type w:val="nextPage"/>
      <w:pgSz w:h="16838" w:orient="portrait" w:w="11906"/>
      <w:pgMar w:bottom="1134" w:footer="709" w:gutter="0" w:header="709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57"/>
      <w:ind w:firstLine="0" w:left="283" w:right="0"/>
    </w:pPr>
  </w:style>
  <w:style w:styleId="Style_4_ch" w:type="character">
    <w:name w:val="toc 2"/>
    <w:basedOn w:val="Style_2_ch"/>
    <w:link w:val="Style_4"/>
  </w:style>
  <w:style w:styleId="Style_5" w:type="paragraph">
    <w:name w:val="toc 4"/>
    <w:basedOn w:val="Style_2"/>
    <w:next w:val="Style_2"/>
    <w:link w:val="Style_5_ch"/>
    <w:uiPriority w:val="39"/>
    <w:pPr>
      <w:widowControl w:val="1"/>
      <w:spacing w:after="57"/>
      <w:ind w:firstLine="0" w:left="850" w:right="0"/>
    </w:pPr>
  </w:style>
  <w:style w:styleId="Style_5_ch" w:type="character">
    <w:name w:val="toc 4"/>
    <w:basedOn w:val="Style_2_ch"/>
    <w:link w:val="Style_5"/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2_ch"/>
    <w:link w:val="Style_6"/>
    <w:rPr>
      <w:rFonts w:ascii="Arial" w:hAnsi="Arial"/>
      <w:b w:val="1"/>
      <w:i w:val="1"/>
      <w:sz w:val="22"/>
    </w:rPr>
  </w:style>
  <w:style w:styleId="Style_7" w:type="paragraph">
    <w:name w:val="toc 6"/>
    <w:basedOn w:val="Style_2"/>
    <w:next w:val="Style_2"/>
    <w:link w:val="Style_7_ch"/>
    <w:uiPriority w:val="39"/>
    <w:pPr>
      <w:widowControl w:val="1"/>
      <w:spacing w:after="57"/>
      <w:ind w:firstLine="0" w:left="1417" w:right="0"/>
    </w:pPr>
  </w:style>
  <w:style w:styleId="Style_7_ch" w:type="character">
    <w:name w:val="toc 6"/>
    <w:basedOn w:val="Style_2_ch"/>
    <w:link w:val="Style_7"/>
  </w:style>
  <w:style w:styleId="Style_8" w:type="paragraph">
    <w:name w:val="toc 7"/>
    <w:basedOn w:val="Style_2"/>
    <w:next w:val="Style_2"/>
    <w:link w:val="Style_8_ch"/>
    <w:uiPriority w:val="39"/>
    <w:pPr>
      <w:widowControl w:val="1"/>
      <w:spacing w:after="57"/>
      <w:ind w:firstLine="0" w:left="1701" w:right="0"/>
    </w:pPr>
  </w:style>
  <w:style w:styleId="Style_8_ch" w:type="character">
    <w:name w:val="toc 7"/>
    <w:basedOn w:val="Style_2_ch"/>
    <w:link w:val="Style_8"/>
  </w:style>
  <w:style w:styleId="Style_9" w:type="paragraph">
    <w:name w:val="Endnote"/>
    <w:basedOn w:val="Style_2"/>
    <w:link w:val="Style_9_ch"/>
    <w:pPr>
      <w:widowControl w:val="1"/>
      <w:spacing w:after="0" w:line="240" w:lineRule="auto"/>
      <w:ind/>
    </w:pPr>
    <w:rPr>
      <w:sz w:val="20"/>
    </w:rPr>
  </w:style>
  <w:style w:styleId="Style_9_ch" w:type="character">
    <w:name w:val="Endnote"/>
    <w:basedOn w:val="Style_2_ch"/>
    <w:link w:val="Style_9"/>
    <w:rPr>
      <w:sz w:val="20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2_ch"/>
    <w:link w:val="Style_10"/>
    <w:rPr>
      <w:rFonts w:ascii="Arial" w:hAnsi="Arial"/>
      <w:sz w:val="30"/>
    </w:rPr>
  </w:style>
  <w:style w:styleId="Style_11" w:type="paragraph">
    <w:name w:val="Quote"/>
    <w:basedOn w:val="Style_2"/>
    <w:next w:val="Style_2"/>
    <w:link w:val="Style_11_ch"/>
    <w:pPr>
      <w:widowControl w:val="1"/>
      <w:ind w:left="720" w:right="720"/>
    </w:pPr>
    <w:rPr>
      <w:i w:val="1"/>
    </w:rPr>
  </w:style>
  <w:style w:styleId="Style_11_ch" w:type="character">
    <w:name w:val="Quote"/>
    <w:basedOn w:val="Style_2_ch"/>
    <w:link w:val="Style_11"/>
    <w:rPr>
      <w:i w:val="1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2_ch"/>
    <w:link w:val="Style_12"/>
    <w:rPr>
      <w:rFonts w:ascii="Arial" w:hAnsi="Arial"/>
      <w:i w:val="1"/>
      <w:sz w:val="21"/>
    </w:rPr>
  </w:style>
  <w:style w:styleId="Style_13" w:type="paragraph">
    <w:name w:val="TOC Heading"/>
    <w:link w:val="Style_13_ch"/>
  </w:style>
  <w:style w:styleId="Style_13_ch" w:type="character">
    <w:name w:val="TOC Heading"/>
    <w:link w:val="Style_13"/>
  </w:style>
  <w:style w:styleId="Style_14" w:type="paragraph">
    <w:name w:val="toc 3"/>
    <w:basedOn w:val="Style_2"/>
    <w:next w:val="Style_2"/>
    <w:link w:val="Style_14_ch"/>
    <w:uiPriority w:val="39"/>
    <w:pPr>
      <w:widowControl w:val="1"/>
      <w:spacing w:after="57"/>
      <w:ind w:firstLine="0" w:left="567" w:right="0"/>
    </w:pPr>
  </w:style>
  <w:style w:styleId="Style_14_ch" w:type="character">
    <w:name w:val="toc 3"/>
    <w:basedOn w:val="Style_2_ch"/>
    <w:link w:val="Style_14"/>
  </w:style>
  <w:style w:styleId="Style_15" w:type="paragraph">
    <w:name w:val="endnote reference"/>
    <w:link w:val="Style_15_ch"/>
    <w:rPr>
      <w:vertAlign w:val="superscript"/>
    </w:rPr>
  </w:style>
  <w:style w:styleId="Style_15_ch" w:type="character">
    <w:name w:val="endnote reference"/>
    <w:link w:val="Style_15"/>
    <w:rPr>
      <w:vertAlign w:val="superscript"/>
    </w:rPr>
  </w:style>
  <w:style w:styleId="Style_16" w:type="paragraph">
    <w:name w:val="table of figures"/>
    <w:basedOn w:val="Style_2"/>
    <w:next w:val="Style_2"/>
    <w:link w:val="Style_16_ch"/>
    <w:pPr>
      <w:widowControl w:val="1"/>
      <w:spacing w:after="0"/>
      <w:ind/>
    </w:pPr>
  </w:style>
  <w:style w:styleId="Style_16_ch" w:type="character">
    <w:name w:val="table of figures"/>
    <w:basedOn w:val="Style_2_ch"/>
    <w:link w:val="Style_16"/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7_ch" w:type="character">
    <w:name w:val="heading 5"/>
    <w:basedOn w:val="Style_2_ch"/>
    <w:link w:val="Style_17"/>
    <w:rPr>
      <w:rFonts w:ascii="Arial" w:hAnsi="Arial"/>
      <w:b w:val="1"/>
      <w:sz w:val="24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8_ch" w:type="character">
    <w:name w:val="heading 1"/>
    <w:basedOn w:val="Style_2_ch"/>
    <w:link w:val="Style_18"/>
    <w:rPr>
      <w:rFonts w:ascii="Arial" w:hAnsi="Arial"/>
      <w:sz w:val="40"/>
    </w:rPr>
  </w:style>
  <w:style w:styleId="Style_19" w:type="paragraph">
    <w:name w:val="Header"/>
    <w:basedOn w:val="Style_2"/>
    <w:link w:val="Style_19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9_ch" w:type="character">
    <w:name w:val="Header"/>
    <w:basedOn w:val="Style_2_ch"/>
    <w:link w:val="Style_19"/>
  </w:style>
  <w:style w:styleId="Style_20" w:type="paragraph">
    <w:name w:val="Hyperlink"/>
    <w:link w:val="Style_20_ch"/>
    <w:rPr>
      <w:color w:themeColor="hyperlink" w:val="0563C1"/>
      <w:u w:val="single"/>
    </w:rPr>
  </w:style>
  <w:style w:styleId="Style_20_ch" w:type="character">
    <w:name w:val="Hyperlink"/>
    <w:link w:val="Style_20"/>
    <w:rPr>
      <w:color w:themeColor="hyperlink" w:val="0563C1"/>
      <w:u w:val="single"/>
    </w:rPr>
  </w:style>
  <w:style w:styleId="Style_21" w:type="paragraph">
    <w:name w:val="Footnote"/>
    <w:basedOn w:val="Style_2"/>
    <w:link w:val="Style_21_ch"/>
    <w:pPr>
      <w:widowControl w:val="1"/>
      <w:spacing w:after="40" w:line="240" w:lineRule="auto"/>
      <w:ind/>
    </w:pPr>
    <w:rPr>
      <w:sz w:val="18"/>
    </w:rPr>
  </w:style>
  <w:style w:styleId="Style_21_ch" w:type="character">
    <w:name w:val="Footnote"/>
    <w:basedOn w:val="Style_2_ch"/>
    <w:link w:val="Style_21"/>
    <w:rPr>
      <w:sz w:val="18"/>
    </w:rPr>
  </w:style>
  <w:style w:styleId="Style_22" w:type="paragraph">
    <w:name w:val="heading 8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2_ch" w:type="character">
    <w:name w:val="heading 8"/>
    <w:basedOn w:val="Style_2_ch"/>
    <w:link w:val="Style_22"/>
    <w:rPr>
      <w:rFonts w:ascii="Arial" w:hAnsi="Arial"/>
      <w:i w:val="1"/>
      <w:sz w:val="22"/>
    </w:rPr>
  </w:style>
  <w:style w:styleId="Style_23" w:type="paragraph">
    <w:name w:val="toc 1"/>
    <w:basedOn w:val="Style_2"/>
    <w:next w:val="Style_2"/>
    <w:link w:val="Style_23_ch"/>
    <w:uiPriority w:val="39"/>
    <w:pPr>
      <w:widowControl w:val="1"/>
      <w:spacing w:after="57"/>
      <w:ind w:firstLine="0" w:left="0" w:right="0"/>
    </w:pPr>
  </w:style>
  <w:style w:styleId="Style_23_ch" w:type="character">
    <w:name w:val="toc 1"/>
    <w:basedOn w:val="Style_2_ch"/>
    <w:link w:val="Style_23"/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Caption"/>
    <w:basedOn w:val="Style_2"/>
    <w:next w:val="Style_2"/>
    <w:link w:val="Style_25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25_ch" w:type="character">
    <w:name w:val="Caption"/>
    <w:basedOn w:val="Style_2_ch"/>
    <w:link w:val="Style_25"/>
    <w:rPr>
      <w:b w:val="1"/>
      <w:color w:themeColor="accent1" w:val="5B9BD5"/>
      <w:sz w:val="18"/>
    </w:rPr>
  </w:style>
  <w:style w:styleId="Style_26" w:type="paragraph">
    <w:name w:val="toc 9"/>
    <w:basedOn w:val="Style_2"/>
    <w:next w:val="Style_2"/>
    <w:link w:val="Style_26_ch"/>
    <w:uiPriority w:val="39"/>
    <w:pPr>
      <w:widowControl w:val="1"/>
      <w:spacing w:after="57"/>
      <w:ind w:firstLine="0" w:left="2268" w:right="0"/>
    </w:pPr>
  </w:style>
  <w:style w:styleId="Style_26_ch" w:type="character">
    <w:name w:val="toc 9"/>
    <w:basedOn w:val="Style_2_ch"/>
    <w:link w:val="Style_26"/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8"/>
    <w:basedOn w:val="Style_2"/>
    <w:next w:val="Style_2"/>
    <w:link w:val="Style_28_ch"/>
    <w:uiPriority w:val="39"/>
    <w:pPr>
      <w:widowControl w:val="1"/>
      <w:spacing w:after="57"/>
      <w:ind w:firstLine="0" w:left="1984" w:right="0"/>
    </w:pPr>
  </w:style>
  <w:style w:styleId="Style_28_ch" w:type="character">
    <w:name w:val="toc 8"/>
    <w:basedOn w:val="Style_2_ch"/>
    <w:link w:val="Style_28"/>
  </w:style>
  <w:style w:styleId="Style_29" w:type="paragraph">
    <w:name w:val="footnote reference"/>
    <w:link w:val="Style_29_ch"/>
    <w:rPr>
      <w:vertAlign w:val="superscript"/>
    </w:rPr>
  </w:style>
  <w:style w:styleId="Style_29_ch" w:type="character">
    <w:name w:val="footnote reference"/>
    <w:link w:val="Style_29"/>
    <w:rPr>
      <w:vertAlign w:val="superscript"/>
    </w:rPr>
  </w:style>
  <w:style w:styleId="Style_30" w:type="paragraph">
    <w:name w:val="toc 5"/>
    <w:basedOn w:val="Style_2"/>
    <w:next w:val="Style_2"/>
    <w:link w:val="Style_30_ch"/>
    <w:uiPriority w:val="39"/>
    <w:pPr>
      <w:widowControl w:val="1"/>
      <w:spacing w:after="57"/>
      <w:ind w:firstLine="0" w:left="1134" w:right="0"/>
    </w:pPr>
  </w:style>
  <w:style w:styleId="Style_30_ch" w:type="character">
    <w:name w:val="toc 5"/>
    <w:basedOn w:val="Style_2_ch"/>
    <w:link w:val="Style_30"/>
  </w:style>
  <w:style w:styleId="Style_31" w:type="paragraph">
    <w:name w:val="Footer"/>
    <w:basedOn w:val="Style_2"/>
    <w:link w:val="Style_3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1_ch" w:type="character">
    <w:name w:val="Footer"/>
    <w:basedOn w:val="Style_2_ch"/>
    <w:link w:val="Style_31"/>
  </w:style>
  <w:style w:styleId="Style_32" w:type="paragraph">
    <w:name w:val="Subtitle"/>
    <w:basedOn w:val="Style_2"/>
    <w:next w:val="Style_2"/>
    <w:link w:val="Style_32_ch"/>
    <w:uiPriority w:val="11"/>
    <w:qFormat/>
    <w:pPr>
      <w:widowControl w:val="1"/>
      <w:spacing w:after="200" w:before="200"/>
      <w:ind/>
    </w:pPr>
    <w:rPr>
      <w:sz w:val="24"/>
    </w:rPr>
  </w:style>
  <w:style w:styleId="Style_32_ch" w:type="character">
    <w:name w:val="Subtitle"/>
    <w:basedOn w:val="Style_2_ch"/>
    <w:link w:val="Style_32"/>
    <w:rPr>
      <w:sz w:val="24"/>
    </w:rPr>
  </w:style>
  <w:style w:styleId="Style_33" w:type="paragraph">
    <w:name w:val="Title"/>
    <w:basedOn w:val="Style_2"/>
    <w:next w:val="Style_2"/>
    <w:link w:val="Style_3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3_ch" w:type="character">
    <w:name w:val="Title"/>
    <w:basedOn w:val="Style_2_ch"/>
    <w:link w:val="Style_33"/>
    <w:rPr>
      <w:sz w:val="48"/>
    </w:rPr>
  </w:style>
  <w:style w:styleId="Style_34" w:type="paragraph">
    <w:name w:val="heading 4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4_ch" w:type="character">
    <w:name w:val="heading 4"/>
    <w:basedOn w:val="Style_2_ch"/>
    <w:link w:val="Style_34"/>
    <w:rPr>
      <w:rFonts w:ascii="Arial" w:hAnsi="Arial"/>
      <w:b w:val="1"/>
      <w:sz w:val="26"/>
    </w:rPr>
  </w:style>
  <w:style w:styleId="Style_35" w:type="paragraph">
    <w:name w:val="heading 2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35_ch" w:type="character">
    <w:name w:val="heading 2"/>
    <w:basedOn w:val="Style_2_ch"/>
    <w:link w:val="Style_35"/>
    <w:rPr>
      <w:rFonts w:ascii="Arial" w:hAnsi="Arial"/>
      <w:sz w:val="34"/>
    </w:rPr>
  </w:style>
  <w:style w:styleId="Style_36" w:type="paragraph">
    <w:name w:val="Intense Quote"/>
    <w:basedOn w:val="Style_2"/>
    <w:next w:val="Style_2"/>
    <w:link w:val="Style_3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36_ch" w:type="character">
    <w:name w:val="Intense Quote"/>
    <w:basedOn w:val="Style_2_ch"/>
    <w:link w:val="Style_36"/>
    <w:rPr>
      <w:i w:val="1"/>
    </w:rPr>
  </w:style>
  <w:style w:styleId="Style_37" w:type="paragraph">
    <w:name w:val="heading 6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7_ch" w:type="character">
    <w:name w:val="heading 6"/>
    <w:basedOn w:val="Style_2_ch"/>
    <w:link w:val="Style_37"/>
    <w:rPr>
      <w:rFonts w:ascii="Arial" w:hAnsi="Arial"/>
      <w:b w:val="1"/>
      <w:sz w:val="22"/>
    </w:rPr>
  </w:style>
  <w:style w:styleId="Style_38" w:type="paragraph">
    <w:name w:val="No Spacing"/>
    <w:basedOn w:val="Style_2"/>
    <w:link w:val="Style_38_ch"/>
    <w:pPr>
      <w:widowControl w:val="1"/>
      <w:spacing w:after="0" w:line="240" w:lineRule="auto"/>
      <w:ind/>
    </w:pPr>
  </w:style>
  <w:style w:styleId="Style_38_ch" w:type="character">
    <w:name w:val="No Spacing"/>
    <w:basedOn w:val="Style_2_ch"/>
    <w:link w:val="Style_38"/>
  </w:style>
  <w:style w:styleId="Style_39" w:type="table">
    <w:name w:val="Grid Table 3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40" w:type="table">
    <w:name w:val="List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41" w:type="table">
    <w:name w:val="Plain Table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42" w:type="table">
    <w:name w:val="Bordered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43" w:type="table">
    <w:name w:val="Grid Table 2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4" w:type="table">
    <w:name w:val="List Table 2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45" w:type="table">
    <w:name w:val="List Table 3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46" w:type="table">
    <w:name w:val="List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47" w:type="table">
    <w:name w:val="List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48" w:type="table">
    <w:name w:val="List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49" w:type="table">
    <w:name w:val="Grid Table 3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0" w:type="table">
    <w:name w:val="List Table 2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51" w:type="table">
    <w:name w:val="Grid Table 1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52" w:type="table">
    <w:name w:val="List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53" w:type="table">
    <w:name w:val="List Table 1 Light - Accent 6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54" w:type="table">
    <w:name w:val="Grid Table 1 Light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5" w:type="table">
    <w:name w:val="Bordered &amp; 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6" w:type="table">
    <w:name w:val="List Table 2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57" w:type="table">
    <w:name w:val="List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58" w:type="table">
    <w:name w:val="List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59" w:type="table">
    <w:name w:val="Grid Table 1 Light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0" w:type="table">
    <w:name w:val="Grid Table 1 Light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1" w:type="table">
    <w:name w:val="Grid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2" w:type="table">
    <w:name w:val="Bordered &amp; 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3" w:type="table">
    <w:name w:val="Grid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4" w:type="table">
    <w:name w:val="Grid Table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65" w:type="table">
    <w:name w:val="Grid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66" w:type="table">
    <w:name w:val="Grid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7" w:type="table">
    <w:name w:val="List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68" w:type="table">
    <w:name w:val="Bordered &amp; 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69" w:type="table">
    <w:name w:val="Grid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0" w:type="table">
    <w:name w:val="Grid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1" w:type="table">
    <w:name w:val="Bordered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2" w:type="table">
    <w:name w:val="Grid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3" w:type="table">
    <w:name w:val="List Table 7 Colorful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74" w:type="table">
    <w:name w:val="Plain Table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3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6" w:type="table">
    <w:name w:val="Grid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7" w:type="table">
    <w:name w:val="Bordered &amp; 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78" w:type="table">
    <w:name w:val="List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79" w:type="table">
    <w:name w:val="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0" w:type="table">
    <w:name w:val="List Table 2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1" w:type="table">
    <w:name w:val="List Table 1 Light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82" w:type="table">
    <w:name w:val="Grid Table 1 Light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3" w:type="table">
    <w:name w:val="List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84" w:type="table">
    <w:name w:val="Table Grid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List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7" w:type="table">
    <w:name w:val="Plain Table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88" w:type="table">
    <w:name w:val="Grid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9" w:type="table">
    <w:name w:val="List Table 3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0" w:type="table">
    <w:name w:val="Table Grid"/>
    <w:basedOn w:val="Style_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Bordered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Grid Table 3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3" w:type="table">
    <w:name w:val="Grid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4" w:type="table">
    <w:name w:val="Grid Table 2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5" w:type="table">
    <w:name w:val="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6" w:type="table">
    <w:name w:val="Grid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7" w:type="table">
    <w:name w:val="List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98" w:type="table">
    <w:name w:val="Grid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9" w:type="table">
    <w:name w:val="Grid Table 1 Light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0" w:type="table">
    <w:name w:val="Grid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1" w:type="table">
    <w:name w:val="Grid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List Table 3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3" w:type="table">
    <w:name w:val="Grid Table 7 Colorful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4" w:type="table">
    <w:name w:val="List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5" w:type="table">
    <w:name w:val="List Table 2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6" w:type="table">
    <w:name w:val="List Table 3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7" w:type="table">
    <w:name w:val="Grid Table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8" w:type="table">
    <w:name w:val="List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9" w:type="table">
    <w:name w:val="Bordered &amp; 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0" w:type="table">
    <w:name w:val="List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1" w:type="table">
    <w:name w:val="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2" w:type="table">
    <w:name w:val="Bordered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3" w:type="table">
    <w:name w:val="List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4" w:type="table">
    <w:name w:val="Grid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5" w:type="table">
    <w:name w:val="List Table 1 Light - Accent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16" w:type="table">
    <w:name w:val="List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17" w:type="table">
    <w:name w:val="List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8" w:type="table">
    <w:name w:val="List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19" w:type="table">
    <w:name w:val="Bordered &amp; 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20" w:type="table">
    <w:name w:val="Bordered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1" w:type="table">
    <w:name w:val="List Table 1 Light - Accent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22" w:type="table">
    <w:name w:val="Grid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3" w:type="table">
    <w:name w:val="List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24" w:type="table">
    <w:name w:val="List Table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5" w:type="table">
    <w:name w:val="List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6" w:type="table">
    <w:name w:val="Grid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7" w:type="table">
    <w:name w:val="Grid Table 5 Dark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Grid Table 2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5 Dark - Accent 4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0" w:type="table">
    <w:name w:val="List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31" w:type="table">
    <w:name w:val="Grid Table 2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2" w:type="table">
    <w:name w:val="Grid Table 1 Light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3" w:type="table">
    <w:name w:val="Bordered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4" w:type="table">
    <w:name w:val="Grid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List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36" w:type="table">
    <w:name w:val="List Table 5 Dark - Accent 1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7" w:type="table">
    <w:name w:val="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8" w:type="table">
    <w:name w:val="List Table 1 Light - Accent 1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39" w:type="table">
    <w:name w:val="Grid Table 2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0" w:type="table">
    <w:name w:val="Grid Table 3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1" w:type="table">
    <w:name w:val="Grid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2" w:type="table">
    <w:name w:val="Grid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3" w:type="table">
    <w:name w:val="List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4" w:type="table">
    <w:name w:val="List Table 1 Light - Accent 2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45" w:type="table">
    <w:name w:val="Grid Table 5 Dark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Plain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8" w:type="table">
    <w:name w:val="Plain Table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49" w:type="table">
    <w:name w:val="List Table 1 Light - Accent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50" w:type="table">
    <w:name w:val="List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1" w:type="table">
    <w:name w:val="List Table 2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2" w:type="table">
    <w:name w:val="List Table 3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3" w:type="table">
    <w:name w:val="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4" w:type="table">
    <w:name w:val="Grid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Bordered &amp; 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6" w:type="table">
    <w:name w:val="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7" w:type="table">
    <w:name w:val="List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8" w:type="table">
    <w:name w:val="Grid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9" w:type="table">
    <w:name w:val="Bordered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0" w:type="table">
    <w:name w:val="Grid Table 3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1" w:type="table">
    <w:name w:val="List Table 3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2" w:type="table">
    <w:name w:val="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3" w:type="table">
    <w:name w:val="Grid Table 2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4" w:type="table">
    <w:name w:val="Grid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2026-05-12T10:45:03Z</dcterms:created>
  <dcterms:modified xsi:type="dcterms:W3CDTF">2026-08-10T13:01:41Z</dcterms:modified>
</cp:coreProperties>
</file>