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0"/>
        <w:gridCol w:w="1707"/>
        <w:gridCol w:w="2275"/>
        <w:gridCol w:w="116"/>
        <w:gridCol w:w="680"/>
        <w:gridCol w:w="285"/>
        <w:gridCol w:w="682"/>
        <w:gridCol w:w="171"/>
        <w:gridCol w:w="796"/>
        <w:gridCol w:w="284"/>
        <w:gridCol w:w="797"/>
        <w:gridCol w:w="1140"/>
        <w:gridCol w:w="283"/>
        <w:gridCol w:w="968"/>
        <w:gridCol w:w="1142"/>
        <w:gridCol w:w="278"/>
        <w:gridCol w:w="805"/>
        <w:gridCol w:w="168"/>
        <w:gridCol w:w="110"/>
        <w:gridCol w:w="973"/>
        <w:gridCol w:w="1251"/>
      </w:tblGrid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Система выпуска сметной документации А0 v. 3.7.5.3 Copyright InfoStroy Ltd.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 Минстроя России от 04.08.2020 № 421/пр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ФСНБ-2022. Приказ Минстроя России от 30.12.2021 №1046/пр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 Минстроя России от 21.12.2020 № 812/пр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 Минстроя России от 11.12.2020 № 774/пр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приказа Минстроя России об утверждении дополнений и изменении к сметным нормативам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Приказы Минстроя России: от 07.07.2022 № 557/пр; от 30.01.2024 № 55/пр; от 23.01.2025 №30/пр; от 30.01.2026 №42/пр;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18 мая 2022 г. № 378/пр; от 26.08.2022 г. № 703/пр; от 26.10.2022 г. № 905/пр; от 27.12.2022 г. № 1133/пр; от 10.02.2023 г. № 84/пр; от 11.05.2023 №335/пр; от 02.08.2023 № 551/пр; от 14.11.2023 № 817/пр; от 16.02.2024 № 102/пр; от 13.05.2024 г. № 323/пр; от 09.08.2024 №524/пр; от 07.11.2024 №747/пр; от 07.02.2025 № 69/пр; от 19.05.2025 №299/пр; от 14.08.2025 №490/пр; от 12.11.2025 №696/пр; от 17.02.2026 №91/пр;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02.09.2021 № 636/пр; от 26.07.2022 № 611/пр;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11.12.2020 № 774/пр; от 22.04.2022 № 317/пр;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письма Минстроя России об индексах 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с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№326/пр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Письмо Минстроя России от 25.02.2026 №9859-ИФ/09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 2016 № 1452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 Министерства Строительства Кировской области от 21.03.2025 № 23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Обоснование принятых текущих цен на строительные ресурсы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зоны субъекта Российской Федерации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  <w:tc>
          <w:tcPr>
            <w:tcW w:w="5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962ABA" w:rsidRDefault="0093577F" w:rsidP="0093577F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ООШ №1</w:t>
            </w:r>
            <w:r w:rsidR="00D74F9C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Кирова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962ABA" w:rsidRDefault="0093577F" w:rsidP="0093577F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ООШ №1</w:t>
            </w:r>
            <w:r w:rsidR="00D74F9C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Кирова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№30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3577F" w:rsidP="0093577F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577F">
              <w:rPr>
                <w:rFonts w:ascii="Arial" w:hAnsi="Arial" w:cs="Arial"/>
                <w:sz w:val="18"/>
                <w:szCs w:val="18"/>
              </w:rPr>
              <w:t>Ремонт домофона в системе доступа</w:t>
            </w:r>
            <w:r w:rsidR="00962ABA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МБОУ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962ABA">
              <w:rPr>
                <w:rFonts w:ascii="Arial" w:hAnsi="Arial" w:cs="Arial"/>
                <w:color w:val="000000"/>
                <w:sz w:val="18"/>
                <w:szCs w:val="18"/>
              </w:rPr>
              <w:t>ОШ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2ABA">
              <w:rPr>
                <w:rFonts w:ascii="Arial" w:hAnsi="Arial" w:cs="Arial"/>
                <w:color w:val="000000"/>
                <w:sz w:val="18"/>
                <w:szCs w:val="18"/>
              </w:rPr>
              <w:t>№1 г. Кирова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работ и затрат)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Составлен(а)</w:t>
            </w:r>
          </w:p>
        </w:tc>
        <w:tc>
          <w:tcPr>
            <w:tcW w:w="608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Ресурсно-индексным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методом</w:t>
            </w:r>
          </w:p>
        </w:tc>
        <w:tc>
          <w:tcPr>
            <w:tcW w:w="59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</w:p>
        </w:tc>
        <w:tc>
          <w:tcPr>
            <w:tcW w:w="608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 объемов работ</w:t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Составлен(а) в текущем уровне цен</w:t>
            </w:r>
          </w:p>
        </w:tc>
        <w:tc>
          <w:tcPr>
            <w:tcW w:w="10921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кв. 2026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31253</w:t>
            </w:r>
          </w:p>
        </w:tc>
        <w:tc>
          <w:tcPr>
            <w:tcW w:w="89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руб.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2778.56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 работ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6278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12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1409.65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 работ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21075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46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46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 затрат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Обоснование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31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  <w:tc>
          <w:tcPr>
            <w:tcW w:w="59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Сметная стоимость, руб.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с учетом коэффициентов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на единицу измерения в базисном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уровне цен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индекс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 измерения в текущем уровне цен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в текущем уровне цен, руб.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ГЭСНм-08-01-081-05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многопроволочного провода (жил кабеля) К=2% от ОТ_Вспомогательные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К=2% от ОТ_Вспомогательные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0.4002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151.96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ТЗ-1-100-40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0.4002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151.96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ОТм(ЗТм)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91.14.02-001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11.72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01.7.15.03-0042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Болты с гайками и шайбами строительные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0.0598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174.93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195.92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11.72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164.85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Вспомогательные ненормируемые материальные ресурсы 2% от 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3.04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152.38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147.81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77.71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39 341.00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393.41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61.2.07.00_43_4345269232_02.03.2026_01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Видеопанель DS-700 цвет медный.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ЦЕНА=3854/1,22*1,012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Кпз=1/1,22 (Коэффициенты к ПЗ) Кпз=1,012 (Коэффициенты к ПЗ)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3196.92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3196.92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 к ПЗ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Кпз=1/1,22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 к ПЗ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Кпз=1,012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3 196.92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3196.92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ГЭСНм-08-02-409-09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 К=2% от ОТ_Вспомогательные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К=2% от ОТ_Вспомогательные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546.52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ТЗ-2-100-02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Рабочий 2 разряда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308.87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ТЗ-2-100-03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Рабочий 3 разряда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10.75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1.075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362.5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ТЗ-2-100-04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Рабочий 4 разряда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4.83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0.483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183.4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ОТм(ЗТм)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91.14.02-001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19.49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01.7.03.04-0001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кВт-ч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4.42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0.442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3.63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01.7.15.07-0152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2.09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0.209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52.34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75.89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15.86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567.07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Вспомогательные ненормируемые материальные ресурсы 2% от 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10.93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546.9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530.49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278.92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13 874.10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1387.41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24.3.01.02-0042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гибкие гофрированные, тяжелые, из самозатухающего ПВХ, с протяжкой, номинальный диаметр 20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28.18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281.8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28.18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281.8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ГЭСНм-08-02-149-01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Кабель до 35 кВ, подвешиваемый на тросе, масса 1 м кабеля: до 1 кг К=2% от ОТ_Вспомогательные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К=2% от ОТ_Вспомогательные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3.42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1269.54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ТЗ-1-100-38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3,8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3.42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371.21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1269.54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6160.57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ОТм(ЗТм)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1401.28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91.05.05-015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Краны на автомобильном ходу, грузоподъемность 16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1720.87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86.04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ТЗ-4-100-060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6,0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510.07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91.06.01-003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Домкраты гидравлические, грузоподъемность 63-100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2.89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91.06.03-061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Лебедки электрические тяговым усилием до 12,26 кН (1,25 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7.63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91.06.09-001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Подъемники телескопические самоходные, рабочая высота 26 м, грузоподъемность 250 кг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10.64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1472.34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2267.4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6031.28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ТЗ-4-100-060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6,0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10.64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510.07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1356.79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91.14.02-001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34.03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18.99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2412.95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12.1.02.06-0012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Рубероид кровельный РКК-350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0.0525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47.57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64.22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3.37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20.1.02.14-0001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Серьга КС-095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159.13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219.6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439.2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20.1.02.20-0001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Анкеры тросовые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6119.4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8444.77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168.9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20.5.04.04-0001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 натяжной болтовый НБ-2-6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782.94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900.38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1800.76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01.7.06.07-0002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37.71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60.34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11244.34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Вспомогательные ненормируемые материальные ресурсы 2% от 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25.39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2670.82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2590.7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1362.12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60 890.20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15222.55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24.3.01.02-0042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гибкие гофрированные, тяжелые, из самозатухающего ПВХ, с протяжкой, номинальный диаметр 20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28.18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704.5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28.18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704.5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ТЦ_08.2.02.16_43_4345244485_15.12.2025_01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Трос с полимерным покрытием ПР 2,5мм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ЦЕНА=15/1,22*1,02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Кпз=1/1,22 (Коэффициенты к ПЗ) Кпз=1,02 (Коэффициенты к ПЗ)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12.54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313.53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 к ПЗ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Кпз=1/1,22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 к ПЗ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Кпз=1,02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12.54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313.53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ГЭСНм-08-02-412-01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 К=2% от ОТ_Вспомогательные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25 + 10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К=2% от ОТ_Вспомогательные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1.5715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583.36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ТЗ-1-100-38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3,8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4.49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1.5715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371.21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583.36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ОТм(ЗТм)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3.12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91.05.05-015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Краны на автомобильном ходу, грузоподъемность 16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1720.87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6.02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ТЗ-4-100-060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6,0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510.07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1.79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91.14.02-001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2.38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52.14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20.2.01.05-0001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Гильзы кабельные медные 2,5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0.0175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412.93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512.03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8.96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20.2.02.01-0011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Втулки полипропиленовые, диаметр 17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 шт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0.0122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0.00427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1481.45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2044.4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8.73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14.4.02.04-0142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Краска масляная МА-0115, мумия, сурик железный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79.88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146.98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01.7.06.05-0041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4.6655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5.17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24.12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01.7.07.20-0002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Тальк молотый, сорт I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0.00043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0.0001505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43821.53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1.41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61788.36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647.02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Вспомогательные ненормируемые материальные ресурсы 2% от 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11.67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586.48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568.89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299.1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4 361.94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1526.68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9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ГЭСНм-08-02-402-01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Кабель трех-пятижильный по установленным конструкциям и лоткам с установкой ответвительных коробок: в помещениях с нормальной средой сечением жилы до 10 мм2 К=2% от ОТ_Вспомогательные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К=2% от ОТ_Вспомогательные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0.612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227.18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ТЗ-1-100-38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3,8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12.24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0.612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371.21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227.18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16.17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ОТм(ЗТм)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4.45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91.05.05-015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Краны на автомобильном ходу, грузоподъемность 16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1720.87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ТЗ-4-100-060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6,0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510.07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2.55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91.14.02-001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91.17.04-233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2.16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0.108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38.65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4.17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22.13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14.4.02.04-0142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Краска масляная МА-0115, мумия, сурик железный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79.88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146.98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2.94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01.7.03.04-0001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кВт-ч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0.4416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0.02208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01.7.06.05-0041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0.6665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5.17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3.45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01.7.06.07-0002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0.0275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37.71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60.34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01.7.11.07-0227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0.095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155.63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146.29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269.93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Вспомогательные ненормируемые материальные ресурсы 2% от 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4.54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231.63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224.68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118.13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12 345.60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617.28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ТЦ_21.2.03.03_43_4345244485_02.03.2026_01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КВК-В-2 2х0,75 нг(А)-LSLTx 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ЦЕНА=115/1,22*1,02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Кпз=1/1,22 (Коэффициенты к ПЗ) Кпз=1,02 (Коэффициенты к ПЗ)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96.15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3845.9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 к ПЗ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Кпз=1/1,22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 к ПЗ</w:t>
            </w:r>
          </w:p>
        </w:tc>
        <w:tc>
          <w:tcPr>
            <w:tcW w:w="11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Кпз=1,02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96.15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3845.9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по смете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прямые затраты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21291,43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в том числе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оплата труда (ОТ)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2778,56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эксплуатация машин и механизмов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6186,57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оплата труда машинистов (ОТм)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1409,65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материальные ресурсы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7719,73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перевозка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ФОТ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4188,21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4062,57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сметная прибыль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2135,98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24293,06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оборудование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3196,92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27489,98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Справочно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материальные ресурсы, отсутствующие в ФРСН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оборудование, отсутствующее в ФРСН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затраты труда рабочих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7,56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затраты труда машинистов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2,78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Компенсация НДС при УСН (М+ЭМ+Об+Транспортировка)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22 %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3762,71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без НДС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31253     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31253     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Составил:</w:t>
            </w:r>
          </w:p>
        </w:tc>
        <w:tc>
          <w:tcPr>
            <w:tcW w:w="79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Проверил:</w:t>
            </w:r>
          </w:p>
        </w:tc>
      </w:tr>
      <w:tr w:rsidR="00962A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BA" w:rsidRDefault="00962AB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62ABA" w:rsidRDefault="00962ABA"/>
    <w:sectPr w:rsidR="00962ABA" w:rsidSect="00502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A8" w:rsidRDefault="00A54BA8">
      <w:pPr>
        <w:spacing w:after="0" w:line="240" w:lineRule="auto"/>
      </w:pPr>
      <w:r>
        <w:separator/>
      </w:r>
    </w:p>
  </w:endnote>
  <w:endnote w:type="continuationSeparator" w:id="0">
    <w:p w:rsidR="00A54BA8" w:rsidRDefault="00A5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B8" w:rsidRDefault="005024B8" w:rsidP="00D1744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024B8" w:rsidRDefault="005024B8" w:rsidP="005024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B8" w:rsidRPr="005024B8" w:rsidRDefault="005024B8" w:rsidP="00D1744C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5024B8">
      <w:rPr>
        <w:rStyle w:val="a7"/>
        <w:rFonts w:ascii="Arial" w:hAnsi="Arial" w:cs="Arial"/>
        <w:sz w:val="16"/>
      </w:rPr>
      <w:fldChar w:fldCharType="begin"/>
    </w:r>
    <w:r w:rsidRPr="005024B8">
      <w:rPr>
        <w:rStyle w:val="a7"/>
        <w:rFonts w:ascii="Arial" w:hAnsi="Arial" w:cs="Arial"/>
        <w:sz w:val="16"/>
      </w:rPr>
      <w:instrText xml:space="preserve"> PAGE </w:instrText>
    </w:r>
    <w:r w:rsidRPr="005024B8">
      <w:rPr>
        <w:rStyle w:val="a7"/>
        <w:rFonts w:ascii="Arial" w:hAnsi="Arial" w:cs="Arial"/>
        <w:sz w:val="16"/>
      </w:rPr>
      <w:fldChar w:fldCharType="separate"/>
    </w:r>
    <w:r w:rsidR="00F84128">
      <w:rPr>
        <w:rStyle w:val="a7"/>
        <w:rFonts w:ascii="Arial" w:hAnsi="Arial" w:cs="Arial"/>
        <w:noProof/>
        <w:sz w:val="16"/>
      </w:rPr>
      <w:t>9</w:t>
    </w:r>
    <w:r w:rsidRPr="005024B8">
      <w:rPr>
        <w:rStyle w:val="a7"/>
        <w:rFonts w:ascii="Arial" w:hAnsi="Arial" w:cs="Arial"/>
        <w:sz w:val="16"/>
      </w:rPr>
      <w:fldChar w:fldCharType="end"/>
    </w:r>
  </w:p>
  <w:p w:rsidR="00962ABA" w:rsidRPr="005024B8" w:rsidRDefault="005024B8" w:rsidP="005024B8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5024B8">
      <w:rPr>
        <w:rFonts w:ascii="Arial" w:hAnsi="Arial" w:cs="Arial"/>
        <w:sz w:val="16"/>
        <w:szCs w:val="24"/>
      </w:rPr>
      <w:t>30 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B8" w:rsidRDefault="005024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A8" w:rsidRDefault="00A54BA8">
      <w:pPr>
        <w:spacing w:after="0" w:line="240" w:lineRule="auto"/>
      </w:pPr>
      <w:r>
        <w:separator/>
      </w:r>
    </w:p>
  </w:footnote>
  <w:footnote w:type="continuationSeparator" w:id="0">
    <w:p w:rsidR="00A54BA8" w:rsidRDefault="00A5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B8" w:rsidRDefault="005024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579"/>
      <w:gridCol w:w="1707"/>
      <w:gridCol w:w="3071"/>
      <w:gridCol w:w="967"/>
      <w:gridCol w:w="967"/>
      <w:gridCol w:w="1081"/>
      <w:gridCol w:w="1138"/>
      <w:gridCol w:w="1251"/>
      <w:gridCol w:w="1138"/>
      <w:gridCol w:w="1081"/>
      <w:gridCol w:w="1251"/>
      <w:gridCol w:w="1251"/>
    </w:tblGrid>
    <w:tr w:rsidR="00962ABA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5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70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307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62ABA" w:rsidRDefault="00962AB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12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B8" w:rsidRDefault="005024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4B8"/>
    <w:rsid w:val="005024B8"/>
    <w:rsid w:val="0093577F"/>
    <w:rsid w:val="00962ABA"/>
    <w:rsid w:val="00A54BA8"/>
    <w:rsid w:val="00D1744C"/>
    <w:rsid w:val="00D74F9C"/>
    <w:rsid w:val="00F8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4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024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24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024B8"/>
    <w:rPr>
      <w:rFonts w:cs="Times New Roman"/>
    </w:rPr>
  </w:style>
  <w:style w:type="character" w:styleId="a7">
    <w:name w:val="page number"/>
    <w:basedOn w:val="a0"/>
    <w:uiPriority w:val="99"/>
    <w:semiHidden/>
    <w:unhideWhenUsed/>
    <w:rsid w:val="005024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РИМ Ресурсно-индексный метод расчета</vt:lpstr>
    </vt:vector>
  </TitlesOfParts>
  <Company/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РИМ Ресурсно-индексный метод расчета</dc:title>
  <dc:creator>FastReport</dc:creator>
  <cp:lastModifiedBy>Завхоз</cp:lastModifiedBy>
  <cp:revision>2</cp:revision>
  <dcterms:created xsi:type="dcterms:W3CDTF">2026-06-04T06:07:00Z</dcterms:created>
  <dcterms:modified xsi:type="dcterms:W3CDTF">2026-06-04T06:07:00Z</dcterms:modified>
</cp:coreProperties>
</file>