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rPr>
          <w:sz w:val="20"/>
          <w:szCs w:val="20"/>
        </w:rPr>
      </w:pPr>
      <w:r>
        <w:rPr>
          <w:sz w:val="20"/>
          <w:szCs w:val="20"/>
        </w:rPr>
        <w:t xml:space="preserve">Догово</w:t>
      </w:r>
      <w:r>
        <w:rPr>
          <w:sz w:val="20"/>
          <w:szCs w:val="20"/>
        </w:rPr>
        <w:t xml:space="preserve">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 оказание</w:t>
      </w:r>
      <w:r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/2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</w:r>
      <w:r/>
    </w:p>
    <w:p>
      <w:pPr>
        <w:pStyle w:val="8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</w:t>
      </w:r>
      <w:r>
        <w:rPr>
          <w:sz w:val="20"/>
          <w:szCs w:val="20"/>
        </w:rPr>
        <w:t xml:space="preserve"> 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</w:t>
      </w:r>
      <w:r>
        <w:rPr>
          <w:sz w:val="20"/>
          <w:szCs w:val="20"/>
        </w:rPr>
        <w:t xml:space="preserve">ода</w:t>
      </w:r>
      <w:r>
        <w:rPr>
          <w:sz w:val="20"/>
          <w:szCs w:val="20"/>
        </w:rPr>
      </w:r>
      <w:r/>
    </w:p>
    <w:p>
      <w:pPr>
        <w:pStyle w:val="815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815"/>
        <w:ind w:firstLine="567"/>
        <w:jc w:val="both"/>
        <w:rPr>
          <w:rFonts w:ascii="Times New Roman" w:hAnsi="Times New Roman" w:cs="Times New Roman" w:eastAsia="Times New Roman"/>
          <w:sz w:val="22"/>
          <w:szCs w:val="21"/>
        </w:rPr>
      </w:pPr>
      <w:r>
        <w:rPr>
          <w:rFonts w:ascii="Times New Roman" w:hAnsi="Times New Roman" w:cs="Times New Roman" w:eastAsia="Times New Roman"/>
          <w:b/>
          <w:sz w:val="22"/>
          <w:szCs w:val="21"/>
        </w:rPr>
      </w:r>
      <w:r>
        <w:rPr>
          <w:rFonts w:ascii="Times New Roman" w:hAnsi="Times New Roman" w:cs="Times New Roman" w:eastAsia="Times New Roman"/>
          <w:b/>
          <w:bCs/>
          <w:sz w:val="22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</w:r>
      <w:r>
        <w:rPr>
          <w:rFonts w:ascii="Times New Roman" w:hAnsi="Times New Roman" w:cs="Times New Roman" w:eastAsia="Times New Roman"/>
          <w:b/>
          <w:sz w:val="22"/>
          <w:szCs w:val="21"/>
        </w:rPr>
        <w:t xml:space="preserve"> 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(далее –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Заказчик) в лице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</w:t>
      </w:r>
      <w:r>
        <w:rPr>
          <w:rFonts w:ascii="Times New Roman" w:hAnsi="Times New Roman" w:cs="Times New Roman" w:eastAsia="Times New Roman"/>
          <w:sz w:val="22"/>
          <w:szCs w:val="20"/>
        </w:rPr>
        <w:t xml:space="preserve">лице директора Парамонова Игоря Владимировича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, действующе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го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на основании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Устава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,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именуемое в дальнейшем «Заказчик»,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с одной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с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тороны, и </w:t>
      </w:r>
      <w:r>
        <w:rPr>
          <w:rFonts w:ascii="Times New Roman" w:hAnsi="Times New Roman" w:cs="Times New Roman" w:eastAsia="Times New Roman"/>
          <w:b/>
          <w:sz w:val="22"/>
          <w:szCs w:val="21"/>
        </w:rPr>
        <w:t xml:space="preserve">________________________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в лице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________________________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действующего на основании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Устава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, именуемое в дальнейшем «Исполнитель»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,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с другой стороны,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вместе именуемые «Стороны»,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в соответствии с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п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унктом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4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ч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асти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1 ст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атьи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93 Федерального закона РФ от 05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.04.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2013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№ 44-ФЗ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«О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договор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ной системе в сфере закупок товаров, работ, услуг для обеспечения государственных и муни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ципальных нужд»,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заключили настоящий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Договор на оказание услуг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(далее – 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договор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)</w:t>
      </w:r>
      <w:r>
        <w:rPr>
          <w:rFonts w:ascii="Times New Roman" w:hAnsi="Times New Roman" w:cs="Times New Roman" w:eastAsia="Times New Roman"/>
          <w:sz w:val="22"/>
          <w:szCs w:val="21"/>
        </w:rPr>
        <w:t xml:space="preserve"> о нижеследующем:</w:t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pStyle w:val="815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81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</w:t>
      </w:r>
      <w:r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Предмет </w:t>
      </w:r>
      <w:r>
        <w:rPr>
          <w:b/>
          <w:sz w:val="21"/>
          <w:szCs w:val="21"/>
        </w:rPr>
        <w:t xml:space="preserve">договор</w:t>
      </w:r>
      <w:r>
        <w:rPr>
          <w:b/>
          <w:sz w:val="21"/>
          <w:szCs w:val="21"/>
        </w:rPr>
        <w:t xml:space="preserve">а</w:t>
      </w:r>
      <w:r>
        <w:rPr>
          <w:b/>
          <w:sz w:val="21"/>
          <w:szCs w:val="21"/>
        </w:rPr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1.1. По настоящему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у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Исполнитель обязуется по заданию Заказчика</w:t>
      </w:r>
      <w:r>
        <w:rPr>
          <w:sz w:val="21"/>
          <w:szCs w:val="21"/>
        </w:rPr>
        <w:t xml:space="preserve"> оказать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услуги по проведению инструментальных исследований (испытаний), измерений факторов среды обитания человека на объекте Заказчика по адресу: </w:t>
      </w:r>
      <w:r>
        <w:rPr>
          <w:b/>
          <w:sz w:val="21"/>
          <w:szCs w:val="21"/>
        </w:rPr>
        <w:t xml:space="preserve"> ул. Красноармейская 70, 45А,72, 72/2; ул. Всесвятская 84 </w:t>
      </w:r>
      <w:r>
        <w:rPr>
          <w:sz w:val="21"/>
          <w:szCs w:val="21"/>
        </w:rPr>
        <w:t xml:space="preserve">(далее </w:t>
      </w:r>
      <w:r>
        <w:rPr>
          <w:sz w:val="21"/>
          <w:szCs w:val="21"/>
        </w:rPr>
        <w:t xml:space="preserve">– у</w:t>
      </w:r>
      <w:r>
        <w:rPr>
          <w:sz w:val="21"/>
          <w:szCs w:val="21"/>
        </w:rPr>
        <w:t xml:space="preserve">слуги)</w:t>
      </w:r>
      <w:r>
        <w:rPr>
          <w:sz w:val="21"/>
          <w:szCs w:val="21"/>
        </w:rPr>
        <w:t xml:space="preserve">, а Заказчик обязуется </w:t>
      </w:r>
      <w:r>
        <w:rPr>
          <w:sz w:val="21"/>
          <w:szCs w:val="21"/>
        </w:rPr>
        <w:t xml:space="preserve">принять результат услуг и </w:t>
      </w:r>
      <w:r>
        <w:rPr>
          <w:sz w:val="21"/>
          <w:szCs w:val="21"/>
        </w:rPr>
        <w:t xml:space="preserve">оплатить </w:t>
      </w:r>
      <w:r>
        <w:rPr>
          <w:sz w:val="21"/>
          <w:szCs w:val="21"/>
        </w:rPr>
        <w:t xml:space="preserve">его</w:t>
      </w:r>
      <w:r>
        <w:rPr>
          <w:sz w:val="21"/>
          <w:szCs w:val="21"/>
        </w:rPr>
        <w:t xml:space="preserve">.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1.2 </w:t>
      </w:r>
      <w:r>
        <w:rPr>
          <w:sz w:val="21"/>
          <w:szCs w:val="21"/>
        </w:rPr>
        <w:t xml:space="preserve">Объем исследов</w:t>
      </w:r>
      <w:r>
        <w:rPr>
          <w:sz w:val="21"/>
          <w:szCs w:val="21"/>
        </w:rPr>
        <w:t xml:space="preserve">аний, испытаний, измерений, их </w:t>
      </w:r>
      <w:r>
        <w:rPr>
          <w:sz w:val="21"/>
          <w:szCs w:val="21"/>
        </w:rPr>
        <w:t xml:space="preserve">цена   указаны в следующей  Спецификации:</w:t>
      </w:r>
      <w:r>
        <w:rPr>
          <w:sz w:val="21"/>
          <w:szCs w:val="21"/>
        </w:rPr>
      </w:r>
      <w:r/>
    </w:p>
    <w:tbl>
      <w:tblPr>
        <w:tblW w:w="10822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6"/>
        <w:gridCol w:w="4955"/>
        <w:gridCol w:w="992"/>
        <w:gridCol w:w="1132"/>
        <w:gridCol w:w="1184"/>
        <w:gridCol w:w="1843"/>
      </w:tblGrid>
      <w:tr>
        <w:trPr>
          <w:trHeight w:val="58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6" w:type="dxa"/>
            <w:vAlign w:val="bottom"/>
            <w:textDirection w:val="lrTb"/>
            <w:noWrap w:val="false"/>
          </w:tcPr>
          <w:p>
            <w:pPr>
              <w:pStyle w:val="815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№ п\п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top"/>
            <w:textDirection w:val="lrTb"/>
            <w:noWrap w:val="false"/>
          </w:tcPr>
          <w:p>
            <w:pPr>
              <w:pStyle w:val="815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Наименование работ (услуг)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15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п. Прейску-ранта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Цена, руб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4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Количество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b/>
                <w:bCs/>
                <w:color w:val="000000"/>
                <w:sz w:val="22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16"/>
              </w:rPr>
              <w:t xml:space="preserve">Сумма </w:t>
            </w:r>
            <w:r>
              <w:rPr>
                <w:b/>
                <w:bCs/>
                <w:color w:val="000000"/>
                <w:sz w:val="22"/>
                <w:szCs w:val="16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16"/>
              </w:rPr>
              <w:t xml:space="preserve"> НДС, руб</w:t>
            </w:r>
            <w:r>
              <w:rPr>
                <w:sz w:val="22"/>
              </w:rPr>
            </w:r>
            <w:r/>
          </w:p>
        </w:tc>
      </w:tr>
      <w:tr>
        <w:trPr>
          <w:trHeight w:val="223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Микрокли</w:t>
            </w:r>
            <w:r>
              <w:rPr>
                <w:color w:val="000000"/>
                <w:sz w:val="22"/>
                <w:szCs w:val="21"/>
              </w:rPr>
              <w:t xml:space="preserve">мат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1,3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auto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170,80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115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19642,00</w:t>
            </w:r>
            <w:r>
              <w:rPr>
                <w:sz w:val="22"/>
              </w:rPr>
            </w:r>
            <w:r/>
          </w:p>
        </w:tc>
      </w:tr>
      <w:tr>
        <w:trPr>
          <w:trHeight w:val="241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auto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Измерение уровней шума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3.1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auto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855,22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855,22</w:t>
            </w:r>
            <w:r>
              <w:rPr>
                <w:sz w:val="22"/>
              </w:rPr>
            </w:r>
            <w:r/>
          </w:p>
        </w:tc>
      </w:tr>
      <w:tr>
        <w:trPr>
          <w:trHeight w:val="479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Выезд специалиста на объект, расположенный от 5 до 30 км от здания Центра или его филиала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№11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auto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385,00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385,00</w:t>
            </w:r>
            <w:r>
              <w:rPr>
                <w:sz w:val="22"/>
              </w:rPr>
            </w:r>
            <w:r/>
          </w:p>
        </w:tc>
      </w:tr>
      <w:tr>
        <w:trPr>
          <w:trHeight w:val="177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pStyle w:val="815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Бактериологические исследования эффективности работы стерилизационного и дезинфекционного оборудования. Эффективность работы 1 единицы воздушного стерилизатора с подготовкой тест-объектов (5 тестов)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124</w:t>
            </w:r>
            <w:r>
              <w:rPr>
                <w:sz w:val="22"/>
              </w:rPr>
            </w:r>
            <w:r/>
          </w:p>
        </w:tc>
        <w:tc>
          <w:tcPr>
            <w:shd w:val="clear" w:fill="FFFFFF" w:color="auto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1032,12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8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 w:val="false"/>
          </w:tcPr>
          <w:p>
            <w:pPr>
              <w:pStyle w:val="815"/>
              <w:jc w:val="righ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8256,96</w:t>
            </w:r>
            <w:r>
              <w:rPr>
                <w:sz w:val="22"/>
              </w:rPr>
            </w:r>
            <w:r/>
          </w:p>
        </w:tc>
      </w:tr>
      <w:tr>
        <w:trPr>
          <w:trHeight w:val="209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center"/>
            <w:textDirection w:val="lrTb"/>
            <w:noWrap/>
          </w:tcPr>
          <w:p>
            <w:pPr>
              <w:pStyle w:val="815"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center"/>
            <w:textDirection w:val="lrTb"/>
            <w:noWrap w:val="false"/>
          </w:tcPr>
          <w:p>
            <w:pPr>
              <w:pStyle w:val="815"/>
              <w:rPr>
                <w:sz w:val="22"/>
              </w:rPr>
            </w:pPr>
            <w:r>
              <w:rPr>
                <w:sz w:val="22"/>
                <w:szCs w:val="21"/>
              </w:rPr>
              <w:t xml:space="preserve">Бактериологические исследования эффективности работы стерилизационного и дезинфекционного оборудования. Эффективность работы 1 единицы парового стерилизатора с подготовкой тест-объектов (5 тестов)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125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951,60</w:t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8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7612,800</w:t>
            </w:r>
            <w:r>
              <w:rPr>
                <w:sz w:val="22"/>
              </w:rPr>
            </w:r>
            <w:r/>
          </w:p>
        </w:tc>
      </w:tr>
      <w:tr>
        <w:trPr>
          <w:trHeight w:val="201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ИТОГО с НДС: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 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b/>
                <w:bCs/>
                <w:color w:val="000000"/>
                <w:sz w:val="22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1"/>
              </w:rPr>
              <w:t xml:space="preserve">36751,98</w:t>
            </w:r>
            <w:r>
              <w:rPr>
                <w:sz w:val="22"/>
              </w:rPr>
            </w:r>
            <w:r/>
          </w:p>
        </w:tc>
      </w:tr>
      <w:tr>
        <w:trPr>
          <w:trHeight w:val="233"/>
        </w:trPr>
        <w:tc>
          <w:tcPr>
            <w:tcBorders>
              <w:left w:val="single" w:color="000000" w:sz="4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716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5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в</w:t>
            </w:r>
            <w:r>
              <w:rPr>
                <w:color w:val="000000"/>
                <w:sz w:val="22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1"/>
              </w:rPr>
              <w:t xml:space="preserve">т.ч. НДС</w:t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2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none" w:color="FFFFFF" w:sz="255" w:space="0"/>
              <w:right w:val="single" w:color="000000" w:sz="4" w:space="0"/>
              <w:bottom w:val="single" w:color="000000" w:sz="4" w:space="0"/>
            </w:tcBorders>
            <w:tcW w:w="1184" w:type="dxa"/>
            <w:vAlign w:val="bottom"/>
            <w:textDirection w:val="lrTb"/>
            <w:noWrap/>
          </w:tcPr>
          <w:p>
            <w:pPr>
              <w:pStyle w:val="815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</w:r>
            <w:r>
              <w:rPr>
                <w:sz w:val="22"/>
              </w:rPr>
            </w:r>
            <w:r/>
          </w:p>
        </w:tc>
        <w:tc>
          <w:tcPr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815"/>
              <w:jc w:val="right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 xml:space="preserve">6627,41</w:t>
            </w:r>
            <w:r>
              <w:rPr>
                <w:sz w:val="22"/>
              </w:rPr>
            </w:r>
            <w:r/>
          </w:p>
        </w:tc>
      </w:tr>
    </w:tbl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815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1.3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После оказания услуг Исполнитель выдает</w:t>
      </w:r>
      <w:r>
        <w:rPr>
          <w:sz w:val="21"/>
          <w:szCs w:val="21"/>
        </w:rPr>
        <w:t xml:space="preserve"> Заказчику п</w:t>
      </w:r>
      <w:r>
        <w:rPr>
          <w:sz w:val="21"/>
          <w:szCs w:val="21"/>
        </w:rPr>
        <w:t xml:space="preserve">ротоколы испытаний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(далее - результат оказанных услуг).</w:t>
      </w:r>
      <w:r>
        <w:rPr>
          <w:b/>
          <w:sz w:val="21"/>
          <w:szCs w:val="21"/>
        </w:rPr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1.4</w:t>
      </w:r>
      <w:r>
        <w:rPr>
          <w:sz w:val="21"/>
          <w:szCs w:val="21"/>
        </w:rPr>
        <w:t xml:space="preserve">. </w:t>
      </w:r>
      <w:r>
        <w:rPr>
          <w:b/>
          <w:sz w:val="21"/>
          <w:szCs w:val="21"/>
        </w:rPr>
        <w:t xml:space="preserve">Срок оказания услуг </w:t>
      </w:r>
      <w:r>
        <w:rPr>
          <w:b/>
          <w:sz w:val="21"/>
          <w:szCs w:val="21"/>
        </w:rPr>
        <w:t xml:space="preserve">до </w:t>
      </w:r>
      <w:r>
        <w:rPr>
          <w:sz w:val="21"/>
          <w:szCs w:val="21"/>
        </w:rPr>
        <w:t xml:space="preserve">30.06.2026 г. </w:t>
      </w:r>
      <w:r>
        <w:rPr>
          <w:sz w:val="21"/>
          <w:szCs w:val="21"/>
        </w:rPr>
        <w:t xml:space="preserve">при условии </w:t>
      </w:r>
      <w:r>
        <w:rPr>
          <w:sz w:val="21"/>
          <w:szCs w:val="21"/>
        </w:rPr>
        <w:t xml:space="preserve">готовности объекта к обследованию. О готовности объекта Зака</w:t>
      </w:r>
      <w:r>
        <w:rPr>
          <w:sz w:val="21"/>
          <w:szCs w:val="21"/>
        </w:rPr>
        <w:t xml:space="preserve">зчик предупреждает Исполнителя по телефону или по электронной почте</w:t>
      </w:r>
      <w:r>
        <w:rPr>
          <w:sz w:val="21"/>
          <w:szCs w:val="21"/>
        </w:rPr>
        <w:t xml:space="preserve"> за </w:t>
      </w:r>
      <w:r>
        <w:rPr>
          <w:sz w:val="21"/>
          <w:szCs w:val="21"/>
        </w:rPr>
        <w:t xml:space="preserve">пять</w:t>
      </w:r>
      <w:r>
        <w:rPr>
          <w:sz w:val="21"/>
          <w:szCs w:val="21"/>
        </w:rPr>
        <w:t xml:space="preserve"> рабочих дн</w:t>
      </w:r>
      <w:r>
        <w:rPr>
          <w:sz w:val="21"/>
          <w:szCs w:val="21"/>
        </w:rPr>
        <w:t xml:space="preserve">ей до начала услуг</w:t>
      </w:r>
      <w:r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Исполнитель имеет право по согласованию с Заказчиком оказать услуги досрочно.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1.5</w:t>
      </w:r>
      <w:r>
        <w:rPr>
          <w:sz w:val="21"/>
          <w:szCs w:val="21"/>
        </w:rPr>
        <w:t xml:space="preserve">. При исполнении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 </w:t>
      </w:r>
      <w:r>
        <w:rPr>
          <w:sz w:val="21"/>
          <w:szCs w:val="21"/>
        </w:rPr>
        <w:t xml:space="preserve"> объем услуг может быть </w:t>
      </w:r>
      <w:r>
        <w:rPr>
          <w:sz w:val="21"/>
          <w:szCs w:val="21"/>
        </w:rPr>
        <w:t xml:space="preserve">увеличен или уменьшен по соглашению сторон, но не более чем на десять процентов.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</w:t>
      </w:r>
      <w:r>
        <w:rPr>
          <w:sz w:val="21"/>
          <w:szCs w:val="21"/>
        </w:rPr>
        <w:t xml:space="preserve">6</w:t>
      </w:r>
      <w:r>
        <w:rPr>
          <w:sz w:val="21"/>
          <w:szCs w:val="21"/>
        </w:rPr>
        <w:t xml:space="preserve">. Услуги считаются оказанными по</w:t>
      </w:r>
      <w:r>
        <w:rPr>
          <w:sz w:val="21"/>
          <w:szCs w:val="21"/>
        </w:rPr>
        <w:t xml:space="preserve">сле подписания </w:t>
      </w:r>
      <w:r>
        <w:rPr>
          <w:sz w:val="21"/>
          <w:szCs w:val="21"/>
        </w:rPr>
        <w:t xml:space="preserve">универсального передаточного документа</w:t>
      </w:r>
      <w:r>
        <w:rPr>
          <w:sz w:val="21"/>
          <w:szCs w:val="21"/>
        </w:rPr>
        <w:t xml:space="preserve"> Заказчиком или его уполномоченным представителем.</w:t>
      </w:r>
      <w:r/>
    </w:p>
    <w:p>
      <w:pPr>
        <w:pStyle w:val="815"/>
        <w:spacing w:lineRule="atLeast" w:line="300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t xml:space="preserve">1.</w:t>
      </w:r>
      <w:r>
        <w:rPr>
          <w:rFonts w:ascii="Times New Roman" w:hAnsi="Times New Roman" w:cs="Times New Roman" w:eastAsia="Times New Roman"/>
          <w:sz w:val="21"/>
          <w:szCs w:val="21"/>
        </w:rPr>
        <w:t xml:space="preserve">7</w:t>
      </w:r>
      <w:r>
        <w:rPr>
          <w:rFonts w:ascii="Times New Roman" w:hAnsi="Times New Roman" w:cs="Times New Roman" w:eastAsia="Times New Roman"/>
          <w:sz w:val="21"/>
          <w:szCs w:val="21"/>
        </w:rPr>
        <w:t xml:space="preserve">. Идентификационный код закупки:</w:t>
      </w:r>
      <w:r>
        <w:rPr>
          <w:rFonts w:ascii="Times New Roman" w:hAnsi="Times New Roman" w:cs="Times New Roman" w:eastAsia="Times New Roman"/>
          <w:sz w:val="21"/>
          <w:szCs w:val="21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261434600765643450100100290000000244</w:t>
      </w:r>
      <w:r>
        <w:rPr>
          <w:rFonts w:ascii="Times New Roman" w:hAnsi="Times New Roman" w:cs="Times New Roman" w:eastAsia="Times New Roman"/>
          <w:sz w:val="21"/>
          <w:szCs w:val="21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pStyle w:val="815"/>
        <w:jc w:val="center"/>
        <w:spacing w:lineRule="atLeast" w:line="300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</w:r>
      <w:r>
        <w:rPr>
          <w:rFonts w:ascii="Times New Roman" w:hAnsi="Times New Roman" w:cs="Times New Roman" w:eastAsia="Times New Roman"/>
        </w:rPr>
      </w:r>
      <w:r/>
    </w:p>
    <w:p>
      <w:pPr>
        <w:pStyle w:val="81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2. Обязанности и права </w:t>
      </w:r>
      <w:r>
        <w:rPr>
          <w:b/>
          <w:sz w:val="21"/>
          <w:szCs w:val="21"/>
        </w:rPr>
        <w:t xml:space="preserve">С</w:t>
      </w:r>
      <w:r>
        <w:rPr>
          <w:b/>
          <w:sz w:val="21"/>
          <w:szCs w:val="21"/>
        </w:rPr>
        <w:t xml:space="preserve">торон</w:t>
      </w:r>
      <w:r/>
    </w:p>
    <w:p>
      <w:pPr>
        <w:pStyle w:val="815"/>
        <w:jc w:val="both"/>
        <w:tabs>
          <w:tab w:val="left" w:pos="540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2.1. Заказчик обязуется:</w:t>
      </w:r>
      <w:r/>
    </w:p>
    <w:p>
      <w:pPr>
        <w:pStyle w:val="815"/>
        <w:jc w:val="both"/>
        <w:tabs>
          <w:tab w:val="num" w:pos="180" w:leader="none"/>
          <w:tab w:val="left" w:pos="540" w:leader="none"/>
        </w:tabs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 xml:space="preserve">2</w:t>
      </w:r>
      <w:r>
        <w:rPr>
          <w:sz w:val="21"/>
          <w:szCs w:val="21"/>
          <w:lang w:val="en-US" w:eastAsia="en-US"/>
        </w:rPr>
        <w:t xml:space="preserve">.1.1</w:t>
      </w:r>
      <w:r>
        <w:rPr>
          <w:sz w:val="21"/>
          <w:szCs w:val="21"/>
          <w:lang w:eastAsia="en-US"/>
        </w:rPr>
        <w:t xml:space="preserve">.</w:t>
      </w:r>
      <w:r>
        <w:rPr>
          <w:sz w:val="21"/>
          <w:szCs w:val="21"/>
          <w:lang w:val="en-US" w:eastAsia="en-US"/>
        </w:rPr>
        <w:t xml:space="preserve"> </w:t>
      </w:r>
      <w:r>
        <w:rPr>
          <w:sz w:val="21"/>
          <w:szCs w:val="21"/>
          <w:lang w:eastAsia="en-US"/>
        </w:rPr>
        <w:t xml:space="preserve">вернуть Исполнителю подписанный экземпляр </w:t>
      </w:r>
      <w:r>
        <w:rPr>
          <w:sz w:val="21"/>
          <w:szCs w:val="21"/>
          <w:lang w:eastAsia="en-US"/>
        </w:rPr>
        <w:t xml:space="preserve">договор</w:t>
      </w:r>
      <w:r>
        <w:rPr>
          <w:sz w:val="21"/>
          <w:szCs w:val="21"/>
          <w:lang w:eastAsia="en-US"/>
        </w:rPr>
        <w:t xml:space="preserve">а в течение 5</w:t>
      </w:r>
      <w:r>
        <w:rPr>
          <w:sz w:val="21"/>
          <w:szCs w:val="21"/>
          <w:lang w:eastAsia="en-US"/>
        </w:rPr>
        <w:t xml:space="preserve"> рабочих</w:t>
      </w:r>
      <w:r>
        <w:rPr>
          <w:sz w:val="21"/>
          <w:szCs w:val="21"/>
          <w:lang w:eastAsia="en-US"/>
        </w:rPr>
        <w:t xml:space="preserve"> дней с момента его получения, но не позднее 15 дней с даты его составления;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2.1.2. создавать необходимые условия для выполнения Исполнителем принятых на себя по настоящему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у  обязательств и оказывать содействие Исполнителю в оказании услуг в объеме и на условиях, предусмотренных в настоящем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е;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2.1.3. обеспечить при необходимости ра</w:t>
      </w:r>
      <w:r>
        <w:rPr>
          <w:sz w:val="21"/>
          <w:szCs w:val="21"/>
        </w:rPr>
        <w:t xml:space="preserve">зрешения (допуск(и)) на объект(ы) и(или) сопроводить лицом(ми) из числа работников организации или её официальным(и) представителем(ми);</w:t>
      </w:r>
      <w:r/>
    </w:p>
    <w:p>
      <w:pPr>
        <w:pStyle w:val="815"/>
        <w:jc w:val="both"/>
        <w:tabs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.1.4. по запросу Исполнителя предоставить </w:t>
      </w:r>
      <w:r>
        <w:rPr>
          <w:color w:val="000000"/>
          <w:sz w:val="21"/>
          <w:szCs w:val="21"/>
        </w:rPr>
        <w:t xml:space="preserve">документы и сведения </w:t>
      </w:r>
      <w:r>
        <w:rPr>
          <w:sz w:val="21"/>
          <w:szCs w:val="21"/>
        </w:rPr>
        <w:t xml:space="preserve">в объеме, необходимом Исполнителю для оказания услуг по настоящему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у  в срок не позднее 5 (пяти) дней с даты получения такого запроса. Запрос может быть направлен по электронной почте на адрес, указанной в заявке или в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е;</w:t>
      </w:r>
      <w:r/>
    </w:p>
    <w:p>
      <w:pPr>
        <w:pStyle w:val="815"/>
        <w:jc w:val="both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.1.5. своевременно принять результат выполненных услуг и своевременно произвести его оплату; </w:t>
      </w:r>
      <w:r/>
    </w:p>
    <w:p>
      <w:pPr>
        <w:pStyle w:val="815"/>
        <w:jc w:val="both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.1.6. в случае необходимости соблюдения</w:t>
      </w:r>
      <w:r>
        <w:rPr>
          <w:sz w:val="21"/>
          <w:szCs w:val="21"/>
        </w:rPr>
        <w:t xml:space="preserve"> Исполнителем специальных правил при нахождении на территории или объекте Заказчика, Заказчик обеспечивает проведение необходимого инструктажа по правилам соблюдения противопожарной безопасности, экологической безопасности, а также по технике безопасности;</w:t>
      </w:r>
      <w:r/>
    </w:p>
    <w:p>
      <w:pPr>
        <w:pStyle w:val="815"/>
        <w:jc w:val="both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.1.7. не вносить изменения в переданный по итогам результат оказанных услуг.</w:t>
      </w:r>
      <w:r/>
    </w:p>
    <w:p>
      <w:pPr>
        <w:pStyle w:val="815"/>
        <w:jc w:val="both"/>
        <w:tabs>
          <w:tab w:val="left" w:pos="540" w:leader="none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2</w:t>
      </w:r>
      <w:r>
        <w:rPr>
          <w:b/>
          <w:sz w:val="21"/>
          <w:szCs w:val="21"/>
        </w:rPr>
        <w:t xml:space="preserve">.2. Исполнитель обязуется:</w:t>
      </w:r>
      <w:r/>
    </w:p>
    <w:p>
      <w:pPr>
        <w:pStyle w:val="815"/>
        <w:jc w:val="both"/>
        <w:shd w:val="clear" w:fill="FFFFFF" w:color="auto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.2.1. посл</w:t>
      </w:r>
      <w:r>
        <w:rPr>
          <w:sz w:val="21"/>
          <w:szCs w:val="21"/>
        </w:rPr>
        <w:t xml:space="preserve">е выполнения Заказчиком обязательств, предусмотренных п. 2.1.2.-2.1.4. приступить к оказанию услуг;</w:t>
      </w:r>
      <w:r/>
    </w:p>
    <w:p>
      <w:pPr>
        <w:pStyle w:val="815"/>
        <w:jc w:val="both"/>
        <w:shd w:val="clear" w:fill="FFFFFF" w:color="auto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.2.2. соблюдать сроки, предусмотренные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ом;</w:t>
      </w:r>
      <w:r/>
    </w:p>
    <w:p>
      <w:pPr>
        <w:pStyle w:val="815"/>
        <w:jc w:val="both"/>
        <w:shd w:val="clear" w:fill="FFFFFF" w:color="auto"/>
        <w:tabs>
          <w:tab w:val="num" w:pos="18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.2.3. обеспечить качество оказываемых услуг в соответствии с требованиями нормативно-технической документации, применяемой в РФ;</w:t>
      </w:r>
      <w:r/>
    </w:p>
    <w:p>
      <w:pPr>
        <w:pStyle w:val="815"/>
        <w:jc w:val="both"/>
        <w:shd w:val="clear" w:fill="FFFFFF" w:color="auto"/>
        <w:tabs>
          <w:tab w:val="num" w:pos="180" w:leader="none"/>
          <w:tab w:val="left" w:pos="540" w:leader="none"/>
        </w:tabs>
        <w:rPr>
          <w:color w:val="000000"/>
          <w:spacing w:val="1"/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.2.4. в</w:t>
      </w:r>
      <w:r>
        <w:rPr>
          <w:color w:val="000000"/>
          <w:spacing w:val="1"/>
          <w:sz w:val="21"/>
          <w:szCs w:val="21"/>
        </w:rPr>
        <w:t xml:space="preserve">ернуть Заказчику</w:t>
      </w:r>
      <w:r>
        <w:rPr>
          <w:b/>
          <w:bCs/>
          <w:color w:val="000000"/>
          <w:spacing w:val="1"/>
          <w:sz w:val="21"/>
          <w:szCs w:val="21"/>
        </w:rPr>
        <w:t xml:space="preserve"> </w:t>
      </w:r>
      <w:r>
        <w:rPr>
          <w:color w:val="000000"/>
          <w:spacing w:val="1"/>
          <w:sz w:val="21"/>
          <w:szCs w:val="21"/>
        </w:rPr>
        <w:t xml:space="preserve">всю исходную докум</w:t>
      </w:r>
      <w:r>
        <w:rPr>
          <w:color w:val="000000"/>
          <w:spacing w:val="1"/>
          <w:sz w:val="21"/>
          <w:szCs w:val="21"/>
        </w:rPr>
        <w:t xml:space="preserve">ентацию, переданную ему для оказания услуг по настоящему </w:t>
      </w:r>
      <w:r>
        <w:rPr>
          <w:color w:val="000000"/>
          <w:spacing w:val="1"/>
          <w:sz w:val="21"/>
          <w:szCs w:val="21"/>
        </w:rPr>
        <w:t xml:space="preserve">договор</w:t>
      </w:r>
      <w:r>
        <w:rPr>
          <w:color w:val="000000"/>
          <w:spacing w:val="1"/>
          <w:sz w:val="21"/>
          <w:szCs w:val="21"/>
        </w:rPr>
        <w:t xml:space="preserve">у, за исключением документов, необходимых Исполнителю для оформления результатов оказанных услуг.</w:t>
      </w:r>
      <w:r>
        <w:rPr>
          <w:color w:val="000000"/>
          <w:spacing w:val="1"/>
          <w:sz w:val="21"/>
          <w:szCs w:val="21"/>
        </w:rPr>
      </w:r>
      <w:r/>
    </w:p>
    <w:p>
      <w:pPr>
        <w:pStyle w:val="815"/>
        <w:jc w:val="both"/>
        <w:shd w:val="clear" w:fill="FFFFFF" w:color="auto"/>
        <w:tabs>
          <w:tab w:val="num" w:pos="180" w:leader="none"/>
          <w:tab w:val="left" w:pos="540" w:leader="none"/>
        </w:tabs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2</w:t>
      </w:r>
      <w:r>
        <w:rPr>
          <w:rFonts w:eastAsia="Calibri"/>
          <w:b/>
          <w:sz w:val="21"/>
          <w:szCs w:val="21"/>
          <w:lang w:eastAsia="en-US"/>
        </w:rPr>
        <w:t xml:space="preserve">.3. Заказчик имеет право:</w:t>
      </w:r>
      <w:r/>
    </w:p>
    <w:p>
      <w:pPr>
        <w:pStyle w:val="815"/>
        <w:jc w:val="both"/>
        <w:tabs>
          <w:tab w:val="left" w:pos="0" w:leader="none"/>
        </w:tabs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2</w:t>
      </w:r>
      <w:r>
        <w:rPr>
          <w:rFonts w:eastAsia="Calibri"/>
          <w:sz w:val="21"/>
          <w:szCs w:val="21"/>
          <w:lang w:eastAsia="en-US"/>
        </w:rPr>
        <w:t xml:space="preserve">.3.1. контролировать ход и качество услуг, выполняемых Исполнителем по настоящему </w:t>
      </w:r>
      <w:r>
        <w:rPr>
          <w:rFonts w:eastAsia="Calibri"/>
          <w:sz w:val="21"/>
          <w:szCs w:val="21"/>
          <w:lang w:eastAsia="en-US"/>
        </w:rPr>
        <w:t xml:space="preserve">договор</w:t>
      </w:r>
      <w:r>
        <w:rPr>
          <w:rFonts w:eastAsia="Calibri"/>
          <w:sz w:val="21"/>
          <w:szCs w:val="21"/>
          <w:lang w:eastAsia="en-US"/>
        </w:rPr>
        <w:t xml:space="preserve">у, не вмешиваясь в его деятельность;</w:t>
      </w:r>
      <w:r/>
    </w:p>
    <w:p>
      <w:pPr>
        <w:pStyle w:val="815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2</w:t>
      </w:r>
      <w:r>
        <w:rPr>
          <w:rFonts w:eastAsia="Calibri"/>
          <w:sz w:val="21"/>
          <w:szCs w:val="21"/>
          <w:lang w:eastAsia="en-US"/>
        </w:rPr>
        <w:t xml:space="preserve">.3.2. д</w:t>
      </w:r>
      <w:r>
        <w:rPr>
          <w:sz w:val="21"/>
          <w:szCs w:val="21"/>
        </w:rPr>
        <w:t xml:space="preserve">осрочно расторгнуть настоящий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 в случаях и порядке, установленных настоящим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ом и действующим законодательством РФ, оплатив Исполнителю фактически понесенные им расходы и фактически оказанные услуги. </w:t>
      </w:r>
      <w:r>
        <w:rPr>
          <w:rFonts w:eastAsia="Calibri"/>
          <w:sz w:val="21"/>
          <w:szCs w:val="21"/>
          <w:lang w:eastAsia="en-US"/>
        </w:rPr>
      </w:r>
      <w:r/>
    </w:p>
    <w:p>
      <w:pPr>
        <w:pStyle w:val="815"/>
        <w:jc w:val="both"/>
        <w:tabs>
          <w:tab w:val="left" w:pos="0" w:leader="none"/>
          <w:tab w:val="left" w:pos="540" w:leader="none"/>
        </w:tabs>
        <w:rPr>
          <w:b/>
          <w:sz w:val="21"/>
          <w:szCs w:val="21"/>
          <w:lang w:eastAsia="ar-SA"/>
        </w:rPr>
      </w:pPr>
      <w:r>
        <w:rPr>
          <w:b/>
          <w:sz w:val="21"/>
          <w:szCs w:val="21"/>
        </w:rPr>
        <w:t xml:space="preserve">2</w:t>
      </w:r>
      <w:r>
        <w:rPr>
          <w:b/>
          <w:sz w:val="21"/>
          <w:szCs w:val="21"/>
        </w:rPr>
        <w:t xml:space="preserve">.4. Исполнитель имеет право: </w:t>
      </w:r>
      <w:r>
        <w:rPr>
          <w:b/>
          <w:sz w:val="21"/>
          <w:szCs w:val="21"/>
          <w:lang w:eastAsia="ar-SA"/>
        </w:rPr>
      </w:r>
      <w:r/>
    </w:p>
    <w:p>
      <w:pPr>
        <w:pStyle w:val="815"/>
        <w:jc w:val="both"/>
        <w:tabs>
          <w:tab w:val="left" w:pos="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.4.1. для надлежащего исполнения своих обязательств, привлекать третьих лиц для оказания услуг и/или их промежуточных этапов по настоящему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у, оставаясь ответственным перед Заказчиком за действия/бездействия таких лиц;</w:t>
      </w:r>
      <w:r/>
    </w:p>
    <w:p>
      <w:pPr>
        <w:pStyle w:val="815"/>
        <w:jc w:val="both"/>
        <w:tabs>
          <w:tab w:val="left" w:pos="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.4.2. в случае нарушения Заказчиком обязанности, предусмотренной п. 2.1.1.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а, по своему усмотрению пересмотреть стоимость услуг в одностороннем порядке или отказаться от исполнения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 или в части в одностороннем внесудебном порядк</w:t>
      </w:r>
      <w:r>
        <w:rPr>
          <w:sz w:val="21"/>
          <w:szCs w:val="21"/>
        </w:rPr>
        <w:t xml:space="preserve">е;</w:t>
      </w:r>
      <w:r/>
    </w:p>
    <w:p>
      <w:pPr>
        <w:pStyle w:val="815"/>
        <w:jc w:val="both"/>
        <w:tabs>
          <w:tab w:val="left" w:pos="0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</w:t>
      </w:r>
      <w:r>
        <w:rPr>
          <w:sz w:val="21"/>
          <w:szCs w:val="21"/>
        </w:rPr>
        <w:t xml:space="preserve">.3. на своевременное получение исчерпывающей и достоверной информации, а также документов, предусмотренных по п. 2.1.4.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а;</w:t>
      </w:r>
      <w:r/>
    </w:p>
    <w:p>
      <w:pPr>
        <w:pStyle w:val="815"/>
        <w:tabs>
          <w:tab w:val="left" w:pos="0" w:leader="none"/>
          <w:tab w:val="left" w:pos="142" w:leader="none"/>
          <w:tab w:val="num" w:pos="180" w:leader="none"/>
          <w:tab w:val="left" w:pos="284" w:leader="none"/>
          <w:tab w:val="left" w:pos="540" w:leader="none"/>
        </w:tabs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.4.4. в случае невыполнения Заказчиком обязательств, предусмотренных п.п. 2.1.1.- 2.1.4.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а, приостановить оказание услуг с переносом срока их окончания, или потребовать расторжения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 с оплатой за фактически оказанные услуги;</w:t>
      </w:r>
      <w:r>
        <w:rPr>
          <w:b/>
          <w:bCs/>
          <w:sz w:val="21"/>
          <w:szCs w:val="21"/>
        </w:rPr>
      </w:r>
      <w:r/>
    </w:p>
    <w:p>
      <w:pPr>
        <w:pStyle w:val="815"/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2</w:t>
      </w:r>
      <w:r>
        <w:rPr>
          <w:bCs/>
          <w:sz w:val="21"/>
          <w:szCs w:val="21"/>
        </w:rPr>
        <w:t xml:space="preserve">.4.5. </w:t>
      </w:r>
      <w:r>
        <w:rPr>
          <w:sz w:val="21"/>
          <w:szCs w:val="21"/>
        </w:rPr>
        <w:t xml:space="preserve">досрочно расторгнуть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 в случаях и порядке, установленных настоящим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ом и действующим законодательством РФ;</w:t>
      </w:r>
      <w:r/>
    </w:p>
    <w:p>
      <w:pPr>
        <w:pStyle w:val="815"/>
        <w:tabs>
          <w:tab w:val="left" w:pos="0" w:leader="none"/>
          <w:tab w:val="left" w:pos="142" w:leader="none"/>
          <w:tab w:val="num" w:pos="180" w:leader="none"/>
          <w:tab w:val="left" w:pos="284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.4.6. самостоятельно определять способы и методы исследований (испытаний), измерений при выполнении услуг; </w:t>
      </w:r>
      <w:r/>
    </w:p>
    <w:p>
      <w:pPr>
        <w:pStyle w:val="815"/>
        <w:tabs>
          <w:tab w:val="left" w:pos="0" w:leader="none"/>
          <w:tab w:val="left" w:pos="142" w:leader="none"/>
          <w:tab w:val="num" w:pos="180" w:leader="none"/>
          <w:tab w:val="left" w:pos="284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.4.7. на отклонение от методов исследований (испытаний), измерений в соответствии с пунктом 7.2.1.7. ГОСТ </w:t>
      </w:r>
      <w:r>
        <w:rPr>
          <w:sz w:val="21"/>
          <w:szCs w:val="21"/>
          <w:lang w:val="en-US"/>
        </w:rPr>
        <w:t xml:space="preserve">ISO</w:t>
      </w:r>
      <w:r>
        <w:rPr>
          <w:sz w:val="21"/>
          <w:szCs w:val="21"/>
        </w:rPr>
        <w:t xml:space="preserve">/</w:t>
      </w:r>
      <w:r>
        <w:rPr>
          <w:sz w:val="21"/>
          <w:szCs w:val="21"/>
          <w:lang w:val="en-US"/>
        </w:rPr>
        <w:t xml:space="preserve">IEC</w:t>
      </w:r>
      <w:r>
        <w:rPr>
          <w:sz w:val="21"/>
          <w:szCs w:val="21"/>
        </w:rPr>
        <w:t xml:space="preserve"> 17025-2019 «Общие требования компет</w:t>
      </w:r>
      <w:r>
        <w:rPr>
          <w:sz w:val="21"/>
          <w:szCs w:val="21"/>
        </w:rPr>
        <w:t xml:space="preserve">ентности испытательных и калибровочных лабораторий».</w:t>
      </w:r>
      <w:r/>
    </w:p>
    <w:p>
      <w:pPr>
        <w:pStyle w:val="815"/>
        <w:tabs>
          <w:tab w:val="left" w:pos="0" w:leader="none"/>
          <w:tab w:val="left" w:pos="142" w:leader="none"/>
          <w:tab w:val="num" w:pos="180" w:leader="none"/>
          <w:tab w:val="left" w:pos="284" w:leader="none"/>
          <w:tab w:val="left" w:pos="540" w:leader="none"/>
        </w:tabs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81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3. Цена </w:t>
      </w:r>
      <w:r>
        <w:rPr>
          <w:b/>
          <w:sz w:val="21"/>
          <w:szCs w:val="21"/>
        </w:rPr>
        <w:t xml:space="preserve">договор</w:t>
      </w:r>
      <w:r>
        <w:rPr>
          <w:b/>
          <w:sz w:val="21"/>
          <w:szCs w:val="21"/>
        </w:rPr>
        <w:t xml:space="preserve">а и порядок расчетов</w:t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Цена настоящего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 составляет __________________________________.</w:t>
      </w:r>
      <w:r/>
    </w:p>
    <w:p>
      <w:pPr>
        <w:pStyle w:val="826"/>
        <w:jc w:val="both"/>
        <w:rPr>
          <w:rFonts w:ascii="Times New Roman" w:hAnsi="Times New Roman"/>
          <w:b w:val="false"/>
          <w:bCs w:val="false"/>
          <w:color w:val="000000"/>
          <w:sz w:val="21"/>
          <w:szCs w:val="21"/>
        </w:rPr>
      </w:pPr>
      <w:r>
        <w:rPr>
          <w:rFonts w:ascii="Times New Roman" w:hAnsi="Times New Roman"/>
          <w:b w:val="false"/>
          <w:sz w:val="21"/>
          <w:szCs w:val="21"/>
        </w:rPr>
        <w:t xml:space="preserve">3.2.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Цена 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договор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а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 является твердой и определяется на весь срок исполнения 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договор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а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 и может быть изменена только в случаях, предусмотренных Федеральным законом от 05.04.2013 № 44-ФЗ «О 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договор</w:t>
      </w:r>
      <w:r>
        <w:rPr>
          <w:rFonts w:ascii="Times New Roman" w:hAnsi="Times New Roman"/>
          <w:b w:val="false"/>
          <w:bCs w:val="false"/>
          <w:color w:val="000000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нужд».</w:t>
      </w:r>
      <w:r/>
    </w:p>
    <w:p>
      <w:pPr>
        <w:pStyle w:val="815"/>
        <w:ind w:right="-1"/>
        <w:jc w:val="both"/>
        <w:tabs>
          <w:tab w:val="left" w:pos="9355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3.3. Оплату услуг Исполнителя по настоящему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у Заказчик производит путем перечисления денежных средств на расчетный счет Исполнителя, после фактического оказания услуг </w:t>
      </w:r>
      <w:r>
        <w:rPr>
          <w:sz w:val="21"/>
          <w:szCs w:val="21"/>
        </w:rPr>
        <w:t xml:space="preserve">в течение </w:t>
      </w:r>
      <w:r>
        <w:rPr>
          <w:sz w:val="21"/>
          <w:szCs w:val="21"/>
        </w:rPr>
        <w:t xml:space="preserve">7 </w:t>
      </w:r>
      <w:r>
        <w:rPr>
          <w:sz w:val="21"/>
          <w:szCs w:val="21"/>
        </w:rPr>
        <w:t xml:space="preserve">рабочих</w:t>
      </w:r>
      <w:r>
        <w:rPr>
          <w:sz w:val="21"/>
          <w:szCs w:val="21"/>
        </w:rPr>
        <w:t xml:space="preserve"> дней</w:t>
      </w:r>
      <w:r>
        <w:rPr>
          <w:sz w:val="21"/>
          <w:szCs w:val="21"/>
        </w:rPr>
        <w:t xml:space="preserve"> на основании </w:t>
      </w:r>
      <w:r>
        <w:rPr>
          <w:sz w:val="21"/>
          <w:szCs w:val="21"/>
        </w:rPr>
        <w:t xml:space="preserve">счета, (</w:t>
      </w:r>
      <w:r>
        <w:rPr>
          <w:sz w:val="21"/>
          <w:szCs w:val="21"/>
        </w:rPr>
        <w:t xml:space="preserve">счета-фактуры</w:t>
      </w:r>
      <w:r>
        <w:rPr>
          <w:sz w:val="21"/>
          <w:szCs w:val="21"/>
        </w:rPr>
        <w:t xml:space="preserve">) и подписанного Сторонами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акта приемки услуг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Оплата осуществляется за счет средств местного бюджета.</w:t>
      </w:r>
      <w:r>
        <w:rPr>
          <w:sz w:val="21"/>
          <w:szCs w:val="21"/>
        </w:rPr>
      </w:r>
      <w:r/>
    </w:p>
    <w:p>
      <w:pPr>
        <w:pStyle w:val="81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3.4. Сумма, подлежащая уплате Заказчиком юридическому лицу или физическому лицу, в том числе</w:t>
      </w:r>
      <w:r>
        <w:rPr>
          <w:sz w:val="21"/>
          <w:szCs w:val="21"/>
        </w:rPr>
        <w:t xml:space="preserve"> зарегистрированному в качестве индивидуального предпринимателя, подлежит уменьшению на размер налогов, сборов и иных обязательных пла</w:t>
      </w:r>
      <w:r>
        <w:rPr>
          <w:sz w:val="21"/>
          <w:szCs w:val="21"/>
        </w:rPr>
        <w:t xml:space="preserve">тежей в бюджеты бюджетной системы Российской Федерации, связанных с оплатой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  <w:p>
      <w:pPr>
        <w:pStyle w:val="815"/>
        <w:jc w:val="both"/>
        <w:rPr>
          <w:sz w:val="21"/>
          <w:szCs w:val="21"/>
          <w:highlight w:val="none"/>
        </w:rPr>
      </w:pPr>
      <w:r>
        <w:rPr>
          <w:sz w:val="21"/>
          <w:szCs w:val="21"/>
        </w:rPr>
        <w:t xml:space="preserve">3.</w:t>
      </w:r>
      <w:r>
        <w:rPr>
          <w:sz w:val="21"/>
          <w:szCs w:val="21"/>
        </w:rPr>
        <w:t xml:space="preserve">5</w:t>
      </w:r>
      <w:r>
        <w:rPr>
          <w:sz w:val="21"/>
          <w:szCs w:val="21"/>
        </w:rPr>
        <w:t xml:space="preserve">. При изменении объема услуг в соответствии с п. 1.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 изменяется цена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</w:t>
      </w:r>
      <w:r>
        <w:rPr>
          <w:sz w:val="21"/>
          <w:szCs w:val="21"/>
        </w:rPr>
        <w:t xml:space="preserve"> пропорционально изменяемому объему услуг, но не более чем на десять процентов цены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а</w:t>
      </w:r>
      <w:r>
        <w:rPr>
          <w:sz w:val="21"/>
          <w:szCs w:val="21"/>
        </w:rPr>
        <w:t xml:space="preserve"> в соответствии с требованиями пп.б п.1 ч.1 статьи 95 Федерального закона от 05.04.2013 № 44-ФЗ «О </w:t>
      </w:r>
      <w:r>
        <w:rPr>
          <w:sz w:val="21"/>
          <w:szCs w:val="21"/>
        </w:rPr>
        <w:t xml:space="preserve">договор</w:t>
      </w:r>
      <w:r>
        <w:rPr>
          <w:sz w:val="21"/>
          <w:szCs w:val="21"/>
        </w:rPr>
        <w:t xml:space="preserve">ной системе в сфере </w:t>
      </w:r>
      <w:r>
        <w:rPr>
          <w:sz w:val="21"/>
          <w:szCs w:val="21"/>
        </w:rPr>
        <w:t xml:space="preserve">закупок товаров, работ, услуг для обеспечения государственных и муниципальных нужд».</w:t>
      </w:r>
      <w:r/>
    </w:p>
    <w:p>
      <w:pPr>
        <w:pStyle w:val="815"/>
        <w:jc w:val="both"/>
        <w:rPr>
          <w:sz w:val="22"/>
          <w:szCs w:val="21"/>
        </w:rPr>
      </w:pPr>
      <w:r>
        <w:rPr>
          <w:sz w:val="22"/>
          <w:szCs w:val="21"/>
          <w:highlight w:val="none"/>
        </w:rPr>
        <w:t xml:space="preserve">3.6.</w:t>
      </w:r>
      <w:r>
        <w:rPr>
          <w:rFonts w:eastAsiaTheme="minorHAnsi"/>
          <w:color w:val="000000"/>
          <w:sz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</w:t>
      </w:r>
      <w:r>
        <w:rPr>
          <w:rFonts w:eastAsiaTheme="minorHAnsi"/>
          <w:color w:val="000000"/>
          <w:sz w:val="22"/>
        </w:rPr>
        <w:t xml:space="preserve">0510452, утв. Приказом Минфина России от 15.04.2021 N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</w:t>
      </w:r>
      <w:r>
        <w:rPr>
          <w:rFonts w:eastAsiaTheme="minorHAnsi"/>
          <w:color w:val="000000"/>
          <w:sz w:val="22"/>
        </w:rPr>
        <w:t xml:space="preserve">луг, и т. п.).Вторая сторона обязана обеспечить подписание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</w:t>
      </w:r>
      <w:r>
        <w:rPr>
          <w:rFonts w:eastAsiaTheme="minorHAnsi"/>
          <w:color w:val="000000"/>
          <w:sz w:val="22"/>
        </w:rPr>
        <w:t xml:space="preserve">ен акт.).</w:t>
      </w:r>
      <w:r>
        <w:rPr>
          <w:rFonts w:eastAsiaTheme="minorHAnsi"/>
          <w:sz w:val="22"/>
          <w:szCs w:val="21"/>
          <w:highlight w:val="none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center"/>
        <w:rPr>
          <w:b/>
          <w:bCs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 xml:space="preserve">4. </w:t>
      </w:r>
      <w:r>
        <w:rPr>
          <w:rFonts w:eastAsiaTheme="minorHAnsi"/>
          <w:b/>
          <w:bCs/>
          <w:sz w:val="21"/>
          <w:szCs w:val="21"/>
        </w:rPr>
        <w:t xml:space="preserve">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tabs>
          <w:tab w:val="left" w:pos="142" w:leader="none"/>
        </w:tabs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</w:t>
      </w:r>
      <w:r>
        <w:rPr>
          <w:rFonts w:eastAsiaTheme="minorHAnsi"/>
          <w:sz w:val="21"/>
          <w:szCs w:val="21"/>
        </w:rPr>
        <w:t xml:space="preserve">.1.</w:t>
      </w:r>
      <w:r>
        <w:rPr>
          <w:rFonts w:eastAsiaTheme="minorHAnsi"/>
          <w:sz w:val="21"/>
          <w:szCs w:val="21"/>
        </w:rPr>
        <w:t xml:space="preserve"> В случае просрочки исполнения Заказчиком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а также в иных случаях неисполнения или ненадлежащего исполнения Заказчиком обязательств, предус</w:t>
      </w:r>
      <w:r>
        <w:rPr>
          <w:rFonts w:eastAsiaTheme="minorHAnsi"/>
          <w:sz w:val="21"/>
          <w:szCs w:val="21"/>
        </w:rPr>
        <w:t xml:space="preserve">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 Исполнитель вправе потребовать уплаты неустоек (штрафов, пеней).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4.2. Штрафы начисляются за ненадлежащее исполнение Заказчиком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за исключением просрочки исполнения об</w:t>
      </w:r>
      <w:r>
        <w:rPr>
          <w:rFonts w:eastAsiaTheme="minorHAnsi"/>
          <w:sz w:val="21"/>
          <w:szCs w:val="21"/>
        </w:rPr>
        <w:t xml:space="preserve">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. За каждый факт неисполнения Заказчиком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ов</w:t>
      </w:r>
      <w:r>
        <w:rPr>
          <w:rFonts w:eastAsiaTheme="minorHAnsi"/>
          <w:sz w:val="21"/>
          <w:szCs w:val="21"/>
        </w:rPr>
        <w:t xml:space="preserve">, за исключением просрочки исполнения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размер штрафа устанавливается в размере </w:t>
      </w:r>
      <w:bookmarkStart w:id="0" w:name="sub_100901"/>
      <w:r>
        <w:rPr>
          <w:rFonts w:eastAsiaTheme="minorHAnsi"/>
          <w:sz w:val="21"/>
          <w:szCs w:val="21"/>
        </w:rPr>
        <w:t xml:space="preserve">1000 (одна тысяча) рублей, если цена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 не превышает 3 млн. рублей (включительно).</w:t>
      </w:r>
      <w:bookmarkEnd w:id="0"/>
      <w:r>
        <w:rPr>
          <w:rFonts w:eastAsiaTheme="minorHAnsi"/>
        </w:rPr>
      </w:r>
      <w:bookmarkStart w:id="1" w:name="sub_100904"/>
      <w:r>
        <w:rPr>
          <w:rFonts w:eastAsiaTheme="minorHAnsi"/>
        </w:rPr>
      </w:r>
      <w:bookmarkEnd w:id="1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4.3. Общая сумма начисленных штрафов за ненадлежащее исполнение Заказчиком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не может превышать цену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4.4. Пеня начисляется за каждый день просрочки исполнения обязательства, предусмотренного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начиная со дня, следующего после дня истечения установленного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4.5. В случае просрочки исполнения Исполнителем обязательств (в том числе гарантийного обязательства),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Заказчик направляет Исполнителю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4.6.</w:t>
      </w:r>
      <w:r>
        <w:rPr>
          <w:rFonts w:eastAsiaTheme="minorHAnsi"/>
          <w:b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размер штрафа устанавливается в размере 10 процентов цены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 в случае, если цена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 не превышает 3 млн.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4.7. За каждый факт неисполнения или ненадлежащего исполнения Исполнителем обязательства, предусмотренного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 не превышает 3 млн.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4.8.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не может превышать цену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4.9. Пеня начисляется за каждый день просрочки исполнения Исполнителем обязательства, предусмотренного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начиная со дня, следующего после дня истечения установленного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, уменьшенной на сумму, пропорциональную объему обязательств, предусмотренных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tabs>
          <w:tab w:val="left" w:pos="8039" w:leader="none"/>
        </w:tabs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</w:t>
      </w:r>
      <w:r>
        <w:rPr>
          <w:rFonts w:eastAsiaTheme="minorHAnsi"/>
          <w:sz w:val="21"/>
          <w:szCs w:val="21"/>
        </w:rPr>
        <w:t xml:space="preserve">, произошло вследствие непреодолимой силы или по вине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4.11. </w:t>
      </w:r>
      <w:r>
        <w:rPr>
          <w:rFonts w:eastAsiaTheme="minorHAnsi"/>
          <w:sz w:val="21"/>
          <w:szCs w:val="21"/>
        </w:rPr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у</w:t>
      </w:r>
      <w:r>
        <w:rPr>
          <w:rFonts w:eastAsiaTheme="minorHAnsi"/>
          <w:sz w:val="21"/>
          <w:szCs w:val="21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у</w:t>
      </w:r>
      <w:r>
        <w:rPr>
          <w:rFonts w:eastAsiaTheme="minorHAnsi"/>
          <w:sz w:val="21"/>
          <w:szCs w:val="21"/>
        </w:rPr>
        <w:t xml:space="preserve"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4.12. Сторона, несвоевременно направившая извещение, предусмотренное в п. 4.11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, возмещает другой Стороне понесенные последней убытки.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4.13. В случаях наступления обстоятельств непреодолимой силы, срок выполнения Стороной обязательств по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у</w:t>
      </w:r>
      <w:r>
        <w:rPr>
          <w:rFonts w:eastAsiaTheme="minorHAnsi"/>
          <w:sz w:val="21"/>
          <w:szCs w:val="21"/>
        </w:rPr>
        <w:t xml:space="preserve"> отодвигается соразмерно времени, в течение которого действуют эти обстоятельства и их последствия.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numPr>
          <w:ilvl w:val="0"/>
          <w:numId w:val="1"/>
        </w:numPr>
        <w:jc w:val="center"/>
        <w:tabs>
          <w:tab w:val="left" w:pos="0" w:leader="none"/>
          <w:tab w:val="left" w:pos="540" w:leader="none"/>
        </w:tabs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 xml:space="preserve">5. Порядок сдачи и приемки услуг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tabs>
          <w:tab w:val="left" w:pos="142" w:leader="none"/>
          <w:tab w:val="left" w:pos="284" w:leader="none"/>
          <w:tab w:val="left" w:pos="10348" w:leader="none"/>
        </w:tabs>
        <w:rPr>
          <w:color w:val="000000"/>
          <w:spacing w:val="1"/>
          <w:sz w:val="21"/>
          <w:szCs w:val="21"/>
        </w:rPr>
      </w:pPr>
      <w:r>
        <w:rPr>
          <w:rFonts w:eastAsiaTheme="minorHAnsi"/>
          <w:color w:val="000000"/>
          <w:spacing w:val="1"/>
          <w:sz w:val="21"/>
          <w:szCs w:val="21"/>
        </w:rPr>
        <w:t xml:space="preserve">5.1. После оказания услуг Исполнитель выставляет и направляет Заказчику </w:t>
      </w:r>
      <w:r>
        <w:rPr>
          <w:rFonts w:eastAsiaTheme="minorHAnsi"/>
          <w:color w:val="000000"/>
          <w:spacing w:val="1"/>
          <w:sz w:val="21"/>
          <w:szCs w:val="21"/>
        </w:rPr>
        <w:t xml:space="preserve">Универсальный передаточный документ</w:t>
      </w:r>
      <w:r>
        <w:rPr>
          <w:rFonts w:eastAsiaTheme="minorHAnsi"/>
          <w:color w:val="000000"/>
          <w:spacing w:val="1"/>
          <w:sz w:val="21"/>
          <w:szCs w:val="21"/>
        </w:rPr>
        <w:t xml:space="preserve">. Заказчик обязуется подписать </w:t>
      </w:r>
      <w:r>
        <w:rPr>
          <w:rFonts w:eastAsiaTheme="minorHAnsi"/>
          <w:color w:val="000000"/>
          <w:spacing w:val="1"/>
          <w:sz w:val="21"/>
          <w:szCs w:val="21"/>
        </w:rPr>
        <w:t xml:space="preserve">Универсальный передаточный документ</w:t>
      </w:r>
      <w:r>
        <w:rPr>
          <w:rFonts w:eastAsiaTheme="minorHAnsi"/>
          <w:color w:val="000000"/>
          <w:spacing w:val="1"/>
          <w:sz w:val="21"/>
          <w:szCs w:val="21"/>
        </w:rPr>
        <w:t xml:space="preserve">, либо направить мотивированный отказ от его подписания в течение 10 (десяти) дней с даты </w:t>
      </w:r>
      <w:r>
        <w:rPr>
          <w:rFonts w:eastAsiaTheme="minorHAnsi"/>
          <w:color w:val="000000"/>
          <w:spacing w:val="1"/>
          <w:sz w:val="21"/>
          <w:szCs w:val="21"/>
        </w:rPr>
        <w:t xml:space="preserve">его </w:t>
      </w:r>
      <w:r>
        <w:rPr>
          <w:rFonts w:eastAsiaTheme="minorHAnsi"/>
          <w:color w:val="000000"/>
          <w:spacing w:val="1"/>
          <w:sz w:val="21"/>
          <w:szCs w:val="21"/>
        </w:rPr>
        <w:t xml:space="preserve">составления</w:t>
      </w:r>
      <w:r>
        <w:rPr>
          <w:rFonts w:ascii="Symbol" w:hAnsi="Symbol" w:cs="Symbol" w:eastAsia="Symbol" w:eastAsiaTheme="minorHAnsi"/>
          <w:color w:val="000000"/>
          <w:spacing w:val="1"/>
          <w:sz w:val="21"/>
          <w:szCs w:val="21"/>
        </w:rPr>
        <w:t xml:space="preserve">,</w:t>
      </w:r>
      <w:r>
        <w:rPr>
          <w:rFonts w:eastAsiaTheme="minorHAnsi"/>
          <w:color w:val="000000"/>
          <w:spacing w:val="1"/>
          <w:sz w:val="21"/>
          <w:szCs w:val="21"/>
        </w:rPr>
        <w:t xml:space="preserve"> в противном случае, </w:t>
      </w:r>
      <w:r>
        <w:rPr>
          <w:rFonts w:eastAsiaTheme="minorHAnsi"/>
          <w:color w:val="000000"/>
          <w:spacing w:val="1"/>
          <w:sz w:val="21"/>
          <w:szCs w:val="21"/>
        </w:rPr>
        <w:t xml:space="preserve">Универсальный передаточный документ</w:t>
      </w:r>
      <w:r>
        <w:rPr>
          <w:rFonts w:eastAsiaTheme="minorHAnsi"/>
          <w:color w:val="000000"/>
          <w:spacing w:val="1"/>
          <w:sz w:val="21"/>
          <w:szCs w:val="21"/>
        </w:rPr>
        <w:t xml:space="preserve"> считается подписанным, а услуги принятыми</w:t>
      </w:r>
      <w:r>
        <w:rPr>
          <w:rFonts w:eastAsiaTheme="minorHAnsi"/>
          <w:color w:val="000000"/>
          <w:spacing w:val="1"/>
          <w:sz w:val="21"/>
          <w:szCs w:val="21"/>
        </w:rPr>
        <w:t xml:space="preserve"> и подлежащими  оплате в полном объеме. С результатами услуг Заказчик может ознакомиться в офисе Исполнителя.</w:t>
      </w:r>
      <w:r>
        <w:rPr>
          <w:rFonts w:eastAsiaTheme="minorHAnsi"/>
          <w:color w:val="000000"/>
          <w:spacing w:val="1"/>
          <w:sz w:val="21"/>
          <w:szCs w:val="21"/>
        </w:rPr>
        <w:t xml:space="preserve">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ind w:right="-1"/>
        <w:jc w:val="both"/>
        <w:tabs>
          <w:tab w:val="left" w:pos="142" w:leader="none"/>
          <w:tab w:val="left" w:pos="284" w:leader="none"/>
        </w:tabs>
        <w:rPr>
          <w:color w:val="000000"/>
          <w:spacing w:val="1"/>
          <w:sz w:val="21"/>
          <w:szCs w:val="21"/>
        </w:rPr>
      </w:pPr>
      <w:r>
        <w:rPr>
          <w:rFonts w:eastAsiaTheme="minorHAnsi"/>
          <w:color w:val="000000"/>
          <w:spacing w:val="1"/>
          <w:sz w:val="21"/>
          <w:szCs w:val="21"/>
        </w:rPr>
        <w:t xml:space="preserve">4.2. В случае мотивиров</w:t>
      </w:r>
      <w:r>
        <w:rPr>
          <w:rFonts w:eastAsiaTheme="minorHAnsi"/>
          <w:color w:val="000000"/>
          <w:spacing w:val="1"/>
          <w:sz w:val="21"/>
          <w:szCs w:val="21"/>
        </w:rPr>
        <w:t xml:space="preserve">анного отказа Заказчика от приемки результатов оказанных услуг сторонами составляется двусторонний Акт с перечнем необходимых доработок. В данном случае Исполнитель устраняет выявленные недостатки в соответствии с перечнем в сроки, согласованные Сторонами.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ind w:right="-1"/>
        <w:jc w:val="both"/>
        <w:tabs>
          <w:tab w:val="left" w:pos="142" w:leader="none"/>
          <w:tab w:val="left" w:pos="284" w:leader="none"/>
        </w:tabs>
        <w:rPr>
          <w:color w:val="000000"/>
          <w:spacing w:val="1"/>
          <w:sz w:val="21"/>
          <w:szCs w:val="21"/>
        </w:rPr>
      </w:pPr>
      <w:r>
        <w:rPr>
          <w:rFonts w:eastAsiaTheme="minorHAnsi"/>
          <w:color w:val="000000"/>
          <w:spacing w:val="1"/>
          <w:sz w:val="21"/>
          <w:szCs w:val="21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center"/>
        <w:tabs>
          <w:tab w:val="left" w:pos="360" w:leader="none"/>
        </w:tabs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 xml:space="preserve">6</w:t>
      </w:r>
      <w:r>
        <w:rPr>
          <w:rFonts w:eastAsiaTheme="minorHAnsi"/>
          <w:b/>
          <w:sz w:val="21"/>
          <w:szCs w:val="21"/>
        </w:rPr>
        <w:t xml:space="preserve">. Прочие условия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.1. Настоящий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 вступает в силу с момента подписания и действует до 31.12.2026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</w: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.2.  Все споры и разногласия по исполнению настоящего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</w:t>
      </w:r>
      <w:r>
        <w:rPr>
          <w:rFonts w:eastAsiaTheme="minorHAnsi"/>
          <w:sz w:val="21"/>
          <w:szCs w:val="21"/>
        </w:rPr>
        <w:t xml:space="preserve"> или в связи с ним разрешаются сторонами путем переговоров, а при не</w:t>
      </w:r>
      <w:r>
        <w:rPr>
          <w:rFonts w:eastAsiaTheme="minorHAnsi"/>
          <w:sz w:val="21"/>
          <w:szCs w:val="21"/>
        </w:rPr>
        <w:t xml:space="preserve"> </w:t>
      </w:r>
      <w:r>
        <w:rPr>
          <w:rFonts w:eastAsiaTheme="minorHAnsi"/>
          <w:sz w:val="21"/>
          <w:szCs w:val="21"/>
        </w:rPr>
        <w:t xml:space="preserve">достижении согласия - в судебном порядке. В вопросах, не урегулированных настоящим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ом, стороны руководствуются действующим законодательством РФ.</w:t>
      </w:r>
      <w:r>
        <w:rPr>
          <w:rFonts w:eastAsiaTheme="minorHAnsi"/>
          <w:sz w:val="21"/>
          <w:szCs w:val="21"/>
        </w:rPr>
        <w:t xml:space="preserve"> В случае невозможности урегулирования спор</w:t>
      </w:r>
      <w:r>
        <w:rPr>
          <w:rFonts w:eastAsiaTheme="minorHAnsi"/>
          <w:sz w:val="21"/>
          <w:szCs w:val="21"/>
        </w:rPr>
        <w:t xml:space="preserve">ов путем переговоров, они разрешаются в соответствии с действующим законодательством РФ в Арбитражном суде Кировской области с обязательным соблюдением претензионного порядка.  Срок рассмотрения претензии составляет 10 (десять) дней с момента ее получения.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.3. Настоящий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у считаются дейст</w:t>
      </w:r>
      <w:r>
        <w:rPr>
          <w:rFonts w:eastAsiaTheme="minorHAnsi"/>
          <w:sz w:val="21"/>
          <w:szCs w:val="21"/>
        </w:rPr>
        <w:t xml:space="preserve">вительными, если они оформлены </w:t>
      </w:r>
      <w:r>
        <w:rPr>
          <w:rFonts w:eastAsiaTheme="minorHAnsi"/>
          <w:sz w:val="21"/>
          <w:szCs w:val="21"/>
        </w:rPr>
        <w:t xml:space="preserve">письменным соглашением сторон.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>
        <w:rPr>
          <w:rFonts w:eastAsiaTheme="minorHAnsi"/>
          <w:sz w:val="21"/>
          <w:szCs w:val="21"/>
        </w:rPr>
        <w:t xml:space="preserve">5</w:t>
      </w:r>
      <w:r>
        <w:rPr>
          <w:rFonts w:eastAsiaTheme="minorHAnsi"/>
          <w:sz w:val="21"/>
          <w:szCs w:val="21"/>
        </w:rPr>
        <w:t xml:space="preserve">-дневный срок после их осуществления.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.5. </w:t>
      </w:r>
      <w:r>
        <w:rPr>
          <w:rFonts w:eastAsiaTheme="minorHAnsi"/>
          <w:sz w:val="21"/>
          <w:szCs w:val="21"/>
        </w:rPr>
        <w:t xml:space="preserve">Стороны подтверждают взаимное согласие на обмен юридически значимыми документами (договорами, дополнительными соглашениями, счетами на оплату, </w:t>
      </w:r>
      <w:r>
        <w:rPr>
          <w:rFonts w:eastAsiaTheme="minorHAnsi"/>
          <w:sz w:val="21"/>
          <w:szCs w:val="21"/>
        </w:rPr>
        <w:t xml:space="preserve">универсальными передаточными документами</w:t>
      </w:r>
      <w:r>
        <w:rPr>
          <w:rFonts w:eastAsiaTheme="minorHAnsi"/>
          <w:sz w:val="21"/>
          <w:szCs w:val="21"/>
        </w:rPr>
        <w:t xml:space="preserve">, акта</w:t>
      </w:r>
      <w:r>
        <w:rPr>
          <w:rFonts w:eastAsiaTheme="minorHAnsi"/>
          <w:sz w:val="21"/>
          <w:szCs w:val="21"/>
        </w:rPr>
        <w:t xml:space="preserve">ми сверки), адресованными сторонам, в электронном виде. Обмен документами в электронном виде может осуществляться по телекоммуникационным каналам связи через систему электронного документооборота Конту</w:t>
      </w:r>
      <w:r>
        <w:rPr>
          <w:rFonts w:eastAsiaTheme="minorHAnsi"/>
          <w:sz w:val="21"/>
          <w:szCs w:val="21"/>
        </w:rPr>
        <w:t xml:space="preserve">р.Диадок или СБИС с соблюдением требований российского законодательства, действующих на дату отправки документа. При невозможности обмена документами по телекоммуникационным каналам связи через систему электронного документооборота Контур.Диадок или СБИС, </w:t>
      </w:r>
      <w:r>
        <w:rPr>
          <w:rFonts w:eastAsiaTheme="minorHAnsi"/>
          <w:sz w:val="21"/>
          <w:szCs w:val="21"/>
        </w:rPr>
        <w:t xml:space="preserve">документы, исходящие от сторон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 </w:t>
      </w:r>
      <w:r>
        <w:rPr>
          <w:rFonts w:eastAsiaTheme="minorHAnsi"/>
          <w:sz w:val="21"/>
          <w:szCs w:val="21"/>
        </w:rPr>
        <w:t xml:space="preserve">должны иметь печати и подписи уполномоченных представителей. Направление корреспонденции по адресу стороны, указанному в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е, считается информированием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стороны надлежащим образом.  Стороны допускают помимо почтово</w:t>
      </w:r>
      <w:r>
        <w:rPr>
          <w:rFonts w:eastAsiaTheme="minorHAnsi"/>
          <w:sz w:val="21"/>
          <w:szCs w:val="21"/>
        </w:rPr>
        <w:t xml:space="preserve">й применение факсимильной и (или) электронной связи при обмене документов и информации. Подписание между сторонами документов путем обмена факсимильными или переданными посредством электронной почты копиями является надлежащим соблюдением формы настоящего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а с обязательным направлением в этот же день подлинника документа в адрес другой стороны посредством почтовой связи.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both"/>
        <w:rPr>
          <w:sz w:val="21"/>
          <w:szCs w:val="21"/>
        </w:rPr>
      </w:pPr>
      <w:r>
        <w:rPr>
          <w:rFonts w:eastAsiaTheme="minorHAnsi"/>
          <w:sz w:val="21"/>
          <w:szCs w:val="21"/>
        </w:rPr>
        <w:t xml:space="preserve">6</w:t>
      </w:r>
      <w:r>
        <w:rPr>
          <w:rFonts w:eastAsiaTheme="minorHAnsi"/>
          <w:sz w:val="21"/>
          <w:szCs w:val="21"/>
        </w:rPr>
        <w:t xml:space="preserve">.6. </w:t>
      </w:r>
      <w:r>
        <w:rPr>
          <w:rFonts w:eastAsiaTheme="minorHAnsi"/>
          <w:sz w:val="21"/>
          <w:szCs w:val="21"/>
        </w:rPr>
        <w:t xml:space="preserve">Настоящий </w:t>
      </w:r>
      <w:r>
        <w:rPr>
          <w:rFonts w:eastAsiaTheme="minorHAnsi"/>
          <w:sz w:val="21"/>
          <w:szCs w:val="21"/>
        </w:rPr>
        <w:t xml:space="preserve">договор</w:t>
      </w:r>
      <w:r>
        <w:rPr>
          <w:rFonts w:eastAsiaTheme="minorHAnsi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center"/>
        <w:rPr>
          <w:b/>
          <w:sz w:val="21"/>
          <w:szCs w:val="21"/>
        </w:rPr>
      </w:pPr>
      <w:r>
        <w:rPr>
          <w:rFonts w:eastAsiaTheme="minorHAnsi"/>
          <w:b/>
          <w:sz w:val="21"/>
          <w:szCs w:val="21"/>
        </w:rPr>
        <w:t xml:space="preserve">7</w:t>
      </w:r>
      <w:r>
        <w:rPr>
          <w:rFonts w:eastAsiaTheme="minorHAnsi"/>
          <w:b/>
          <w:sz w:val="21"/>
          <w:szCs w:val="21"/>
        </w:rPr>
        <w:t xml:space="preserve">  </w:t>
      </w:r>
      <w:r>
        <w:rPr>
          <w:rFonts w:eastAsiaTheme="minorHAnsi"/>
          <w:b/>
          <w:sz w:val="21"/>
          <w:szCs w:val="21"/>
        </w:rPr>
        <w:t xml:space="preserve">.</w:t>
      </w:r>
      <w:r>
        <w:rPr>
          <w:rFonts w:eastAsiaTheme="minorHAnsi"/>
          <w:b/>
          <w:sz w:val="21"/>
          <w:szCs w:val="21"/>
        </w:rPr>
        <w:t xml:space="preserve"> </w:t>
      </w:r>
      <w:r>
        <w:rPr>
          <w:rFonts w:eastAsiaTheme="minorHAnsi"/>
          <w:b/>
          <w:sz w:val="21"/>
          <w:szCs w:val="21"/>
        </w:rPr>
        <w:t xml:space="preserve">Юридические адреса, </w:t>
      </w:r>
      <w:r>
        <w:rPr>
          <w:rFonts w:eastAsiaTheme="minorHAnsi"/>
          <w:b/>
          <w:sz w:val="21"/>
          <w:szCs w:val="21"/>
        </w:rPr>
        <w:t xml:space="preserve">банковские реквизиты и подписи </w:t>
      </w:r>
      <w:r>
        <w:rPr>
          <w:rFonts w:eastAsiaTheme="minorHAnsi"/>
          <w:b/>
          <w:sz w:val="21"/>
          <w:szCs w:val="21"/>
        </w:rPr>
        <w:t xml:space="preserve">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15"/>
        <w:jc w:val="center"/>
        <w:rPr>
          <w:sz w:val="21"/>
          <w:szCs w:val="21"/>
        </w:rPr>
      </w:pPr>
      <w:r>
        <w:rPr>
          <w:rFonts w:eastAsiaTheme="minorHAnsi"/>
          <w:sz w:val="21"/>
          <w:szCs w:val="21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61"/>
        <w:gridCol w:w="5175"/>
      </w:tblGrid>
      <w:tr>
        <w:trPr>
          <w:trHeight w:val="1164"/>
        </w:trPr>
        <w:tc>
          <w:tcPr>
            <w:tcW w:w="5461" w:type="dxa"/>
            <w:vAlign w:val="top"/>
            <w:textDirection w:val="lrTb"/>
            <w:noWrap w:val="false"/>
          </w:tcPr>
          <w:p>
            <w:pPr>
              <w:pStyle w:val="841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W w:w="5175" w:type="dxa"/>
            <w:vAlign w:val="top"/>
            <w:textDirection w:val="lrTb"/>
            <w:noWrap w:val="false"/>
          </w:tcPr>
          <w:p>
            <w:pPr>
              <w:pStyle w:val="81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«ИСПОЛНИТЕЛЬ»:</w:t>
            </w:r>
            <w:r/>
          </w:p>
        </w:tc>
      </w:tr>
      <w:tr>
        <w:trPr>
          <w:trHeight w:val="2683"/>
        </w:trPr>
        <w:tc>
          <w:tcPr>
            <w:tcW w:w="5461" w:type="dxa"/>
            <w:vAlign w:val="top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</w:t>
            </w:r>
            <w:r>
              <w:rPr>
                <w:color w:val="000000"/>
                <w:sz w:val="20"/>
                <w:szCs w:val="20"/>
              </w:rPr>
              <w:t xml:space="preserve">.Красноармейская, 72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 КНИИГиПК ФМБА России л/с 20406Ц17940, л/с22406Ц17940)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</w:t>
            </w:r>
            <w:r>
              <w:rPr>
                <w:sz w:val="20"/>
              </w:rPr>
              <w:t xml:space="preserve">00000014000 в ОКЦ № 4 ВВГУ Банка России//УФК по Кировской области г. Киров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</w:rPr>
              <w:t xml:space="preserve"> БИК 013304182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W w:w="5175" w:type="dxa"/>
            <w:vAlign w:val="top"/>
            <w:vMerge w:val="restart"/>
            <w:textDirection w:val="lrTb"/>
            <w:noWrap w:val="false"/>
          </w:tcPr>
          <w:p>
            <w:pPr>
              <w:pStyle w:val="81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</w:tc>
      </w:tr>
      <w:tr>
        <w:trPr>
          <w:trHeight w:val="1153"/>
        </w:trPr>
        <w:tc>
          <w:tcPr>
            <w:tcW w:w="5461" w:type="dxa"/>
            <w:vAlign w:val="top"/>
            <w:vMerge w:val="restart"/>
            <w:textDirection w:val="lrTb"/>
            <w:noWrap w:val="false"/>
          </w:tcPr>
          <w:p>
            <w:pPr>
              <w:pStyle w:val="841"/>
              <w:numPr>
                <w:ilvl w:val="0"/>
                <w:numId w:val="0"/>
              </w:numPr>
              <w:jc w:val="both"/>
              <w:spacing w:before="0"/>
            </w:pPr>
            <w:r>
              <w:rPr>
                <w:b w:val="false"/>
                <w:sz w:val="18"/>
                <w:szCs w:val="20"/>
              </w:rPr>
            </w:r>
            <w:r>
              <w:rPr>
                <w:b w:val="false"/>
                <w:sz w:val="18"/>
                <w:szCs w:val="20"/>
              </w:rPr>
            </w:r>
            <w:r/>
          </w:p>
          <w:p>
            <w:pPr>
              <w:pStyle w:val="841"/>
              <w:numPr>
                <w:ilvl w:val="0"/>
                <w:numId w:val="0"/>
              </w:numPr>
              <w:jc w:val="both"/>
              <w:spacing w:before="0"/>
            </w:pPr>
            <w:r>
              <w:rPr>
                <w:b w:val="false"/>
                <w:sz w:val="18"/>
                <w:szCs w:val="20"/>
              </w:rPr>
              <w:t xml:space="preserve">Директор</w:t>
            </w:r>
            <w:r>
              <w:rPr>
                <w:b w:val="false"/>
                <w:sz w:val="18"/>
                <w:szCs w:val="20"/>
              </w:rPr>
            </w:r>
            <w:r/>
          </w:p>
          <w:p>
            <w:r>
              <w:rPr>
                <w:sz w:val="18"/>
                <w:szCs w:val="20"/>
              </w:rPr>
              <w:t xml:space="preserve">________________________И.В. Парамонов</w:t>
            </w:r>
            <w:r>
              <w:rPr>
                <w:sz w:val="18"/>
                <w:szCs w:val="20"/>
              </w:rPr>
            </w:r>
            <w:r/>
          </w:p>
          <w:p>
            <w:pPr>
              <w:spacing w:after="120"/>
            </w:pPr>
            <w:r>
              <w:rPr>
                <w:sz w:val="18"/>
                <w:szCs w:val="20"/>
              </w:rPr>
              <w:t xml:space="preserve">М.П.</w:t>
            </w:r>
            <w:r>
              <w:rPr>
                <w:sz w:val="18"/>
                <w:szCs w:val="20"/>
              </w:rPr>
            </w:r>
            <w:r/>
          </w:p>
        </w:tc>
        <w:tc>
          <w:tcPr>
            <w:tcW w:w="5175" w:type="dxa"/>
            <w:vAlign w:val="top"/>
            <w:vMerge w:val="restart"/>
            <w:textDirection w:val="lrTb"/>
            <w:noWrap w:val="false"/>
          </w:tcPr>
          <w:p>
            <w:pPr>
              <w:pStyle w:val="81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</w:p>
    <w:sectPr>
      <w:footnotePr/>
      <w:endnotePr/>
      <w:type w:val="nextPage"/>
      <w:pgSz w:w="11906" w:h="16838" w:orient="portrait"/>
      <w:pgMar w:top="426" w:right="424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pStyle w:val="815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15"/>
        <w:ind w:left="3480" w:hanging="420"/>
        <w:tabs>
          <w:tab w:val="num" w:pos="3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15"/>
        <w:ind w:left="3780" w:hanging="720"/>
        <w:tabs>
          <w:tab w:val="num" w:pos="37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15"/>
        <w:ind w:left="3780" w:hanging="720"/>
        <w:tabs>
          <w:tab w:val="num" w:pos="37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15"/>
        <w:ind w:left="4140" w:hanging="1080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15"/>
        <w:ind w:left="4140" w:hanging="10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15"/>
        <w:ind w:left="4500" w:hanging="1440"/>
        <w:tabs>
          <w:tab w:val="num" w:pos="45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15"/>
        <w:ind w:left="4500" w:hanging="1440"/>
        <w:tabs>
          <w:tab w:val="num" w:pos="45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15"/>
        <w:ind w:left="4860" w:hanging="1800"/>
        <w:tabs>
          <w:tab w:val="num" w:pos="486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41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4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4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4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4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4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46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4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4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link w:val="6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9">
    <w:name w:val="Heading 1 Char"/>
    <w:link w:val="638"/>
    <w:uiPriority w:val="9"/>
    <w:rPr>
      <w:rFonts w:ascii="Arial" w:hAnsi="Arial" w:cs="Arial" w:eastAsia="Arial"/>
      <w:sz w:val="40"/>
      <w:szCs w:val="40"/>
    </w:rPr>
  </w:style>
  <w:style w:type="paragraph" w:styleId="640">
    <w:name w:val="Heading 2"/>
    <w:link w:val="6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1">
    <w:name w:val="Heading 2 Char"/>
    <w:link w:val="640"/>
    <w:uiPriority w:val="9"/>
    <w:rPr>
      <w:rFonts w:ascii="Arial" w:hAnsi="Arial" w:cs="Arial" w:eastAsia="Arial"/>
      <w:sz w:val="34"/>
    </w:rPr>
  </w:style>
  <w:style w:type="paragraph" w:styleId="642">
    <w:name w:val="Heading 3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>
    <w:name w:val="Heading 3 Char"/>
    <w:link w:val="642"/>
    <w:uiPriority w:val="9"/>
    <w:rPr>
      <w:rFonts w:ascii="Arial" w:hAnsi="Arial" w:cs="Arial" w:eastAsia="Arial"/>
      <w:sz w:val="30"/>
      <w:szCs w:val="30"/>
    </w:rPr>
  </w:style>
  <w:style w:type="paragraph" w:styleId="644">
    <w:name w:val="Heading 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>
    <w:name w:val="Heading 4 Char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>
    <w:name w:val="Heading 5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>
    <w:name w:val="Heading 5 Char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>
    <w:name w:val="Heading 6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>
    <w:name w:val="Heading 6 Char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>
    <w:name w:val="Heading 7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>
    <w:name w:val="Heading 7 Char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>
    <w:name w:val="Heading 8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>
    <w:name w:val="Heading 8 Char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>
    <w:name w:val="Heading 9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>
    <w:name w:val="Heading 9 Char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qFormat/>
    <w:uiPriority w:val="34"/>
    <w:pPr>
      <w:contextualSpacing w:val="true"/>
      <w:ind w:left="720"/>
    </w:pPr>
  </w:style>
  <w:style w:type="paragraph" w:styleId="657">
    <w:name w:val="Title"/>
    <w:link w:val="65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8">
    <w:name w:val="Title Char"/>
    <w:link w:val="657"/>
    <w:uiPriority w:val="10"/>
    <w:rPr>
      <w:sz w:val="48"/>
      <w:szCs w:val="48"/>
    </w:rPr>
  </w:style>
  <w:style w:type="paragraph" w:styleId="659">
    <w:name w:val="Subtitle"/>
    <w:link w:val="660"/>
    <w:qFormat/>
    <w:uiPriority w:val="11"/>
    <w:rPr>
      <w:sz w:val="24"/>
      <w:szCs w:val="24"/>
    </w:rPr>
    <w:pPr>
      <w:spacing w:after="200" w:before="200"/>
    </w:pPr>
  </w:style>
  <w:style w:type="character" w:styleId="660">
    <w:name w:val="Subtitle Char"/>
    <w:link w:val="659"/>
    <w:uiPriority w:val="11"/>
    <w:rPr>
      <w:sz w:val="24"/>
      <w:szCs w:val="24"/>
    </w:rPr>
  </w:style>
  <w:style w:type="paragraph" w:styleId="661">
    <w:name w:val="Quote"/>
    <w:link w:val="662"/>
    <w:qFormat/>
    <w:uiPriority w:val="29"/>
    <w:rPr>
      <w:i/>
    </w:rPr>
    <w:pPr>
      <w:ind w:left="720" w:right="720"/>
    </w:p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link w:val="66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Header Char"/>
    <w:link w:val="665"/>
    <w:uiPriority w:val="99"/>
  </w:style>
  <w:style w:type="paragraph" w:styleId="667">
    <w:name w:val="Footer"/>
    <w:link w:val="67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8">
    <w:name w:val="Footer Char"/>
    <w:link w:val="667"/>
    <w:uiPriority w:val="99"/>
  </w:style>
  <w:style w:type="paragraph" w:styleId="669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link w:val="799"/>
    <w:uiPriority w:val="99"/>
    <w:semiHidden/>
    <w:unhideWhenUsed/>
    <w:rPr>
      <w:sz w:val="18"/>
    </w:rPr>
    <w:pPr>
      <w:spacing w:lineRule="auto" w:line="240" w:after="40"/>
    </w:p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uiPriority w:val="99"/>
    <w:unhideWhenUsed/>
    <w:rPr>
      <w:vertAlign w:val="superscript"/>
    </w:rPr>
  </w:style>
  <w:style w:type="paragraph" w:styleId="801">
    <w:name w:val="endnote text"/>
    <w:link w:val="802"/>
    <w:uiPriority w:val="99"/>
    <w:semiHidden/>
    <w:unhideWhenUsed/>
    <w:rPr>
      <w:sz w:val="20"/>
    </w:rPr>
    <w:pPr>
      <w:spacing w:lineRule="auto" w:line="240" w:after="0"/>
    </w:p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uiPriority w:val="99"/>
    <w:semiHidden/>
    <w:unhideWhenUsed/>
    <w:rPr>
      <w:vertAlign w:val="superscript"/>
    </w:rPr>
  </w:style>
  <w:style w:type="paragraph" w:styleId="804">
    <w:name w:val="toc 1"/>
    <w:uiPriority w:val="39"/>
    <w:unhideWhenUsed/>
    <w:pPr>
      <w:ind w:left="0" w:right="0" w:firstLine="0"/>
      <w:spacing w:after="57"/>
    </w:pPr>
  </w:style>
  <w:style w:type="paragraph" w:styleId="805">
    <w:name w:val="toc 2"/>
    <w:uiPriority w:val="39"/>
    <w:unhideWhenUsed/>
    <w:pPr>
      <w:ind w:left="283" w:right="0" w:firstLine="0"/>
      <w:spacing w:after="57"/>
    </w:pPr>
  </w:style>
  <w:style w:type="paragraph" w:styleId="806">
    <w:name w:val="toc 3"/>
    <w:uiPriority w:val="39"/>
    <w:unhideWhenUsed/>
    <w:pPr>
      <w:ind w:left="567" w:right="0" w:firstLine="0"/>
      <w:spacing w:after="57"/>
    </w:pPr>
  </w:style>
  <w:style w:type="paragraph" w:styleId="807">
    <w:name w:val="toc 4"/>
    <w:uiPriority w:val="39"/>
    <w:unhideWhenUsed/>
    <w:pPr>
      <w:ind w:left="850" w:right="0" w:firstLine="0"/>
      <w:spacing w:after="57"/>
    </w:pPr>
  </w:style>
  <w:style w:type="paragraph" w:styleId="808">
    <w:name w:val="toc 5"/>
    <w:uiPriority w:val="39"/>
    <w:unhideWhenUsed/>
    <w:pPr>
      <w:ind w:left="1134" w:right="0" w:firstLine="0"/>
      <w:spacing w:after="57"/>
    </w:pPr>
  </w:style>
  <w:style w:type="paragraph" w:styleId="809">
    <w:name w:val="toc 6"/>
    <w:uiPriority w:val="39"/>
    <w:unhideWhenUsed/>
    <w:pPr>
      <w:ind w:left="1417" w:right="0" w:firstLine="0"/>
      <w:spacing w:after="57"/>
    </w:pPr>
  </w:style>
  <w:style w:type="paragraph" w:styleId="810">
    <w:name w:val="toc 7"/>
    <w:uiPriority w:val="39"/>
    <w:unhideWhenUsed/>
    <w:pPr>
      <w:ind w:left="1701" w:right="0" w:firstLine="0"/>
      <w:spacing w:after="57"/>
    </w:pPr>
  </w:style>
  <w:style w:type="paragraph" w:styleId="811">
    <w:name w:val="toc 8"/>
    <w:uiPriority w:val="39"/>
    <w:unhideWhenUsed/>
    <w:pPr>
      <w:ind w:left="1984" w:right="0" w:firstLine="0"/>
      <w:spacing w:after="57"/>
    </w:pPr>
  </w:style>
  <w:style w:type="paragraph" w:styleId="812">
    <w:name w:val="toc 9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uiPriority w:val="99"/>
    <w:unhideWhenUsed/>
    <w:pPr>
      <w:spacing w:after="0" w:afterAutospacing="0"/>
    </w:pPr>
  </w:style>
  <w:style w:type="paragraph" w:styleId="815">
    <w:name w:val="Обычный"/>
    <w:next w:val="815"/>
    <w:link w:val="815"/>
    <w:rPr>
      <w:sz w:val="24"/>
      <w:szCs w:val="24"/>
      <w:lang w:val="ru-RU" w:bidi="ar-SA" w:eastAsia="ru-RU"/>
    </w:rPr>
  </w:style>
  <w:style w:type="character" w:styleId="816">
    <w:name w:val="Основной шрифт абзаца"/>
    <w:next w:val="816"/>
    <w:link w:val="815"/>
    <w:semiHidden/>
  </w:style>
  <w:style w:type="table" w:styleId="817">
    <w:name w:val="Обычная таблица"/>
    <w:next w:val="817"/>
    <w:link w:val="815"/>
    <w:semiHidden/>
    <w:tblPr/>
  </w:style>
  <w:style w:type="numbering" w:styleId="818">
    <w:name w:val="Нет списка"/>
    <w:next w:val="818"/>
    <w:link w:val="815"/>
    <w:semiHidden/>
  </w:style>
  <w:style w:type="character" w:styleId="819">
    <w:name w:val="Текст концевой сноски Знак"/>
    <w:next w:val="819"/>
    <w:link w:val="820"/>
    <w:semiHidden/>
    <w:rPr>
      <w:lang w:val="ru-RU" w:bidi="ar-SA" w:eastAsia="ru-RU"/>
    </w:rPr>
  </w:style>
  <w:style w:type="paragraph" w:styleId="820">
    <w:name w:val="Текст концевой сноски"/>
    <w:basedOn w:val="815"/>
    <w:next w:val="820"/>
    <w:link w:val="819"/>
    <w:semiHidden/>
    <w:rPr>
      <w:sz w:val="20"/>
      <w:szCs w:val="20"/>
    </w:rPr>
  </w:style>
  <w:style w:type="character" w:styleId="821">
    <w:name w:val="Название Знак"/>
    <w:next w:val="821"/>
    <w:link w:val="822"/>
    <w:rPr>
      <w:b/>
      <w:sz w:val="24"/>
      <w:szCs w:val="24"/>
      <w:lang w:val="ru-RU" w:bidi="ar-SA" w:eastAsia="ru-RU"/>
    </w:rPr>
  </w:style>
  <w:style w:type="paragraph" w:styleId="822">
    <w:name w:val="Название"/>
    <w:basedOn w:val="815"/>
    <w:next w:val="822"/>
    <w:link w:val="821"/>
    <w:rPr>
      <w:b/>
    </w:rPr>
    <w:pPr>
      <w:jc w:val="center"/>
    </w:pPr>
  </w:style>
  <w:style w:type="paragraph" w:styleId="823">
    <w:name w:val="No Spacing"/>
    <w:next w:val="823"/>
    <w:link w:val="815"/>
    <w:rPr>
      <w:rFonts w:ascii="Calibri" w:hAnsi="Calibri"/>
      <w:sz w:val="22"/>
      <w:szCs w:val="22"/>
      <w:lang w:val="ru-RU" w:bidi="ar-SA" w:eastAsia="ru-RU"/>
    </w:rPr>
  </w:style>
  <w:style w:type="character" w:styleId="824">
    <w:name w:val="Знак концевой сноски"/>
    <w:next w:val="824"/>
    <w:link w:val="815"/>
    <w:semiHidden/>
    <w:rPr>
      <w:rFonts w:ascii="Times New Roman" w:hAnsi="Times New Roman"/>
      <w:vertAlign w:val="superscript"/>
    </w:rPr>
  </w:style>
  <w:style w:type="paragraph" w:styleId="825">
    <w:name w:val="Знак Знак Знак"/>
    <w:basedOn w:val="815"/>
    <w:next w:val="825"/>
    <w:link w:val="815"/>
    <w:rPr>
      <w:rFonts w:ascii="Verdana" w:hAnsi="Verdana"/>
      <w:lang w:val="en-US" w:eastAsia="en-US"/>
    </w:rPr>
    <w:pPr>
      <w:spacing w:lineRule="exact" w:line="240" w:after="160"/>
    </w:pPr>
  </w:style>
  <w:style w:type="paragraph" w:styleId="826">
    <w:name w:val="Heading"/>
    <w:next w:val="826"/>
    <w:link w:val="815"/>
    <w:rPr>
      <w:rFonts w:ascii="Arial" w:hAnsi="Arial"/>
      <w:b/>
      <w:bCs/>
      <w:sz w:val="22"/>
      <w:szCs w:val="22"/>
      <w:lang w:val="ru-RU" w:bidi="ar-SA" w:eastAsia="ru-RU"/>
    </w:rPr>
  </w:style>
  <w:style w:type="character" w:styleId="827">
    <w:name w:val="Гиперссылка"/>
    <w:next w:val="827"/>
    <w:link w:val="815"/>
    <w:rPr>
      <w:color w:val="0563C1"/>
      <w:u w:val="single"/>
    </w:rPr>
  </w:style>
  <w:style w:type="paragraph" w:styleId="828">
    <w:name w:val="Верхний колонтитул"/>
    <w:basedOn w:val="815"/>
    <w:next w:val="828"/>
    <w:link w:val="829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829">
    <w:name w:val="Верхний колонтитул Знак"/>
    <w:next w:val="829"/>
    <w:link w:val="828"/>
    <w:rPr>
      <w:sz w:val="24"/>
      <w:szCs w:val="24"/>
    </w:rPr>
  </w:style>
  <w:style w:type="paragraph" w:styleId="830">
    <w:name w:val="Нижний колонтитул"/>
    <w:basedOn w:val="815"/>
    <w:next w:val="830"/>
    <w:link w:val="831"/>
    <w:rPr>
      <w:lang w:val="en-US" w:eastAsia="en-US"/>
    </w:rPr>
    <w:pPr>
      <w:tabs>
        <w:tab w:val="center" w:pos="4677" w:leader="none"/>
        <w:tab w:val="right" w:pos="9355" w:leader="none"/>
      </w:tabs>
    </w:pPr>
  </w:style>
  <w:style w:type="character" w:styleId="831">
    <w:name w:val="Нижний колонтитул Знак"/>
    <w:next w:val="831"/>
    <w:link w:val="830"/>
    <w:rPr>
      <w:sz w:val="24"/>
      <w:szCs w:val="24"/>
    </w:rPr>
  </w:style>
  <w:style w:type="table" w:styleId="832">
    <w:name w:val="Сетка таблицы"/>
    <w:basedOn w:val="817"/>
    <w:next w:val="832"/>
    <w:link w:val="815"/>
    <w:tblPr/>
  </w:style>
  <w:style w:type="paragraph" w:styleId="833">
    <w:name w:val="Текст выноски"/>
    <w:basedOn w:val="815"/>
    <w:next w:val="833"/>
    <w:link w:val="834"/>
    <w:rPr>
      <w:rFonts w:ascii="Segoe UI" w:hAnsi="Segoe UI"/>
      <w:sz w:val="18"/>
      <w:szCs w:val="18"/>
      <w:lang w:val="en-US" w:eastAsia="en-US"/>
    </w:rPr>
  </w:style>
  <w:style w:type="character" w:styleId="834">
    <w:name w:val="Текст выноски Знак"/>
    <w:next w:val="834"/>
    <w:link w:val="833"/>
    <w:rPr>
      <w:rFonts w:ascii="Segoe UI" w:hAnsi="Segoe UI"/>
      <w:sz w:val="18"/>
      <w:szCs w:val="18"/>
    </w:rPr>
  </w:style>
  <w:style w:type="character" w:styleId="835" w:default="1">
    <w:name w:val="Default Paragraph Font"/>
    <w:uiPriority w:val="1"/>
    <w:semiHidden/>
    <w:unhideWhenUsed/>
  </w:style>
  <w:style w:type="numbering" w:styleId="836" w:default="1">
    <w:name w:val="No List"/>
    <w:uiPriority w:val="99"/>
    <w:semiHidden/>
    <w:unhideWhenUsed/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/>
  </w:style>
  <w:style w:type="paragraph" w:styleId="839">
    <w:name w:val="Normal (Web)"/>
    <w:qFormat/>
    <w:uiPriority w:val="99"/>
    <w:unhideWhenUsed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1" w:before="0" w:beforeAutospacing="1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0" w:customStyle="1">
    <w:name w:val="Заголовок 21"/>
    <w:qFormat/>
    <w:uiPriority w:val="9"/>
    <w:rPr>
      <w:rFonts w:ascii="Times New Roman" w:hAnsi="Times New Roman" w:cs="Times New Roman" w:eastAsia="Times New Roman"/>
      <w:b w:val="false"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6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1"/>
        <w:numId w:val="2"/>
      </w:num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  <w:suppressLineNumbers w:val="0"/>
    </w:pPr>
  </w:style>
  <w:style w:type="paragraph" w:styleId="841" w:customStyle="1">
    <w:name w:val="Заголовок 11"/>
    <w:qFormat/>
    <w:uiPriority w:val="9"/>
    <w:rPr>
      <w:rFonts w:ascii="Times New Roman" w:hAnsi="Times New Roman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ar-SA" w:eastAsia="ru-RU"/>
    </w:rPr>
    <w:pPr>
      <w:numPr>
        <w:numId w:val="2"/>
      </w:numPr>
      <w:contextualSpacing w:val="false"/>
      <w:ind w:left="0" w:right="0" w:firstLine="0"/>
      <w:jc w:val="center"/>
      <w:keepLines/>
      <w:keepNext/>
      <w:pageBreakBefore w:val="false"/>
      <w:spacing w:lineRule="auto" w:line="240" w:after="120" w:afterAutospacing="0" w:before="24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  <w:suppressLineNumbers w:val="0"/>
    </w:pPr>
  </w:style>
  <w:style w:type="paragraph" w:styleId="842" w:customStyle="1">
    <w:name w:val="Заголовок 31"/>
    <w:qFormat/>
    <w:uiPriority w:val="9"/>
    <w:rPr>
      <w:rFonts w:ascii="Times New Roman" w:hAnsi="Times New Roman" w:cs="Times New Roman" w:eastAsia="Times New Roman"/>
      <w:b w:val="false"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2"/>
        <w:numId w:val="2"/>
      </w:num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  <w:suppressLineNumbers w:val="0"/>
    </w:pPr>
  </w:style>
  <w:style w:type="paragraph" w:styleId="843" w:customStyle="1">
    <w:name w:val="Заголовок 41"/>
    <w:qFormat/>
    <w:uiPriority w:val="9"/>
    <w:rPr>
      <w:rFonts w:ascii="Times New Roman" w:hAnsi="Times New Roman" w:cs="Times New Roman" w:eastAsia="Times New Roman"/>
      <w:b w:val="false"/>
      <w:bCs/>
      <w:i w:val="false"/>
      <w:iCs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3"/>
        <w:numId w:val="2"/>
      </w:num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  <w:suppressLineNumbers w:val="0"/>
    </w:pPr>
  </w:style>
  <w:style w:type="paragraph" w:styleId="844" w:customStyle="1">
    <w:name w:val="Заголовок 51"/>
    <w:qFormat/>
    <w:uiPriority w:val="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4"/>
        <w:numId w:val="2"/>
      </w:numPr>
      <w:contextualSpacing w:val="false"/>
      <w:ind w:left="0" w:right="0" w:firstLine="0"/>
      <w:jc w:val="left"/>
      <w:keepLines/>
      <w:keepNext/>
      <w:pageBreakBefore w:val="false"/>
      <w:spacing w:lineRule="auto" w:line="240" w:after="0" w:afterAutospacing="0" w:before="20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  <w:suppressLineNumbers w:val="0"/>
    </w:pPr>
  </w:style>
  <w:style w:type="paragraph" w:styleId="845" w:customStyle="1">
    <w:name w:val="Заголовок 61"/>
    <w:qFormat/>
    <w:uiPriority w:val="9"/>
    <w:rPr>
      <w:rFonts w:ascii="Times New Roman" w:hAnsi="Times New Roman" w:cs="Times New Roman" w:eastAsia="Times New Roman"/>
      <w:b w:val="false"/>
      <w:bCs w:val="false"/>
      <w:i/>
      <w:iCs/>
      <w:caps w:val="false"/>
      <w:smallCaps w:val="false"/>
      <w:strike w:val="false"/>
      <w:vanish w:val="false"/>
      <w:color w:val="243F6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5"/>
        <w:numId w:val="2"/>
      </w:numPr>
      <w:contextualSpacing w:val="false"/>
      <w:ind w:left="0" w:right="0" w:firstLine="0"/>
      <w:jc w:val="left"/>
      <w:keepLines/>
      <w:keepNext/>
      <w:pageBreakBefore w:val="false"/>
      <w:spacing w:lineRule="auto" w:line="240" w:after="0" w:afterAutospacing="0" w:before="20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  <w:suppressLineNumbers w:val="0"/>
    </w:pPr>
  </w:style>
  <w:style w:type="paragraph" w:styleId="846" w:customStyle="1">
    <w:name w:val="Заголовок 71"/>
    <w:qFormat/>
    <w:uiPriority w:val="9"/>
    <w:rPr>
      <w:rFonts w:ascii="Times New Roman" w:hAnsi="Times New Roman" w:cs="Times New Roman" w:eastAsia="Times New Roman"/>
      <w:b w:val="false"/>
      <w:bCs w:val="false"/>
      <w:i/>
      <w:iCs/>
      <w:caps w:val="false"/>
      <w:smallCaps w:val="false"/>
      <w:strike w:val="false"/>
      <w:vanish w:val="false"/>
      <w:color w:val="40404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6"/>
        <w:numId w:val="2"/>
      </w:numPr>
      <w:contextualSpacing w:val="false"/>
      <w:ind w:left="0" w:right="0" w:firstLine="0"/>
      <w:jc w:val="left"/>
      <w:keepLines/>
      <w:keepNext/>
      <w:pageBreakBefore w:val="false"/>
      <w:spacing w:lineRule="auto" w:line="240" w:after="0" w:afterAutospacing="0" w:before="20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  <w:suppressLineNumbers w:val="0"/>
    </w:pPr>
  </w:style>
  <w:style w:type="paragraph" w:styleId="847" w:customStyle="1">
    <w:name w:val="Заголовок 81"/>
    <w:qFormat/>
    <w:uiPriority w:val="9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4F81BD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7"/>
        <w:numId w:val="2"/>
      </w:numPr>
      <w:contextualSpacing w:val="false"/>
      <w:ind w:left="0" w:right="0" w:firstLine="0"/>
      <w:jc w:val="left"/>
      <w:keepLines/>
      <w:keepNext/>
      <w:pageBreakBefore w:val="false"/>
      <w:spacing w:lineRule="auto" w:line="240" w:after="0" w:afterAutospacing="0" w:before="20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  <w:suppressLineNumbers w:val="0"/>
    </w:pPr>
  </w:style>
  <w:style w:type="paragraph" w:styleId="848" w:customStyle="1">
    <w:name w:val="Заголовок 91"/>
    <w:qFormat/>
    <w:uiPriority w:val="9"/>
    <w:rPr>
      <w:rFonts w:ascii="Times New Roman" w:hAnsi="Times New Roman" w:cs="Times New Roman" w:eastAsia="Times New Roman"/>
      <w:b w:val="false"/>
      <w:bCs w:val="false"/>
      <w:i/>
      <w:iCs/>
      <w:caps w:val="false"/>
      <w:smallCaps w:val="false"/>
      <w:strike w:val="false"/>
      <w:vanish w:val="false"/>
      <w:color w:val="404040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numPr>
        <w:ilvl w:val="8"/>
        <w:numId w:val="2"/>
      </w:numPr>
      <w:contextualSpacing w:val="false"/>
      <w:ind w:left="0" w:right="0" w:firstLine="0"/>
      <w:jc w:val="left"/>
      <w:keepLines/>
      <w:keepNext/>
      <w:pageBreakBefore w:val="false"/>
      <w:spacing w:lineRule="auto" w:line="240" w:after="0" w:afterAutospacing="0" w:before="200" w:beforeAutospacing="0"/>
      <w:shd w:val="nil" w:color="000000"/>
      <w:widowControl/>
      <w:tabs>
        <w:tab w:val="num" w:pos="0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2026-05-25T07:15:11Z</dcterms:modified>
</cp:coreProperties>
</file>