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Начальная (максимальная) цена государственного контракта,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40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обоснование начальной максимальной цены государственного контракта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40"/>
        <w:ind w:firstLine="709"/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tbl>
      <w:tblPr>
        <w:tblW w:w="4795" w:type="pct"/>
        <w:tblInd w:w="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5082"/>
        <w:gridCol w:w="10651"/>
      </w:tblGrid>
      <w:tr>
        <w:trPr>
          <w:trHeight w:val="43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6"/>
              <w:ind w:left="57" w:right="57" w:hanging="57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объекта закупки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rPr>
                <w:rFonts w:ascii="PT Astra Serif" w:hAnsi="PT Astra Serif" w:cs="PT Astra Serif"/>
                <w:b w:val="0"/>
                <w:bCs w:val="0"/>
                <w:i w:val="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white"/>
              </w:rPr>
              <w:t xml:space="preserve">Оказание услуг перевозки (транспортировки) грузов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z w:val="22"/>
                <w:szCs w:val="22"/>
                <w:highlight w:val="white"/>
              </w:rPr>
            </w:r>
          </w:p>
        </w:tc>
      </w:tr>
      <w:tr>
        <w:trPr>
          <w:trHeight w:val="84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6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 xml:space="preserve">Используемый метод определения НМЦК с обоснованием: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6"/>
              <w:ind w:left="57" w:firstLine="11"/>
            </w:pPr>
            <w:r>
              <w:t xml:space="preserve">Метод сопоставимых рыночных цен (анализ рынка) на основании информации, содержащейся в коммерческих предложениях</w:t>
            </w:r>
            <w:r>
              <w:t xml:space="preserve"> и общедоступных результатах изучения рынка</w:t>
            </w:r>
          </w:p>
        </w:tc>
      </w:tr>
      <w:tr>
        <w:trPr>
          <w:trHeight w:val="381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6"/>
              <w:ind w:left="57" w:right="57" w:hanging="57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36"/>
              <w:ind w:left="57" w:right="57" w:hanging="57"/>
              <w:rPr>
                <w:b/>
                <w:bCs/>
              </w:rPr>
            </w:pPr>
            <w:r>
              <w:rPr>
                <w:b/>
                <w:bCs/>
              </w:rPr>
              <w:t xml:space="preserve">Расчет НМЦК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6"/>
              <w:spacing w:line="276" w:lineRule="auto"/>
              <w:jc w:val="both"/>
              <w:rPr>
                <w:highlight w:val="none"/>
              </w:rPr>
            </w:pPr>
            <w:r>
              <w:t xml:space="preserve">   </w:t>
            </w:r>
            <w:r>
              <w:t xml:space="preserve">Для определения НМЦК Заказчиком использован метод </w:t>
            </w:r>
            <w:r>
              <w:t xml:space="preserve">сопоставимых рыночных цен (</w:t>
            </w:r>
            <w:r>
              <w:t xml:space="preserve">ст</w:t>
            </w:r>
            <w:r>
              <w:t xml:space="preserve">.22 Федераль</w:t>
            </w:r>
            <w:r>
              <w:t xml:space="preserve">ного закона от 05.04.2013 № 44-ФЗ «О контрактной системе в сфере закупок товаров, работ, услуг для обеспечения государственных и муниципальных нужд»). Расчет НМЦК произведен с учетом методических рекомендаций, утвержденных Приказом Минэкономразвития РФ от </w:t>
            </w:r>
            <w:r>
              <w:t xml:space="preserve">0</w:t>
            </w:r>
            <w:r>
              <w:t xml:space="preserve">2</w:t>
            </w:r>
            <w:r>
              <w:t xml:space="preserve">.</w:t>
            </w:r>
            <w:r>
              <w:t xml:space="preserve">10</w:t>
            </w:r>
            <w:r>
              <w:t xml:space="preserve">.</w:t>
            </w:r>
            <w:r>
              <w:t xml:space="preserve">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</w:t>
            </w:r>
            <w:r>
              <w:rPr>
                <w:highlight w:val="none"/>
              </w:rPr>
            </w:r>
          </w:p>
          <w:p>
            <w:pPr>
              <w:pStyle w:val="836"/>
              <w:spacing w:line="276" w:lineRule="auto"/>
              <w:ind w:right="151" w:firstLine="334"/>
              <w:jc w:val="both"/>
            </w:pPr>
            <w:r>
              <w:t xml:space="preserve">В соответствии с пп. 3.7.1 части </w:t>
            </w:r>
            <w:r>
              <w:rPr>
                <w:lang w:val="en-US"/>
              </w:rPr>
              <w:t xml:space="preserve">III</w:t>
            </w:r>
            <w:r>
              <w:t xml:space="preserve"> Методических рекомендаций направлены запросы о предоставлении ценовой информации пяти </w:t>
            </w:r>
            <w:r>
              <w:t xml:space="preserve">поставщикам, обладающих опытом оказания подобных услуг. В результате, получен ответ, содержащий запрашиваемую информацию, от одного</w:t>
            </w:r>
            <w:r>
              <w:t xml:space="preserve"> поставщика. Дополнительно использована информация из общедоступных источников ценовой информации (информация с сайта).</w:t>
            </w:r>
          </w:p>
          <w:p>
            <w:pPr>
              <w:pStyle w:val="836"/>
              <w:spacing w:line="276" w:lineRule="auto"/>
              <w:jc w:val="both"/>
            </w:pPr>
            <w:r>
              <w:t xml:space="preserve">   Начальная (максимальная) цена контракта, полученная расчётным путём как среднеарифметическое, на основании имеющихся коммерческих предложений составляет 10 062,60,</w:t>
            </w:r>
            <w:r>
              <w:t xml:space="preserve"> </w:t>
            </w:r>
            <w:r>
              <w:t xml:space="preserve">руб. </w:t>
            </w:r>
          </w:p>
          <w:p>
            <w:pPr>
              <w:pStyle w:val="836"/>
              <w:spacing w:line="276" w:lineRule="auto"/>
              <w:jc w:val="both"/>
              <w:rPr>
                <w:b/>
              </w:rPr>
            </w:pPr>
            <w:r>
              <w:t xml:space="preserve">   </w:t>
            </w:r>
            <w:r>
              <w:t xml:space="preserve">В резуль</w:t>
            </w:r>
            <w:r>
              <w:t xml:space="preserve">тате проведенного анализа всей имеющейся информации принято решение: в целях экономии бюджетных средств на 202</w:t>
            </w:r>
            <w:r>
              <w:t xml:space="preserve">6 год объявить начальную (максимальную) цену контракта по минимально предлагаемой цене, то есть          </w:t>
            </w:r>
            <w:r>
              <w:rPr>
                <w:b/>
                <w:bCs/>
              </w:rPr>
              <w:t xml:space="preserve">9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195,20 </w:t>
            </w:r>
            <w:r>
              <w:rPr>
                <w:b/>
              </w:rPr>
              <w:t xml:space="preserve">руб.</w:t>
            </w: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6"/>
              <w:spacing w:line="276" w:lineRule="auto"/>
              <w:ind w:right="-28"/>
              <w:jc w:val="both"/>
            </w:pPr>
            <w:r>
              <w:t xml:space="preserve">    Информация о валюте, используемой для формирования цены контракта и расчётов с поставщиком (подрядчиком, исполнителем): рубль российский</w:t>
            </w:r>
          </w:p>
          <w:p>
            <w:pPr>
              <w:pStyle w:val="836"/>
              <w:spacing w:line="276" w:lineRule="auto"/>
              <w:ind w:right="-28"/>
              <w:jc w:val="both"/>
            </w:pPr>
            <w:r>
              <w:t xml:space="preserve">    Расчёт представлен ниже.</w:t>
            </w:r>
          </w:p>
        </w:tc>
      </w:tr>
      <w:tr>
        <w:trPr>
          <w:trHeight w:val="54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6"/>
              <w:ind w:left="57" w:right="-28" w:firstLine="11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</w:p>
          <w:p>
            <w:pPr>
              <w:pStyle w:val="836"/>
              <w:ind w:left="57" w:right="-28" w:firstLine="11"/>
              <w:rPr>
                <w:b/>
              </w:rPr>
            </w:pPr>
            <w:r>
              <w:rPr>
                <w:b/>
              </w:rPr>
              <w:t xml:space="preserve">Дата подготовки обоснования: 17.07.2026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836"/>
        <w:tabs>
          <w:tab w:val="left" w:pos="1232" w:leader="none"/>
        </w:tabs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36"/>
      </w:pPr>
    </w:p>
    <w:tbl>
      <w:tblPr>
        <w:tblW w:w="4792" w:type="pct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00"/>
        <w:gridCol w:w="1612"/>
        <w:gridCol w:w="3073"/>
        <w:gridCol w:w="1606"/>
        <w:gridCol w:w="806"/>
        <w:gridCol w:w="1716"/>
        <w:gridCol w:w="1701"/>
        <w:gridCol w:w="1454"/>
        <w:gridCol w:w="1454"/>
        <w:gridCol w:w="1684"/>
        <w:gridCol w:w="1826"/>
      </w:tblGrid>
      <w:tr>
        <w:trPr>
          <w:trHeight w:val="4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0" w:type="dxa"/>
            <w:vMerge w:val="restart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№ п/п</w:t>
            </w:r>
          </w:p>
        </w:tc>
        <w:tc>
          <w:tcPr>
            <w:tcW w:w="1612" w:type="dxa"/>
            <w:vMerge w:val="restart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Наименование</w:t>
            </w:r>
            <w:r>
              <w:t xml:space="preserve"> </w:t>
            </w:r>
            <w:r>
              <w:t xml:space="preserve">услуги</w:t>
            </w:r>
          </w:p>
        </w:tc>
        <w:tc>
          <w:tcPr>
            <w:tcW w:w="3073" w:type="dxa"/>
            <w:vMerge w:val="restart"/>
            <w:noWrap w:val="false"/>
            <w:textDirection w:val="lrTb"/>
            <w:vAlign w:val="top"/>
          </w:tcPr>
          <w:p>
            <w:pPr>
              <w:pStyle w:val="836"/>
              <w:jc w:val="center"/>
            </w:pPr>
            <w:r>
              <w:t xml:space="preserve">Характеристика перевозимого груза</w:t>
            </w:r>
          </w:p>
        </w:tc>
        <w:tc>
          <w:tcPr>
            <w:tcW w:w="1606" w:type="dxa"/>
            <w:vMerge w:val="restart"/>
            <w:noWrap w:val="false"/>
            <w:textDirection w:val="lrTb"/>
            <w:vAlign w:val="top"/>
          </w:tcPr>
          <w:p>
            <w:pPr>
              <w:pStyle w:val="836"/>
              <w:jc w:val="center"/>
            </w:pPr>
            <w:r>
              <w:t xml:space="preserve">Характеристика перевозимого груза</w:t>
            </w:r>
          </w:p>
        </w:tc>
        <w:tc>
          <w:tcPr>
            <w:tcW w:w="806" w:type="dxa"/>
            <w:vMerge w:val="restart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Кол-во</w:t>
            </w:r>
          </w:p>
          <w:p>
            <w:pPr>
              <w:pStyle w:val="836"/>
              <w:jc w:val="center"/>
            </w:pPr>
          </w:p>
        </w:tc>
        <w:tc>
          <w:tcPr>
            <w:tcW w:w="3416" w:type="dxa"/>
            <w:gridSpan w:val="2"/>
            <w:noWrap w:val="false"/>
            <w:textDirection w:val="lrTb"/>
            <w:vAlign w:val="top"/>
          </w:tcPr>
          <w:p>
            <w:pPr>
              <w:pStyle w:val="836"/>
              <w:jc w:val="center"/>
              <w:rPr>
                <w:color w:val="000000"/>
                <w:lang w:eastAsia="ru-RU"/>
              </w:rPr>
            </w:pPr>
            <w:r>
              <w:t xml:space="preserve">Наименование источника информации</w:t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  <w:p>
            <w:pPr>
              <w:pStyle w:val="836"/>
              <w:jc w:val="center"/>
            </w:pPr>
          </w:p>
        </w:tc>
        <w:tc>
          <w:tcPr>
            <w:tcW w:w="1454" w:type="dxa"/>
            <w:vMerge w:val="restart"/>
            <w:noWrap w:val="false"/>
            <w:textDirection w:val="lrTb"/>
            <w:vAlign w:val="top"/>
          </w:tcPr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t xml:space="preserve">Средняя цена</w:t>
            </w:r>
            <w:r>
              <w:rPr>
                <w:highlight w:val="none"/>
              </w:rPr>
            </w:r>
          </w:p>
        </w:tc>
        <w:tc>
          <w:tcPr>
            <w:tcW w:w="1332" w:type="dxa"/>
            <w:vMerge w:val="restart"/>
            <w:noWrap w:val="false"/>
            <w:textDirection w:val="lrTb"/>
            <w:vAlign w:val="top"/>
          </w:tcPr>
          <w:p>
            <w:pPr>
              <w:jc w:val="center"/>
            </w:pPr>
            <w:r>
              <w:t xml:space="preserve">Среднее квадрати-</w:t>
            </w:r>
          </w:p>
          <w:p>
            <w:pPr>
              <w:jc w:val="center"/>
            </w:pPr>
            <w:r>
              <w:t xml:space="preserve">ческое отклонение</w:t>
            </w:r>
          </w:p>
        </w:tc>
        <w:tc>
          <w:tcPr>
            <w:tcW w:w="1684" w:type="dxa"/>
            <w:vMerge w:val="restart"/>
            <w:noWrap w:val="false"/>
            <w:textDirection w:val="lrTb"/>
            <w:vAlign w:val="top"/>
          </w:tcPr>
          <w:p>
            <w:pPr>
              <w:pStyle w:val="836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  <w:p>
            <w:pPr>
              <w:pStyle w:val="836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Коэффициент вариации</w:t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1826" w:type="dxa"/>
            <w:vMerge w:val="restart"/>
            <w:noWrap w:val="false"/>
            <w:textDirection w:val="lrTb"/>
            <w:vAlign w:val="center"/>
          </w:tcPr>
          <w:p>
            <w:pPr>
              <w:pStyle w:val="836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 xml:space="preserve">Начальная (максимальная) цена (руб)</w:t>
            </w:r>
            <w:r>
              <w:rPr>
                <w:b/>
                <w:color w:val="000000"/>
                <w:lang w:eastAsia="ru-RU"/>
              </w:rPr>
            </w:r>
            <w:r>
              <w:rPr>
                <w:b/>
                <w:color w:val="000000"/>
                <w:lang w:eastAsia="ru-RU"/>
              </w:rPr>
            </w:r>
          </w:p>
        </w:tc>
      </w:tr>
      <w:tr>
        <w:trPr>
          <w:trHeight w:val="84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0" w:type="dxa"/>
            <w:vMerge w:val="continue"/>
            <w:noWrap w:val="false"/>
            <w:textDirection w:val="lrTb"/>
            <w:vAlign w:val="center"/>
          </w:tcPr>
          <w:p>
            <w:pPr>
              <w:pStyle w:val="8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612" w:type="dxa"/>
            <w:vMerge w:val="continue"/>
            <w:noWrap w:val="false"/>
            <w:textDirection w:val="lrTb"/>
            <w:vAlign w:val="top"/>
          </w:tcPr>
          <w:p>
            <w:pPr>
              <w:pStyle w:val="8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3073" w:type="dxa"/>
            <w:vMerge w:val="continue"/>
            <w:noWrap w:val="false"/>
            <w:textDirection w:val="lrTb"/>
            <w:vAlign w:val="center"/>
          </w:tcPr>
          <w:p>
            <w:pPr>
              <w:pStyle w:val="8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606" w:type="dxa"/>
            <w:vMerge w:val="continue"/>
            <w:noWrap w:val="false"/>
            <w:textDirection w:val="lrTb"/>
            <w:vAlign w:val="center"/>
          </w:tcPr>
          <w:p>
            <w:pPr>
              <w:pStyle w:val="8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noWrap w:val="false"/>
            <w:textDirection w:val="lrTb"/>
            <w:vAlign w:val="center"/>
          </w:tcPr>
          <w:p>
            <w:pPr>
              <w:pStyle w:val="8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716" w:type="dxa"/>
            <w:noWrap w:val="false"/>
            <w:textDirection w:val="lrTb"/>
            <w:vAlign w:val="top"/>
          </w:tcPr>
          <w:p>
            <w:pPr>
              <w:pStyle w:val="836"/>
              <w:jc w:val="center"/>
            </w:pPr>
            <w:r>
              <w:t xml:space="preserve">Коммерческое предложение №1</w:t>
            </w:r>
            <w:r>
              <w:t xml:space="preserve">, руб.</w:t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36"/>
              <w:jc w:val="center"/>
            </w:pPr>
            <w:r>
              <w:t xml:space="preserve">Информация с интернет-сайта, руб.</w:t>
            </w:r>
          </w:p>
        </w:tc>
        <w:tc>
          <w:tcPr>
            <w:tcW w:w="1454" w:type="dxa"/>
            <w:vMerge w:val="continue"/>
            <w:noWrap w:val="false"/>
            <w:textDirection w:val="lrTb"/>
            <w:vAlign w:val="top"/>
          </w:tcPr>
          <w:p/>
        </w:tc>
        <w:tc>
          <w:tcPr>
            <w:tcW w:w="1454" w:type="dxa"/>
            <w:vMerge w:val="continue"/>
            <w:noWrap w:val="false"/>
            <w:textDirection w:val="lrTb"/>
            <w:vAlign w:val="top"/>
          </w:tcPr>
          <w:p/>
        </w:tc>
        <w:tc>
          <w:tcPr>
            <w:tcW w:w="1684" w:type="dxa"/>
            <w:vMerge w:val="continue"/>
            <w:noWrap w:val="false"/>
            <w:textDirection w:val="lrTb"/>
            <w:vAlign w:val="top"/>
          </w:tcPr>
          <w:p>
            <w:pPr>
              <w:pStyle w:val="836"/>
              <w:jc w:val="center"/>
            </w:pPr>
          </w:p>
        </w:tc>
        <w:tc>
          <w:tcPr>
            <w:tcW w:w="1826" w:type="dxa"/>
            <w:vMerge w:val="continue"/>
            <w:noWrap w:val="false"/>
            <w:textDirection w:val="lrTb"/>
            <w:vAlign w:val="top"/>
          </w:tcPr>
          <w:p>
            <w:pPr>
              <w:pStyle w:val="836"/>
              <w:jc w:val="center"/>
            </w:pPr>
          </w:p>
        </w:tc>
      </w:tr>
      <w:tr>
        <w:trPr>
          <w:trHeight w:val="170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0" w:type="dxa"/>
            <w:noWrap w:val="false"/>
            <w:textDirection w:val="lrTb"/>
            <w:vAlign w:val="top"/>
          </w:tcPr>
          <w:p>
            <w:pPr>
              <w:pStyle w:val="836"/>
            </w:pPr>
          </w:p>
          <w:p>
            <w:pPr>
              <w:pStyle w:val="836"/>
            </w:pPr>
          </w:p>
          <w:p>
            <w:pPr>
              <w:pStyle w:val="836"/>
            </w:pPr>
            <w:r>
              <w:t xml:space="preserve">1</w:t>
            </w:r>
          </w:p>
          <w:p>
            <w:pPr>
              <w:pStyle w:val="836"/>
            </w:pPr>
          </w:p>
          <w:p>
            <w:pPr>
              <w:pStyle w:val="836"/>
            </w:pPr>
          </w:p>
        </w:tc>
        <w:tc>
          <w:tcPr>
            <w:tcW w:w="1612" w:type="dxa"/>
            <w:tcBorders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rFonts w:ascii="PT Astra Serif" w:hAnsi="PT Astra Serif" w:cs="PT Astra Serif"/>
                <w:b w:val="0"/>
                <w:bCs w:val="0"/>
                <w:i w:val="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white"/>
              </w:rPr>
              <w:t xml:space="preserve">Оказание услуг перевозки (транспортировки) грузов </w:t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z w:val="22"/>
                <w:szCs w:val="22"/>
                <w:highlight w:val="white"/>
              </w:rPr>
            </w:r>
          </w:p>
        </w:tc>
        <w:tc>
          <w:tcPr>
            <w:tcW w:w="3073" w:type="dxa"/>
            <w:tcBorders>
              <w:left w:val="single" w:color="000000" w:sz="4" w:space="0"/>
            </w:tcBorders>
            <w:noWrap w:val="false"/>
            <w:textDirection w:val="lrTb"/>
            <w:vAlign w:val="top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Адрес отправления: </w:t>
            </w:r>
            <w:r>
              <w:rPr>
                <w:b w:val="0"/>
                <w:bCs w:val="0"/>
                <w:sz w:val="24"/>
                <w:szCs w:val="24"/>
              </w:rPr>
              <w:t xml:space="preserve">г. Великий Новгород, ул. Октябрьская д.17</w:t>
            </w:r>
            <w:r>
              <w:rPr>
                <w:sz w:val="24"/>
                <w:szCs w:val="24"/>
              </w:rPr>
              <w:t xml:space="preserve">(Управление Росреестра по Новгородской области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Адрес назначения:</w:t>
            </w: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 г. Омск, ул.Орджоникидзе, д.56 (</w:t>
            </w:r>
            <w:r>
              <w:rPr>
                <w:sz w:val="24"/>
                <w:szCs w:val="24"/>
              </w:rPr>
              <w:t xml:space="preserve">Управление Росреестра по Омской области</w:t>
            </w:r>
            <w:r>
              <w:rPr>
                <w:sz w:val="24"/>
                <w:szCs w:val="24"/>
              </w:rPr>
              <w:t xml:space="preserve">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/>
        </w:tc>
        <w:tc>
          <w:tcPr>
            <w:tcW w:w="1606" w:type="dxa"/>
            <w:tcBorders>
              <w:lef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6"/>
              <w:tabs>
                <w:tab w:val="center" w:pos="4703" w:leader="none"/>
                <w:tab w:val="right" w:pos="9406" w:leader="none"/>
              </w:tabs>
              <w:jc w:val="center"/>
            </w:pPr>
          </w:p>
          <w:p>
            <w:pPr>
              <w:pStyle w:val="836"/>
              <w:tabs>
                <w:tab w:val="center" w:pos="4703" w:leader="none"/>
                <w:tab w:val="right" w:pos="9406" w:leader="none"/>
              </w:tabs>
              <w:jc w:val="center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3 места, общий вес 85 кг, объем 0,168 м</w:t>
            </w:r>
            <w:r>
              <w:rPr>
                <w:b w:val="0"/>
                <w:bCs w:val="0"/>
                <w:sz w:val="24"/>
                <w:szCs w:val="24"/>
                <w:highlight w:val="none"/>
                <w:vertAlign w:val="superscript"/>
              </w:rPr>
              <w:t xml:space="preserve">3</w:t>
            </w:r>
          </w:p>
        </w:tc>
        <w:tc>
          <w:tcPr>
            <w:tcW w:w="806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1 усл. ед.</w:t>
            </w:r>
          </w:p>
        </w:tc>
        <w:tc>
          <w:tcPr>
            <w:tcW w:w="1716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9 195,20</w:t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12 010,00</w:t>
            </w:r>
          </w:p>
        </w:tc>
        <w:tc>
          <w:tcPr>
            <w:tcW w:w="1454" w:type="dxa"/>
            <w:noWrap w:val="false"/>
            <w:textDirection w:val="lrTb"/>
            <w:vAlign w:val="top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jc w:val="center"/>
            </w:pPr>
            <w:r>
              <w:t xml:space="preserve">10 062,60</w:t>
            </w:r>
          </w:p>
        </w:tc>
        <w:tc>
          <w:tcPr>
            <w:tcW w:w="1454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t xml:space="preserve">1407,5</w:t>
            </w:r>
          </w:p>
        </w:tc>
        <w:tc>
          <w:tcPr>
            <w:tcW w:w="1684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13,28</w:t>
            </w:r>
          </w:p>
        </w:tc>
        <w:tc>
          <w:tcPr>
            <w:tcW w:w="1826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  <w:rPr>
                <w:b/>
              </w:rPr>
            </w:pPr>
            <w:r>
              <w:rPr>
                <w:b/>
              </w:rPr>
              <w:t xml:space="preserve">9 195,20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836"/>
      </w:pPr>
    </w:p>
    <w:p>
      <w:pPr>
        <w:pStyle w:val="836"/>
        <w:tabs>
          <w:tab w:val="left" w:pos="2659" w:leader="none"/>
        </w:tabs>
      </w:pPr>
      <w:r>
        <w:tab/>
      </w:r>
    </w:p>
    <w:tbl>
      <w:tblPr>
        <w:tblW w:w="0" w:type="auto"/>
        <w:tblInd w:w="69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49"/>
      </w:tblGrid>
      <w:tr>
        <w:trPr/>
        <w:tblPrEx/>
        <w:tc>
          <w:tcPr>
            <w:tcW w:w="464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center"/>
          </w:tcPr>
          <w:p>
            <w:pPr>
              <w:pStyle w:val="836"/>
              <w:rPr>
                <w:b/>
              </w:rPr>
            </w:pPr>
            <w:r>
              <w:rPr>
                <w:b/>
              </w:rPr>
              <w:t xml:space="preserve">Работник контрактной службы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6"/>
              <w:jc w:val="center"/>
            </w:pPr>
            <w:r>
              <w:t xml:space="preserve">Зам. начальника ФЭО</w:t>
            </w:r>
          </w:p>
        </w:tc>
      </w:tr>
      <w:tr>
        <w:trPr/>
        <w:tblPrEx/>
        <w:tc>
          <w:tcPr>
            <w:tcW w:w="464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(должность)</w:t>
            </w:r>
          </w:p>
        </w:tc>
      </w:tr>
    </w:tbl>
    <w:p>
      <w:pPr>
        <w:pStyle w:val="836"/>
      </w:pPr>
    </w:p>
    <w:tbl>
      <w:tblPr>
        <w:tblW w:w="0" w:type="auto"/>
        <w:tblInd w:w="63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98"/>
        <w:gridCol w:w="170"/>
        <w:gridCol w:w="1617"/>
        <w:gridCol w:w="397"/>
        <w:gridCol w:w="369"/>
        <w:gridCol w:w="225"/>
        <w:gridCol w:w="172"/>
        <w:gridCol w:w="681"/>
      </w:tblGrid>
      <w:tr>
        <w:trPr>
          <w:gridAfter w:val="1"/>
        </w:trPr>
        <w:tblPrEx/>
        <w:tc>
          <w:tcPr>
            <w:tcW w:w="1020" w:type="dxa"/>
            <w:gridSpan w:val="4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</w:p>
        </w:tc>
        <w:tc>
          <w:tcPr>
            <w:tcW w:w="170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/</w:t>
            </w:r>
          </w:p>
        </w:tc>
        <w:tc>
          <w:tcPr>
            <w:tcW w:w="2608" w:type="dxa"/>
            <w:gridSpan w:val="4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Н.А.Максимова</w:t>
            </w:r>
            <w:r>
              <w:t xml:space="preserve"> </w:t>
            </w:r>
          </w:p>
        </w:tc>
        <w:tc>
          <w:tcPr>
            <w:tcW w:w="172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/</w:t>
            </w:r>
          </w:p>
        </w:tc>
      </w:tr>
      <w:tr>
        <w:trPr/>
        <w:tblPrEx/>
        <w:tc>
          <w:tcPr>
            <w:tcW w:w="4651" w:type="dxa"/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(подпись/расшифровка подписи)</w:t>
            </w:r>
          </w:p>
        </w:tc>
      </w:tr>
      <w:tr>
        <w:trPr>
          <w:gridAfter w:val="1"/>
        </w:trPr>
        <w:tblPrEx/>
        <w:tc>
          <w:tcPr>
            <w:tcW w:w="170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</w:p>
        </w:tc>
        <w:tc>
          <w:tcPr>
            <w:tcW w:w="39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</w:p>
        </w:tc>
        <w:tc>
          <w:tcPr>
            <w:tcW w:w="255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</w:p>
        </w:tc>
        <w:tc>
          <w:tcPr>
            <w:tcW w:w="1985" w:type="dxa"/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  <w:r>
              <w:t xml:space="preserve">943-0</w:t>
            </w:r>
            <w:r>
              <w:t xml:space="preserve">61</w:t>
            </w:r>
          </w:p>
        </w:tc>
        <w:tc>
          <w:tcPr>
            <w:tcW w:w="397" w:type="dxa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</w:p>
        </w:tc>
        <w:tc>
          <w:tcPr>
            <w:tcW w:w="36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</w:p>
        </w:tc>
        <w:tc>
          <w:tcPr>
            <w:tcW w:w="397" w:type="dxa"/>
            <w:gridSpan w:val="2"/>
            <w:noWrap w:val="false"/>
            <w:textDirection w:val="lrTb"/>
            <w:vAlign w:val="center"/>
          </w:tcPr>
          <w:p>
            <w:pPr>
              <w:pStyle w:val="836"/>
              <w:jc w:val="center"/>
            </w:pPr>
          </w:p>
        </w:tc>
      </w:tr>
    </w:tbl>
    <w:sectPr>
      <w:footnotePr/>
      <w:endnotePr/>
      <w:type w:val="nextPage"/>
      <w:pgSz w:w="16838" w:h="11906" w:orient="landscape"/>
      <w:pgMar w:top="899" w:right="204" w:bottom="539" w:left="28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Verdana">
    <w:panose1 w:val="020B0604030504040204"/>
  </w:font>
  <w:font w:name="Calibri">
    <w:panose1 w:val="020F050202020403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ind w:left="720"/>
      <w:contextualSpacing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spacing w:after="57"/>
      <w:ind w:left="0" w:right="0" w:firstLine="0"/>
    </w:pPr>
  </w:style>
  <w:style w:type="paragraph" w:styleId="826">
    <w:name w:val="toc 2"/>
    <w:basedOn w:val="836"/>
    <w:next w:val="836"/>
    <w:uiPriority w:val="39"/>
    <w:unhideWhenUsed/>
    <w:pPr>
      <w:spacing w:after="57"/>
      <w:ind w:left="283" w:right="0" w:firstLine="0"/>
    </w:pPr>
  </w:style>
  <w:style w:type="paragraph" w:styleId="827">
    <w:name w:val="toc 3"/>
    <w:basedOn w:val="836"/>
    <w:next w:val="836"/>
    <w:uiPriority w:val="39"/>
    <w:unhideWhenUsed/>
    <w:pPr>
      <w:spacing w:after="57"/>
      <w:ind w:left="567" w:right="0" w:firstLine="0"/>
    </w:pPr>
  </w:style>
  <w:style w:type="paragraph" w:styleId="828">
    <w:name w:val="toc 4"/>
    <w:basedOn w:val="836"/>
    <w:next w:val="836"/>
    <w:uiPriority w:val="39"/>
    <w:unhideWhenUsed/>
    <w:pPr>
      <w:spacing w:after="57"/>
      <w:ind w:left="850" w:right="0" w:firstLine="0"/>
    </w:pPr>
  </w:style>
  <w:style w:type="paragraph" w:styleId="829">
    <w:name w:val="toc 5"/>
    <w:basedOn w:val="836"/>
    <w:next w:val="836"/>
    <w:uiPriority w:val="39"/>
    <w:unhideWhenUsed/>
    <w:pPr>
      <w:spacing w:after="57"/>
      <w:ind w:left="1134" w:right="0" w:firstLine="0"/>
    </w:pPr>
  </w:style>
  <w:style w:type="paragraph" w:styleId="830">
    <w:name w:val="toc 6"/>
    <w:basedOn w:val="836"/>
    <w:next w:val="836"/>
    <w:uiPriority w:val="39"/>
    <w:unhideWhenUsed/>
    <w:pPr>
      <w:spacing w:after="57"/>
      <w:ind w:left="1417" w:right="0" w:firstLine="0"/>
    </w:pPr>
  </w:style>
  <w:style w:type="paragraph" w:styleId="831">
    <w:name w:val="toc 7"/>
    <w:basedOn w:val="836"/>
    <w:next w:val="836"/>
    <w:uiPriority w:val="39"/>
    <w:unhideWhenUsed/>
    <w:pPr>
      <w:spacing w:after="57"/>
      <w:ind w:left="1701" w:right="0" w:firstLine="0"/>
    </w:pPr>
  </w:style>
  <w:style w:type="paragraph" w:styleId="832">
    <w:name w:val="toc 8"/>
    <w:basedOn w:val="836"/>
    <w:next w:val="836"/>
    <w:uiPriority w:val="39"/>
    <w:unhideWhenUsed/>
    <w:pPr>
      <w:spacing w:after="57"/>
      <w:ind w:left="1984" w:right="0" w:firstLine="0"/>
    </w:pPr>
  </w:style>
  <w:style w:type="paragraph" w:styleId="833">
    <w:name w:val="toc 9"/>
    <w:basedOn w:val="836"/>
    <w:next w:val="836"/>
    <w:uiPriority w:val="39"/>
    <w:unhideWhenUsed/>
    <w:pPr>
      <w:spacing w:after="57"/>
      <w:ind w:left="2268" w:right="0" w:firstLine="0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next w:val="836"/>
    <w:link w:val="836"/>
    <w:qFormat/>
    <w:rPr>
      <w:lang w:val="ru-RU" w:eastAsia="ar-SA" w:bidi="ar-SA"/>
    </w:rPr>
  </w:style>
  <w:style w:type="character" w:styleId="837">
    <w:name w:val="Основной шрифт абзаца"/>
    <w:next w:val="837"/>
    <w:link w:val="836"/>
    <w:semiHidden/>
  </w:style>
  <w:style w:type="table" w:styleId="838">
    <w:name w:val="Обычная таблица"/>
    <w:next w:val="838"/>
    <w:link w:val="836"/>
    <w:semiHidden/>
    <w:tblPr/>
  </w:style>
  <w:style w:type="numbering" w:styleId="839">
    <w:name w:val="Нет списка"/>
    <w:next w:val="839"/>
    <w:link w:val="836"/>
    <w:semiHidden/>
  </w:style>
  <w:style w:type="paragraph" w:styleId="840">
    <w:name w:val="Normal1"/>
    <w:next w:val="840"/>
    <w:link w:val="836"/>
    <w:rPr>
      <w:sz w:val="24"/>
      <w:lang w:val="ru-RU" w:eastAsia="ar-SA" w:bidi="ar-SA"/>
    </w:rPr>
  </w:style>
  <w:style w:type="paragraph" w:styleId="841">
    <w:name w:val="Текст выноски"/>
    <w:basedOn w:val="836"/>
    <w:next w:val="841"/>
    <w:link w:val="836"/>
    <w:semiHidden/>
    <w:rPr>
      <w:rFonts w:ascii="Tahoma" w:hAnsi="Tahoma" w:cs="Tahoma"/>
      <w:sz w:val="16"/>
      <w:szCs w:val="16"/>
    </w:rPr>
  </w:style>
  <w:style w:type="table" w:styleId="842">
    <w:name w:val="Сетка таблицы"/>
    <w:basedOn w:val="838"/>
    <w:next w:val="842"/>
    <w:link w:val="836"/>
    <w:tblPr/>
  </w:style>
  <w:style w:type="paragraph" w:styleId="843">
    <w:name w:val="ConsNormal"/>
    <w:next w:val="843"/>
    <w:link w:val="844"/>
    <w:pPr>
      <w:ind w:right="19772" w:firstLine="720"/>
    </w:pPr>
    <w:rPr>
      <w:rFonts w:ascii="Arial" w:hAnsi="Arial" w:eastAsia="Calibri" w:cs="Arial"/>
      <w:sz w:val="22"/>
      <w:szCs w:val="22"/>
      <w:lang w:val="ru-RU" w:eastAsia="ru-RU" w:bidi="ar-SA"/>
    </w:rPr>
  </w:style>
  <w:style w:type="character" w:styleId="844">
    <w:name w:val="ConsNormal Знак"/>
    <w:next w:val="844"/>
    <w:link w:val="843"/>
    <w:rPr>
      <w:rFonts w:ascii="Arial" w:hAnsi="Arial" w:eastAsia="Calibri" w:cs="Arial"/>
      <w:sz w:val="22"/>
      <w:szCs w:val="22"/>
      <w:lang w:val="ru-RU" w:eastAsia="ru-RU" w:bidi="ar-SA"/>
    </w:rPr>
  </w:style>
  <w:style w:type="paragraph" w:styleId="845">
    <w:name w:val=" Знак Знак Знак Знак"/>
    <w:basedOn w:val="836"/>
    <w:next w:val="845"/>
    <w:link w:val="836"/>
    <w:rPr>
      <w:rFonts w:ascii="Verdana" w:hAnsi="Verdana" w:cs="Verdana"/>
      <w:lang w:val="en-US" w:eastAsia="en-US"/>
    </w:rPr>
  </w:style>
  <w:style w:type="paragraph" w:styleId="846">
    <w:name w:val="Нижний колонтитул"/>
    <w:basedOn w:val="836"/>
    <w:next w:val="846"/>
    <w:link w:val="847"/>
    <w:semiHidden/>
    <w:unhideWhenUsed/>
    <w:pPr>
      <w:tabs>
        <w:tab w:val="center" w:pos="4677" w:leader="none"/>
        <w:tab w:val="right" w:pos="9355" w:leader="none"/>
      </w:tabs>
    </w:pPr>
    <w:rPr>
      <w:sz w:val="24"/>
      <w:szCs w:val="24"/>
      <w:lang w:eastAsia="ru-RU"/>
    </w:rPr>
  </w:style>
  <w:style w:type="character" w:styleId="847">
    <w:name w:val="Нижний колонтитул Знак"/>
    <w:next w:val="847"/>
    <w:link w:val="846"/>
    <w:semiHidden/>
    <w:rPr>
      <w:sz w:val="24"/>
      <w:szCs w:val="24"/>
      <w:lang w:val="ru-RU" w:eastAsia="ru-RU" w:bidi="ar-SA"/>
    </w:rPr>
  </w:style>
  <w:style w:type="character" w:styleId="848">
    <w:name w:val="Font Style52"/>
    <w:next w:val="848"/>
    <w:link w:val="836"/>
    <w:rPr>
      <w:rFonts w:ascii="Times New Roman" w:hAnsi="Times New Roman" w:cs="Times New Roman"/>
      <w:sz w:val="22"/>
      <w:szCs w:val="22"/>
    </w:rPr>
  </w:style>
  <w:style w:type="paragraph" w:styleId="849">
    <w:name w:val="ConsPlusNormal"/>
    <w:next w:val="849"/>
    <w:link w:val="836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paragraph" w:styleId="850">
    <w:name w:val=" Знак"/>
    <w:basedOn w:val="836"/>
    <w:next w:val="850"/>
    <w:link w:val="836"/>
    <w:rPr>
      <w:rFonts w:ascii="Verdana" w:hAnsi="Verdana" w:cs="Verdana"/>
      <w:lang w:val="en-US" w:eastAsia="en-US"/>
    </w:rPr>
  </w:style>
  <w:style w:type="paragraph" w:styleId="851">
    <w:name w:val="Основной текст"/>
    <w:basedOn w:val="836"/>
    <w:next w:val="851"/>
    <w:link w:val="852"/>
    <w:pPr>
      <w:jc w:val="both"/>
    </w:pPr>
    <w:rPr>
      <w:rFonts w:ascii="Courier New" w:hAnsi="Courier New" w:eastAsia="Calibri" w:cs="Courier New"/>
      <w:b/>
      <w:bCs/>
    </w:rPr>
  </w:style>
  <w:style w:type="character" w:styleId="852">
    <w:name w:val="Основной текст Знак"/>
    <w:next w:val="852"/>
    <w:link w:val="851"/>
    <w:semiHidden/>
    <w:rPr>
      <w:rFonts w:ascii="Courier New" w:hAnsi="Courier New" w:eastAsia="Calibri" w:cs="Courier New"/>
      <w:b/>
      <w:bCs/>
      <w:lang w:val="ru-RU" w:eastAsia="ar-SA" w:bidi="ar-SA"/>
    </w:rPr>
  </w:style>
  <w:style w:type="paragraph" w:styleId="853">
    <w:name w:val="ConsNonformat"/>
    <w:next w:val="853"/>
    <w:link w:val="836"/>
    <w:pPr>
      <w:ind w:right="19772"/>
    </w:pPr>
    <w:rPr>
      <w:rFonts w:ascii="Courier New" w:hAnsi="Courier New" w:eastAsia="Arial" w:cs="Courier New"/>
      <w:lang w:val="ru-RU" w:eastAsia="ar-SA" w:bidi="ar-SA"/>
    </w:rPr>
  </w:style>
  <w:style w:type="paragraph" w:styleId="854">
    <w:name w:val="Абзац списка,Bullet List,FooterText,numbered"/>
    <w:basedOn w:val="836"/>
    <w:next w:val="854"/>
    <w:link w:val="836"/>
    <w:uiPriority w:val="34"/>
    <w:qFormat/>
    <w:pPr>
      <w:spacing w:after="200" w:line="276" w:lineRule="auto"/>
      <w:ind w:left="720"/>
      <w:contextualSpacing/>
    </w:pPr>
    <w:rPr>
      <w:rFonts w:ascii="Calibri" w:hAnsi="Calibri" w:eastAsia="Times New Roman" w:cs="Times New Roman"/>
      <w:sz w:val="22"/>
      <w:szCs w:val="22"/>
      <w:lang w:eastAsia="ru-RU"/>
    </w:rPr>
  </w:style>
  <w:style w:type="character" w:styleId="855" w:default="1">
    <w:name w:val="Default Paragraph Font"/>
    <w:uiPriority w:val="1"/>
    <w:semiHidden/>
    <w:unhideWhenUsed/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(максимальная) цена государственного контракта,</dc:title>
  <dc:creator>NickOn</dc:creator>
  <cp:revision>66</cp:revision>
  <dcterms:created xsi:type="dcterms:W3CDTF">2015-10-29T11:09:00Z</dcterms:created>
  <dcterms:modified xsi:type="dcterms:W3CDTF">2026-07-21T11:09:57Z</dcterms:modified>
  <cp:version>983040</cp:version>
</cp:coreProperties>
</file>