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ind w:hanging="0" w:left="0"/>
        <w:rPr>
          <w:bCs w:val="false"/>
          <w:color w:val="auto"/>
          <w:spacing w:val="0"/>
          <w:szCs w:val="24"/>
        </w:rPr>
      </w:pPr>
      <w:r>
        <w:rPr>
          <w:b/>
          <w:szCs w:val="24"/>
        </w:rPr>
        <w:t>ДОГОВОР №</w:t>
      </w:r>
      <w:r>
        <w:rPr>
          <w:bCs w:val="false"/>
          <w:color w:val="auto"/>
          <w:spacing w:val="0"/>
          <w:szCs w:val="24"/>
        </w:rPr>
        <w:t xml:space="preserve"> ______</w:t>
      </w:r>
    </w:p>
    <w:p>
      <w:pPr>
        <w:pStyle w:val="Title"/>
        <w:widowControl w:val="false"/>
        <w:suppressAutoHyphens w:val="true"/>
        <w:bidi w:val="0"/>
        <w:spacing w:lineRule="auto" w:line="240"/>
        <w:ind w:hanging="0" w:left="0"/>
        <w:rPr>
          <w:rFonts w:ascii="Times New Roman" w:hAnsi="Times New Roman" w:eastAsia="Times New Roman" w:cs="Times New Roman"/>
          <w:b/>
          <w:bCs w:val="false"/>
          <w:color w:val="auto"/>
          <w:spacing w:val="0"/>
          <w:kern w:val="0"/>
          <w:sz w:val="24"/>
          <w:szCs w:val="24"/>
          <w:lang w:val="ru-RU" w:bidi="ar-SA"/>
        </w:rPr>
      </w:pPr>
      <w:r>
        <w:rPr>
          <w:rFonts w:eastAsia="Times New Roman" w:cs="Times New Roman"/>
          <w:b/>
          <w:bCs w:val="false"/>
          <w:color w:val="auto"/>
          <w:spacing w:val="0"/>
          <w:kern w:val="0"/>
          <w:sz w:val="24"/>
          <w:szCs w:val="24"/>
          <w:lang w:val="ru-RU" w:bidi="ar-SA"/>
        </w:rPr>
        <w:t>Поставка материальных запасов и инструментов необходимых для обеспечения эксплуатации зданий и сооружений</w:t>
      </w:r>
    </w:p>
    <w:p>
      <w:pPr>
        <w:pStyle w:val="Normal"/>
        <w:ind w:hanging="0" w:left="0"/>
        <w:rPr>
          <w:b/>
          <w:bCs w:val="false"/>
          <w:color w:val="auto"/>
          <w:spacing w:val="0"/>
          <w:szCs w:val="24"/>
        </w:rPr>
      </w:pPr>
      <w:r>
        <w:rPr>
          <w:b/>
          <w:bCs w:val="false"/>
          <w:color w:val="auto"/>
          <w:spacing w:val="0"/>
          <w:szCs w:val="24"/>
        </w:rPr>
      </w:r>
    </w:p>
    <w:p>
      <w:pPr>
        <w:pStyle w:val="Title"/>
        <w:ind w:hanging="0" w:left="0"/>
        <w:rPr>
          <w:b/>
          <w:bCs w:val="false"/>
          <w:color w:val="auto"/>
          <w:spacing w:val="0"/>
          <w:szCs w:val="24"/>
        </w:rPr>
      </w:pPr>
      <w:r>
        <w:rPr>
          <w:b/>
          <w:bCs w:val="false"/>
          <w:color w:val="auto"/>
          <w:spacing w:val="0"/>
          <w:szCs w:val="24"/>
        </w:rPr>
        <w:t xml:space="preserve">ИКЗ </w:t>
      </w:r>
      <w:r>
        <w:rPr>
          <w:rFonts w:eastAsia="Times New Roman" w:cs="Times New Roman"/>
          <w:b/>
          <w:bCs w:val="false"/>
          <w:color w:val="auto"/>
          <w:spacing w:val="0"/>
          <w:kern w:val="0"/>
          <w:sz w:val="24"/>
          <w:szCs w:val="24"/>
          <w:lang w:val="ru-RU" w:eastAsia="ru-RU" w:bidi="ar-SA"/>
        </w:rPr>
        <w:t>261370206414537020100100400300000000</w:t>
      </w:r>
    </w:p>
    <w:p>
      <w:pPr>
        <w:pStyle w:val="Title"/>
        <w:ind w:hanging="0" w:left="0"/>
        <w:rPr>
          <w:b/>
          <w:bCs w:val="false"/>
          <w:color w:val="auto"/>
          <w:spacing w:val="0"/>
          <w:szCs w:val="24"/>
        </w:rPr>
      </w:pPr>
      <w:r>
        <w:rPr>
          <w:b/>
          <w:bCs w:val="false"/>
          <w:color w:val="auto"/>
          <w:spacing w:val="0"/>
          <w:szCs w:val="24"/>
        </w:rPr>
        <w:t>КБК 321 0412 54 4 01 90020 244</w:t>
      </w:r>
    </w:p>
    <w:p>
      <w:pPr>
        <w:pStyle w:val="Title"/>
        <w:ind w:hanging="0" w:left="0"/>
        <w:rPr>
          <w:b/>
          <w:szCs w:val="24"/>
        </w:rPr>
      </w:pPr>
      <w:r>
        <w:rPr>
          <w:b/>
          <w:szCs w:val="24"/>
        </w:rPr>
      </w:r>
    </w:p>
    <w:p>
      <w:pPr>
        <w:pStyle w:val="Normal"/>
        <w:widowControl/>
        <w:tabs>
          <w:tab w:val="clear" w:pos="708"/>
          <w:tab w:val="left" w:pos="7938" w:leader="none"/>
        </w:tabs>
        <w:spacing w:before="120" w:after="120"/>
        <w:ind w:hanging="0"/>
        <w:rPr>
          <w:szCs w:val="24"/>
          <w:lang w:eastAsia="ru-RU"/>
        </w:rPr>
      </w:pPr>
      <w:r>
        <w:rPr>
          <w:szCs w:val="24"/>
          <w:lang w:eastAsia="ru-RU"/>
        </w:rPr>
        <w:t>г. Иваново                                                                                       «____» ____________ 2026 г.</w:t>
      </w:r>
    </w:p>
    <w:p>
      <w:pPr>
        <w:pStyle w:val="BodyText"/>
        <w:spacing w:before="0" w:after="0"/>
        <w:ind w:firstLine="709"/>
        <w:jc w:val="both"/>
        <w:rPr>
          <w:sz w:val="24"/>
          <w:szCs w:val="24"/>
        </w:rPr>
      </w:pPr>
      <w:r>
        <w:rPr>
          <w:b/>
          <w:sz w:val="24"/>
          <w:szCs w:val="24"/>
        </w:rPr>
        <w:t>Управление Федеральной службы государственной регистрации, кадастра и картографии по Ивановской области</w:t>
      </w:r>
      <w:r>
        <w:rPr>
          <w:sz w:val="24"/>
          <w:szCs w:val="24"/>
        </w:rPr>
        <w:t>, именуемое в дальнейшем «Заказчик», в лице _________</w:t>
      </w:r>
      <w:r>
        <w:rPr>
          <w:color w:val="000000"/>
          <w:spacing w:val="2"/>
          <w:sz w:val="24"/>
          <w:szCs w:val="24"/>
        </w:rPr>
        <w:t xml:space="preserve">, действующего на основании </w:t>
      </w:r>
      <w:r>
        <w:rPr>
          <w:sz w:val="24"/>
          <w:szCs w:val="24"/>
        </w:rPr>
        <w:t>_________, с одной стороны, и,</w:t>
      </w:r>
    </w:p>
    <w:p>
      <w:pPr>
        <w:pStyle w:val="BodyText"/>
        <w:spacing w:before="0" w:after="0"/>
        <w:ind w:firstLine="709"/>
        <w:jc w:val="both"/>
        <w:rPr>
          <w:sz w:val="24"/>
          <w:szCs w:val="24"/>
        </w:rPr>
      </w:pPr>
      <w:r>
        <w:rPr>
          <w:sz w:val="24"/>
          <w:szCs w:val="24"/>
        </w:rPr>
        <w:t>_________, именуемое в дальнейшем «Продавец», в лице _________, действующего на основании _________</w:t>
      </w:r>
      <w:r>
        <w:rPr>
          <w:b/>
          <w:sz w:val="24"/>
          <w:szCs w:val="24"/>
        </w:rPr>
        <w:t>,</w:t>
      </w:r>
      <w:r>
        <w:rPr>
          <w:sz w:val="24"/>
          <w:szCs w:val="24"/>
        </w:rPr>
        <w:t xml:space="preserve"> с другой стороны, </w:t>
      </w:r>
      <w:r>
        <w:rPr>
          <w:bCs/>
          <w:sz w:val="24"/>
          <w:szCs w:val="24"/>
        </w:rPr>
        <w:t>совместно именуемые «Стороны</w:t>
      </w:r>
      <w:r>
        <w:rPr>
          <w:sz w:val="24"/>
          <w:szCs w:val="24"/>
        </w:rPr>
        <w:t xml:space="preserve">», </w:t>
      </w:r>
    </w:p>
    <w:p>
      <w:pPr>
        <w:pStyle w:val="BodyText"/>
        <w:spacing w:before="0" w:after="0"/>
        <w:ind w:firstLine="709"/>
        <w:jc w:val="both"/>
        <w:rPr>
          <w:sz w:val="24"/>
          <w:szCs w:val="24"/>
        </w:rPr>
      </w:pPr>
      <w:r>
        <w:rPr>
          <w:sz w:val="24"/>
          <w:szCs w:val="24"/>
        </w:rPr>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pPr>
        <w:pStyle w:val="BodyTextIndent"/>
        <w:numPr>
          <w:ilvl w:val="0"/>
          <w:numId w:val="1"/>
        </w:numPr>
        <w:spacing w:before="0" w:after="0"/>
        <w:ind w:hanging="0" w:left="0"/>
        <w:jc w:val="center"/>
        <w:rPr>
          <w:b/>
          <w:sz w:val="24"/>
          <w:szCs w:val="24"/>
        </w:rPr>
      </w:pPr>
      <w:r>
        <w:rPr>
          <w:b/>
          <w:sz w:val="24"/>
          <w:szCs w:val="24"/>
        </w:rPr>
        <w:t>Предмет Договора</w:t>
      </w:r>
    </w:p>
    <w:p>
      <w:pPr>
        <w:pStyle w:val="BodyTextIndent"/>
        <w:numPr>
          <w:ilvl w:val="1"/>
          <w:numId w:val="1"/>
        </w:numPr>
        <w:spacing w:before="0" w:after="0"/>
        <w:ind w:firstLine="709" w:left="0"/>
        <w:jc w:val="both"/>
        <w:rPr>
          <w:sz w:val="24"/>
          <w:szCs w:val="24"/>
        </w:rPr>
      </w:pPr>
      <w:r>
        <w:rPr>
          <w:sz w:val="24"/>
          <w:szCs w:val="24"/>
        </w:rPr>
        <w:t>В соответствии с настоящим Договором Продавец принимает на себя обязательства по поставке материальных запасов и инструментов необходимых для обеспечения эксплуатации зданий и сооружений (далее – Товар) в соответствии с Приложением № 1 к настоящему Договору.</w:t>
      </w:r>
    </w:p>
    <w:p>
      <w:pPr>
        <w:pStyle w:val="BodyTextIndent"/>
        <w:spacing w:before="0" w:after="0"/>
        <w:ind w:firstLine="709" w:left="0"/>
        <w:jc w:val="both"/>
        <w:rPr>
          <w:sz w:val="24"/>
          <w:szCs w:val="24"/>
        </w:rPr>
      </w:pPr>
      <w:r>
        <w:rPr>
          <w:sz w:val="24"/>
          <w:szCs w:val="24"/>
        </w:rPr>
        <w:t>Заказчик обязуется принять и оплатить Товар.</w:t>
      </w:r>
    </w:p>
    <w:p>
      <w:pPr>
        <w:pStyle w:val="BodyTextIndent"/>
        <w:numPr>
          <w:ilvl w:val="1"/>
          <w:numId w:val="1"/>
        </w:numPr>
        <w:spacing w:before="0" w:after="0"/>
        <w:ind w:firstLine="709" w:left="0"/>
        <w:jc w:val="both"/>
        <w:rPr>
          <w:sz w:val="24"/>
          <w:szCs w:val="24"/>
        </w:rPr>
      </w:pPr>
      <w:r>
        <w:rPr>
          <w:sz w:val="24"/>
          <w:szCs w:val="24"/>
        </w:rPr>
        <w:t>Настоящим Продавец гарантирует, что Товар принадлежит ему на праве собственности, не является предметом залога, не состоит под арестом, свободен от прав третьих лиц.</w:t>
      </w:r>
    </w:p>
    <w:p>
      <w:pPr>
        <w:pStyle w:val="BodyTextIndent"/>
        <w:numPr>
          <w:ilvl w:val="1"/>
          <w:numId w:val="1"/>
        </w:numPr>
        <w:spacing w:before="0" w:after="0"/>
        <w:ind w:firstLine="709" w:left="0"/>
        <w:jc w:val="both"/>
        <w:rPr>
          <w:sz w:val="24"/>
          <w:szCs w:val="24"/>
        </w:rPr>
      </w:pPr>
      <w:r>
        <w:rPr>
          <w:sz w:val="24"/>
          <w:szCs w:val="24"/>
        </w:rPr>
        <w:t>К участнику закупки устанавливаются единые требования в соответствии со статьей 31 Федерального закона от 05.04.2013 № 44-ФЗ.</w:t>
      </w:r>
    </w:p>
    <w:p>
      <w:pPr>
        <w:pStyle w:val="BodyTextIndent"/>
        <w:numPr>
          <w:ilvl w:val="0"/>
          <w:numId w:val="1"/>
        </w:numPr>
        <w:spacing w:before="0" w:after="0"/>
        <w:ind w:hanging="0" w:left="0"/>
        <w:jc w:val="center"/>
        <w:rPr>
          <w:b/>
          <w:sz w:val="24"/>
          <w:szCs w:val="24"/>
        </w:rPr>
      </w:pPr>
      <w:r>
        <w:rPr>
          <w:b/>
          <w:sz w:val="24"/>
          <w:szCs w:val="24"/>
        </w:rPr>
        <w:t>Цена Договора</w:t>
      </w:r>
    </w:p>
    <w:p>
      <w:pPr>
        <w:pStyle w:val="BodyTextIndent"/>
        <w:numPr>
          <w:ilvl w:val="1"/>
          <w:numId w:val="1"/>
        </w:numPr>
        <w:spacing w:before="0" w:after="0"/>
        <w:ind w:firstLine="709" w:left="0"/>
        <w:jc w:val="both"/>
        <w:rPr>
          <w:sz w:val="24"/>
          <w:szCs w:val="24"/>
        </w:rPr>
      </w:pPr>
      <w:r>
        <w:rPr>
          <w:sz w:val="24"/>
          <w:szCs w:val="24"/>
        </w:rPr>
        <w:t xml:space="preserve">Цена настоящего Договора является твердой и составляет </w:t>
      </w:r>
      <w:r>
        <w:rPr>
          <w:b/>
          <w:sz w:val="24"/>
          <w:szCs w:val="24"/>
        </w:rPr>
        <w:t>_______</w:t>
      </w:r>
      <w:r>
        <w:rPr>
          <w:sz w:val="24"/>
          <w:szCs w:val="24"/>
        </w:rPr>
        <w:t xml:space="preserve"> руб. (______ руб. ___ коп.), с учетом НДС/НДС не облагается, и определена на весь срок исполнения настоящего Договора.</w:t>
      </w:r>
    </w:p>
    <w:p>
      <w:pPr>
        <w:pStyle w:val="BodyTextIndent"/>
        <w:spacing w:before="0" w:after="0"/>
        <w:ind w:firstLine="709" w:left="0"/>
        <w:jc w:val="both"/>
        <w:rPr>
          <w:sz w:val="24"/>
          <w:szCs w:val="24"/>
        </w:rPr>
      </w:pPr>
      <w:r>
        <w:rPr>
          <w:sz w:val="24"/>
          <w:szCs w:val="24"/>
        </w:rPr>
        <w:t xml:space="preserve">Общая цена Договора включает в себя все налоги, сборы и другие обязательные платежи. </w:t>
      </w:r>
    </w:p>
    <w:p>
      <w:pPr>
        <w:pStyle w:val="BodyTextIndent"/>
        <w:spacing w:before="0" w:after="0"/>
        <w:ind w:firstLine="709" w:left="0"/>
        <w:jc w:val="both"/>
        <w:rPr>
          <w:sz w:val="24"/>
          <w:szCs w:val="24"/>
        </w:rPr>
      </w:pPr>
      <w:r>
        <w:rPr>
          <w:sz w:val="24"/>
          <w:szCs w:val="24"/>
        </w:rPr>
        <w:t>Финансирование по настоящему Договору осуществляется за счет федерального бюджета.</w:t>
      </w:r>
    </w:p>
    <w:p>
      <w:pPr>
        <w:pStyle w:val="Normal"/>
        <w:ind w:firstLine="709"/>
        <w:rPr>
          <w:highlight w:val="none"/>
        </w:rPr>
      </w:pPr>
      <w:r>
        <w:rPr>
          <w:szCs w:val="24"/>
        </w:rPr>
        <w:t>Цена настоящего договора подлежит изменению в соответствии со статьей 95 ФЗ № 44. При этом соответствующие изменения в настоящий договор считаются внесёнными после заключения соответствующего дополнительного соглашения.</w:t>
      </w:r>
    </w:p>
    <w:p>
      <w:pPr>
        <w:pStyle w:val="Normal"/>
        <w:ind w:firstLine="709"/>
        <w:rPr/>
      </w:pPr>
      <w:r>
        <w:rPr>
          <w:szCs w:val="24"/>
        </w:rPr>
        <w:t>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Предлагаемая общая стоимость предложения не должна превышать стартовую цену.</w:t>
      </w:r>
    </w:p>
    <w:p>
      <w:pPr>
        <w:pStyle w:val="BodyTextIndent"/>
        <w:numPr>
          <w:ilvl w:val="1"/>
          <w:numId w:val="1"/>
        </w:numPr>
        <w:spacing w:before="0" w:after="0"/>
        <w:ind w:firstLine="709" w:left="0"/>
        <w:jc w:val="both"/>
        <w:rPr>
          <w:sz w:val="24"/>
          <w:szCs w:val="24"/>
        </w:rPr>
      </w:pPr>
      <w:r>
        <w:rPr>
          <w:sz w:val="24"/>
          <w:szCs w:val="24"/>
        </w:rPr>
        <w:t>Оплата услуг Продавца производится по факту поставки Товара в срок, не превышающий 7 рабочих дней с даты подписания получателем средств федерального бюджета документа о приемке поставленного товара, а также отдельных этапов исполнения Договора.</w:t>
      </w:r>
    </w:p>
    <w:p>
      <w:pPr>
        <w:pStyle w:val="BodyTextIndent"/>
        <w:spacing w:before="0" w:after="0"/>
        <w:ind w:firstLine="708" w:left="0"/>
        <w:jc w:val="both"/>
        <w:rPr>
          <w:sz w:val="24"/>
          <w:szCs w:val="24"/>
        </w:rPr>
      </w:pPr>
      <w:r>
        <w:rPr>
          <w:sz w:val="24"/>
          <w:szCs w:val="24"/>
        </w:rPr>
        <w:t>Оплата по настоящему Договору осуществляется только в пределах лимитов, установленных федеральным бюджетом, по мере их поступления на лицевой счет Заказчика.</w:t>
      </w:r>
    </w:p>
    <w:p>
      <w:pPr>
        <w:pStyle w:val="BodyTextIndent"/>
        <w:numPr>
          <w:ilvl w:val="1"/>
          <w:numId w:val="1"/>
        </w:numPr>
        <w:spacing w:before="0" w:after="0"/>
        <w:ind w:firstLine="709" w:left="0"/>
        <w:jc w:val="both"/>
        <w:rPr>
          <w:sz w:val="24"/>
          <w:szCs w:val="24"/>
        </w:rPr>
      </w:pPr>
      <w:r>
        <w:rPr>
          <w:sz w:val="24"/>
          <w:szCs w:val="24"/>
        </w:rPr>
        <w:t>Датой надлежащего исполнения Заказчиком своих обязательств по оплате поставленного Товара является дата списания денежных средств с лицевого счета Заказчика.</w:t>
      </w:r>
    </w:p>
    <w:p>
      <w:pPr>
        <w:pStyle w:val="BodyTextIndent"/>
        <w:numPr>
          <w:ilvl w:val="0"/>
          <w:numId w:val="1"/>
        </w:numPr>
        <w:spacing w:before="0" w:after="0"/>
        <w:ind w:hanging="0" w:left="0"/>
        <w:jc w:val="center"/>
        <w:rPr>
          <w:b/>
          <w:sz w:val="24"/>
          <w:szCs w:val="24"/>
        </w:rPr>
      </w:pPr>
      <w:r>
        <w:rPr>
          <w:b/>
          <w:sz w:val="24"/>
          <w:szCs w:val="24"/>
        </w:rPr>
        <w:t>Обязательства Сторон</w:t>
      </w:r>
    </w:p>
    <w:p>
      <w:pPr>
        <w:pStyle w:val="BodyTextIndent"/>
        <w:numPr>
          <w:ilvl w:val="1"/>
          <w:numId w:val="1"/>
        </w:numPr>
        <w:spacing w:before="0" w:after="0"/>
        <w:ind w:firstLine="709" w:left="0"/>
        <w:jc w:val="both"/>
        <w:rPr>
          <w:sz w:val="24"/>
          <w:szCs w:val="24"/>
        </w:rPr>
      </w:pPr>
      <w:r>
        <w:rPr>
          <w:sz w:val="24"/>
          <w:szCs w:val="24"/>
          <w:u w:val="single"/>
        </w:rPr>
        <w:t>Продавец обязан</w:t>
      </w:r>
      <w:r>
        <w:rPr>
          <w:sz w:val="24"/>
          <w:szCs w:val="24"/>
        </w:rPr>
        <w:t>:</w:t>
      </w:r>
    </w:p>
    <w:p>
      <w:pPr>
        <w:pStyle w:val="BodyTextIndent"/>
        <w:numPr>
          <w:ilvl w:val="2"/>
          <w:numId w:val="1"/>
        </w:numPr>
        <w:spacing w:before="0" w:after="0"/>
        <w:ind w:firstLine="709" w:left="0"/>
        <w:jc w:val="both"/>
        <w:rPr>
          <w:sz w:val="24"/>
          <w:szCs w:val="24"/>
        </w:rPr>
      </w:pPr>
      <w:r>
        <w:rPr>
          <w:sz w:val="24"/>
          <w:szCs w:val="24"/>
        </w:rPr>
        <w:t>Передать Товар Заказчику в соответствии с условиями настоящего Договора.</w:t>
      </w:r>
      <w:r>
        <w:rPr>
          <w:spacing w:val="-6"/>
          <w:sz w:val="24"/>
          <w:szCs w:val="24"/>
        </w:rPr>
        <w:t xml:space="preserve"> </w:t>
      </w:r>
      <w:r>
        <w:rPr>
          <w:sz w:val="24"/>
          <w:szCs w:val="24"/>
        </w:rPr>
        <w:t>Поставляемый Товар должен соответствовать количественным и качественным характеристикам, указанным в Приложении № 1 настоящего Договора.</w:t>
      </w:r>
    </w:p>
    <w:p>
      <w:pPr>
        <w:pStyle w:val="BodyTextIndent"/>
        <w:numPr>
          <w:ilvl w:val="2"/>
          <w:numId w:val="1"/>
        </w:numPr>
        <w:spacing w:before="0" w:after="0"/>
        <w:ind w:firstLine="709" w:left="0"/>
        <w:jc w:val="both"/>
        <w:rPr>
          <w:sz w:val="24"/>
          <w:szCs w:val="24"/>
        </w:rPr>
      </w:pPr>
      <w:r>
        <w:rPr>
          <w:sz w:val="24"/>
          <w:szCs w:val="24"/>
        </w:rPr>
        <w:t>Участвовать в приемке-передаче Товара в соответствии с требованиями настоящего Договора. В случае отсутствия представителя Продавца при приемке Товара Заказчиком, Продавец не вправе отказываться от подписания Акта приемки Товара (товарной накладной, универсального передаточного документа).</w:t>
      </w:r>
    </w:p>
    <w:p>
      <w:pPr>
        <w:pStyle w:val="BodyTextIndent"/>
        <w:numPr>
          <w:ilvl w:val="2"/>
          <w:numId w:val="1"/>
        </w:numPr>
        <w:spacing w:before="0" w:after="0"/>
        <w:ind w:firstLine="709" w:left="0"/>
        <w:jc w:val="both"/>
        <w:rPr>
          <w:sz w:val="24"/>
          <w:szCs w:val="24"/>
        </w:rPr>
      </w:pPr>
      <w:r>
        <w:rPr>
          <w:sz w:val="24"/>
          <w:szCs w:val="24"/>
        </w:rPr>
        <w:t xml:space="preserve">Представить документацию, обязательную для данного вида Товара, и иные документы, подтверждающие качество Товара, оформленные в соответствии с законодательством Российской Федерации. </w:t>
      </w:r>
    </w:p>
    <w:p>
      <w:pPr>
        <w:pStyle w:val="BodyTextIndent"/>
        <w:numPr>
          <w:ilvl w:val="2"/>
          <w:numId w:val="1"/>
        </w:numPr>
        <w:spacing w:before="0" w:after="0"/>
        <w:ind w:firstLine="709" w:left="0"/>
        <w:jc w:val="both"/>
        <w:rPr>
          <w:sz w:val="24"/>
          <w:szCs w:val="24"/>
        </w:rPr>
      </w:pPr>
      <w:r>
        <w:rPr>
          <w:sz w:val="24"/>
          <w:szCs w:val="24"/>
        </w:rPr>
        <w:t>Устранять недостатки Товара и некомплектность в течение 5 (пяти) рабочих дней с момента направления Заказчиком соответствующего уведомления. Расходы, связанные с устранением недостатков Товара и некомплектности, несет Продавец.</w:t>
      </w:r>
    </w:p>
    <w:p>
      <w:pPr>
        <w:pStyle w:val="BodyTextIndent"/>
        <w:numPr>
          <w:ilvl w:val="2"/>
          <w:numId w:val="1"/>
        </w:numPr>
        <w:spacing w:before="0" w:after="0"/>
        <w:ind w:firstLine="709" w:left="0"/>
        <w:jc w:val="both"/>
        <w:rPr>
          <w:sz w:val="24"/>
          <w:szCs w:val="24"/>
        </w:rPr>
      </w:pPr>
      <w:r>
        <w:rPr>
          <w:sz w:val="24"/>
          <w:szCs w:val="24"/>
        </w:rPr>
        <w:t xml:space="preserve"> </w:t>
      </w:r>
      <w:r>
        <w:rPr>
          <w:sz w:val="24"/>
          <w:szCs w:val="24"/>
        </w:rPr>
        <w:t>Заменить Товар по требованию Заказчика на Товар, соответствующий по качествам условиям настоящего Договора, и забрать Товар при обнаружении недостатков и невозможности их устранения на месте.</w:t>
      </w:r>
    </w:p>
    <w:p>
      <w:pPr>
        <w:pStyle w:val="BodyTextIndent"/>
        <w:numPr>
          <w:ilvl w:val="2"/>
          <w:numId w:val="1"/>
        </w:numPr>
        <w:spacing w:before="0" w:after="0"/>
        <w:ind w:firstLine="709" w:left="0"/>
        <w:jc w:val="both"/>
        <w:rPr>
          <w:sz w:val="24"/>
          <w:szCs w:val="24"/>
        </w:rPr>
      </w:pPr>
      <w:r>
        <w:rPr>
          <w:sz w:val="24"/>
          <w:szCs w:val="24"/>
        </w:rPr>
        <w:t>Гарантировать, что поставляемый Товар изготовлен в соответствии со стандартами, показателями и параметрами, утвержденными на данный вид Товара, и наличием сертификатов, является новым, неиспользованным, не имеет дефектов, связанных с разработкой, материалами или качеством изготовления либо проявляющихся в результате действия или упущения Продавца при нормальном использовании поставленного Товара в обычных условиях.</w:t>
      </w:r>
    </w:p>
    <w:p>
      <w:pPr>
        <w:pStyle w:val="BodyTextIndent"/>
        <w:numPr>
          <w:ilvl w:val="2"/>
          <w:numId w:val="1"/>
        </w:numPr>
        <w:spacing w:before="0" w:after="0"/>
        <w:ind w:firstLine="709" w:left="0"/>
        <w:jc w:val="both"/>
        <w:rPr>
          <w:sz w:val="24"/>
          <w:szCs w:val="24"/>
        </w:rPr>
      </w:pPr>
      <w:r>
        <w:rPr>
          <w:sz w:val="24"/>
          <w:szCs w:val="24"/>
        </w:rPr>
        <w:t>Поставить Товар в стандартной упаковке с учетом необходимых маркировок, подтверждающих оригинальность Товара, тара и упаковка входят в цену поставляемого Товара.</w:t>
      </w:r>
    </w:p>
    <w:p>
      <w:pPr>
        <w:pStyle w:val="BodyTextIndent"/>
        <w:numPr>
          <w:ilvl w:val="2"/>
          <w:numId w:val="1"/>
        </w:numPr>
        <w:spacing w:before="0" w:after="0"/>
        <w:ind w:firstLine="709" w:left="0"/>
        <w:jc w:val="both"/>
        <w:rPr>
          <w:sz w:val="24"/>
          <w:szCs w:val="24"/>
        </w:rPr>
      </w:pPr>
      <w:r>
        <w:rPr>
          <w:sz w:val="24"/>
          <w:szCs w:val="24"/>
        </w:rPr>
        <w:t>Выполнять в полном объеме все свои обязанности, предусмотренные в других пунктах Договора.</w:t>
      </w:r>
    </w:p>
    <w:p>
      <w:pPr>
        <w:pStyle w:val="BodyTextIndent"/>
        <w:spacing w:before="0" w:after="0"/>
        <w:ind w:firstLine="709" w:left="0"/>
        <w:jc w:val="both"/>
        <w:rPr>
          <w:sz w:val="24"/>
          <w:szCs w:val="24"/>
        </w:rPr>
      </w:pPr>
      <w:r>
        <w:rPr>
          <w:sz w:val="24"/>
          <w:szCs w:val="24"/>
        </w:rPr>
        <w:t xml:space="preserve">3.2. </w:t>
      </w:r>
      <w:r>
        <w:rPr>
          <w:sz w:val="24"/>
          <w:szCs w:val="24"/>
          <w:u w:val="single"/>
        </w:rPr>
        <w:t>Продавец вправе</w:t>
      </w:r>
      <w:r>
        <w:rPr>
          <w:sz w:val="24"/>
          <w:szCs w:val="24"/>
        </w:rPr>
        <w:t>:</w:t>
      </w:r>
    </w:p>
    <w:p>
      <w:pPr>
        <w:pStyle w:val="BodyTextIndent"/>
        <w:spacing w:before="0" w:after="0"/>
        <w:ind w:firstLine="709" w:left="0"/>
        <w:jc w:val="both"/>
        <w:rPr>
          <w:sz w:val="24"/>
          <w:szCs w:val="24"/>
        </w:rPr>
      </w:pPr>
      <w:r>
        <w:rPr>
          <w:sz w:val="24"/>
          <w:szCs w:val="24"/>
        </w:rPr>
        <w:t>3.2.1. Требовать от Заказчика своевременной оплаты поставляемого Товара.</w:t>
      </w:r>
    </w:p>
    <w:p>
      <w:pPr>
        <w:pStyle w:val="BodyTextIndent"/>
        <w:spacing w:before="0" w:after="0"/>
        <w:ind w:firstLine="709" w:left="0"/>
        <w:jc w:val="both"/>
        <w:rPr>
          <w:sz w:val="24"/>
          <w:szCs w:val="24"/>
        </w:rPr>
      </w:pPr>
      <w:r>
        <w:rPr>
          <w:sz w:val="24"/>
          <w:szCs w:val="24"/>
        </w:rPr>
        <w:t>3.2.2. Осуществлять иные права в соответствии с законодательством Российской Федерации.</w:t>
      </w:r>
    </w:p>
    <w:p>
      <w:pPr>
        <w:pStyle w:val="BodyTextIndent"/>
        <w:spacing w:before="0" w:after="0"/>
        <w:ind w:firstLine="709" w:left="0"/>
        <w:jc w:val="both"/>
        <w:rPr>
          <w:sz w:val="24"/>
          <w:szCs w:val="24"/>
        </w:rPr>
      </w:pPr>
      <w:r>
        <w:rPr>
          <w:sz w:val="24"/>
          <w:szCs w:val="24"/>
          <w:u w:val="single"/>
        </w:rPr>
        <w:t>3.3. Заказчик обязан</w:t>
      </w:r>
      <w:r>
        <w:rPr>
          <w:sz w:val="24"/>
          <w:szCs w:val="24"/>
        </w:rPr>
        <w:t>:</w:t>
      </w:r>
    </w:p>
    <w:p>
      <w:pPr>
        <w:pStyle w:val="BodyTextIndent"/>
        <w:spacing w:before="0" w:after="0"/>
        <w:ind w:firstLine="709" w:left="0"/>
        <w:jc w:val="both"/>
        <w:rPr>
          <w:sz w:val="24"/>
          <w:szCs w:val="24"/>
        </w:rPr>
      </w:pPr>
      <w:r>
        <w:rPr>
          <w:sz w:val="24"/>
          <w:szCs w:val="24"/>
        </w:rPr>
        <w:t>3.3.1. Принять Товар и при отсутствии претензий относительно качества, количества, ассортимента, комплектности и других характеристик Товара подписать Акт приёмки Товара (товарную накладную, универсальный передаточный документ) и передать один экземпляр представителю Продавца.</w:t>
      </w:r>
    </w:p>
    <w:p>
      <w:pPr>
        <w:pStyle w:val="BodyTextIndent"/>
        <w:spacing w:before="0" w:after="0"/>
        <w:ind w:firstLine="709" w:left="0"/>
        <w:jc w:val="both"/>
        <w:rPr>
          <w:sz w:val="24"/>
          <w:szCs w:val="24"/>
        </w:rPr>
      </w:pPr>
      <w:r>
        <w:rPr>
          <w:sz w:val="24"/>
          <w:szCs w:val="24"/>
        </w:rPr>
        <w:t>3.3.2. Оплатить поставку Товара в соответствии с условиями настоящего Договора.</w:t>
      </w:r>
    </w:p>
    <w:p>
      <w:pPr>
        <w:pStyle w:val="BodyTextIndent"/>
        <w:spacing w:before="0" w:after="0"/>
        <w:ind w:firstLine="709" w:left="0"/>
        <w:jc w:val="both"/>
        <w:rPr>
          <w:sz w:val="24"/>
          <w:szCs w:val="24"/>
        </w:rPr>
      </w:pPr>
      <w:r>
        <w:rPr>
          <w:sz w:val="24"/>
          <w:szCs w:val="24"/>
        </w:rPr>
        <w:t>3.3.3. Заказчик в течение 5 (пяти) рабочих дней с момента обнаружения недостатков письменно уведомляет Продавца обо всех претензиях, связанных с Товаром.</w:t>
      </w:r>
    </w:p>
    <w:p>
      <w:pPr>
        <w:pStyle w:val="BodyTextIndent"/>
        <w:spacing w:before="0" w:after="0"/>
        <w:ind w:firstLine="709" w:left="0"/>
        <w:jc w:val="both"/>
        <w:rPr>
          <w:sz w:val="24"/>
          <w:szCs w:val="24"/>
        </w:rPr>
      </w:pPr>
      <w:r>
        <w:rPr>
          <w:sz w:val="24"/>
          <w:szCs w:val="24"/>
        </w:rPr>
        <w:t>3.3.4. Выполнять в полном объеме все свои обязанности, предусмотренные в других пунктах Договора.</w:t>
      </w:r>
    </w:p>
    <w:p>
      <w:pPr>
        <w:pStyle w:val="BodyTextIndent"/>
        <w:spacing w:before="0" w:after="0"/>
        <w:ind w:firstLine="709" w:left="0"/>
        <w:jc w:val="both"/>
        <w:rPr>
          <w:sz w:val="24"/>
          <w:szCs w:val="24"/>
        </w:rPr>
      </w:pPr>
      <w:r>
        <w:rPr>
          <w:sz w:val="24"/>
          <w:szCs w:val="24"/>
        </w:rPr>
        <w:t xml:space="preserve">3.4. </w:t>
      </w:r>
      <w:r>
        <w:rPr>
          <w:sz w:val="24"/>
          <w:szCs w:val="24"/>
          <w:u w:val="single"/>
        </w:rPr>
        <w:t>Заказчик вправе</w:t>
      </w:r>
      <w:r>
        <w:rPr>
          <w:sz w:val="24"/>
          <w:szCs w:val="24"/>
        </w:rPr>
        <w:t>:</w:t>
      </w:r>
    </w:p>
    <w:p>
      <w:pPr>
        <w:pStyle w:val="BodyTextIndent"/>
        <w:spacing w:before="0" w:after="0"/>
        <w:ind w:firstLine="709" w:left="0"/>
        <w:jc w:val="both"/>
        <w:rPr>
          <w:sz w:val="24"/>
          <w:szCs w:val="24"/>
        </w:rPr>
      </w:pPr>
      <w:r>
        <w:rPr>
          <w:sz w:val="24"/>
          <w:szCs w:val="24"/>
        </w:rPr>
        <w:t>3.4.1. В случае просрочки исполнения Продавцом обязательств, предусмотренных настоящим Договором, а также в иных случаях неисполнения или ненадлежащего исполнения Продавцом обязательств, предусмотренных настоящим Договором, направить Продавцу требование об уплате неустоек (штрафов, пеней).</w:t>
      </w:r>
    </w:p>
    <w:p>
      <w:pPr>
        <w:pStyle w:val="BodyTextIndent"/>
        <w:spacing w:before="0" w:after="0"/>
        <w:ind w:firstLine="709" w:left="0"/>
        <w:jc w:val="both"/>
        <w:rPr>
          <w:sz w:val="24"/>
          <w:szCs w:val="24"/>
        </w:rPr>
      </w:pPr>
      <w:r>
        <w:rPr>
          <w:sz w:val="24"/>
          <w:szCs w:val="24"/>
        </w:rPr>
        <w:t>3.4.2. Привлекать экспертов, экспертные организации для участия в приемке оказанных услуг по поставке Товара.</w:t>
      </w:r>
    </w:p>
    <w:p>
      <w:pPr>
        <w:pStyle w:val="BodyTextIndent"/>
        <w:spacing w:before="0" w:after="0"/>
        <w:ind w:firstLine="709" w:left="0"/>
        <w:jc w:val="both"/>
        <w:rPr>
          <w:sz w:val="24"/>
          <w:szCs w:val="24"/>
        </w:rPr>
      </w:pPr>
      <w:r>
        <w:rPr>
          <w:sz w:val="24"/>
          <w:szCs w:val="24"/>
        </w:rPr>
        <w:t>3.4.3. Осуществлять иные права в соответствии с законодательством                        Российской Федерации.</w:t>
      </w:r>
    </w:p>
    <w:p>
      <w:pPr>
        <w:pStyle w:val="BodyTextIndent"/>
        <w:numPr>
          <w:ilvl w:val="0"/>
          <w:numId w:val="1"/>
        </w:numPr>
        <w:spacing w:before="60" w:after="60"/>
        <w:ind w:hanging="0" w:left="0"/>
        <w:jc w:val="center"/>
        <w:rPr>
          <w:b/>
          <w:sz w:val="24"/>
          <w:szCs w:val="24"/>
        </w:rPr>
      </w:pPr>
      <w:r>
        <w:rPr>
          <w:b/>
          <w:sz w:val="24"/>
          <w:szCs w:val="24"/>
        </w:rPr>
        <w:t>Ответственность Сторон</w:t>
      </w:r>
    </w:p>
    <w:p>
      <w:pPr>
        <w:pStyle w:val="BodyTextIndent"/>
        <w:spacing w:before="0" w:after="0"/>
        <w:ind w:firstLine="709" w:left="0"/>
        <w:jc w:val="both"/>
        <w:rPr>
          <w:sz w:val="24"/>
          <w:szCs w:val="24"/>
        </w:rPr>
      </w:pPr>
      <w:r>
        <w:rPr>
          <w:sz w:val="24"/>
          <w:szCs w:val="24"/>
        </w:rPr>
        <w:t>4.1.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pPr>
        <w:pStyle w:val="BodyTextIndent"/>
        <w:spacing w:before="0" w:after="0"/>
        <w:ind w:firstLine="709" w:left="0"/>
        <w:jc w:val="both"/>
        <w:rPr>
          <w:sz w:val="24"/>
          <w:szCs w:val="24"/>
        </w:rPr>
      </w:pPr>
      <w:r>
        <w:rPr>
          <w:sz w:val="24"/>
          <w:szCs w:val="24"/>
        </w:rPr>
        <w:t>4.2. Ответственность Продавца:</w:t>
      </w:r>
    </w:p>
    <w:p>
      <w:pPr>
        <w:pStyle w:val="BodyTextIndent"/>
        <w:spacing w:before="0" w:after="0"/>
        <w:ind w:firstLine="709" w:left="0"/>
        <w:jc w:val="both"/>
        <w:rPr>
          <w:sz w:val="24"/>
          <w:szCs w:val="24"/>
        </w:rPr>
      </w:pPr>
      <w:r>
        <w:rPr>
          <w:sz w:val="24"/>
          <w:szCs w:val="24"/>
        </w:rPr>
        <w:t>4.2.1. В случае нарушения Продавцом обязательств, предусмотренных Договором, а также в иных случаях неисполнения или ненадлежащего исполнения Продавцом договорных обязательств Заказчик направляет Продавцу требование об уплате неустоек (штрафов, пеней).</w:t>
      </w:r>
    </w:p>
    <w:p>
      <w:pPr>
        <w:pStyle w:val="BodyTextIndent"/>
        <w:spacing w:before="0" w:after="0"/>
        <w:ind w:firstLine="709" w:left="0"/>
        <w:jc w:val="both"/>
        <w:rPr>
          <w:sz w:val="24"/>
          <w:szCs w:val="24"/>
        </w:rPr>
      </w:pPr>
      <w:r>
        <w:rPr>
          <w:sz w:val="24"/>
          <w:szCs w:val="24"/>
        </w:rPr>
        <w:t>4.2.2. В соответствии с ч. 7 ст. 34 Федерального закона от 05.04.2013 № 44-ФЗ пени начисляются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Согласно той же норме, размер пеней устанавливается Договором и равен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Исключение составляют случаи, для которых законодательством Российской Федерации установлен иной порядок начисления пеней.</w:t>
      </w:r>
    </w:p>
    <w:p>
      <w:pPr>
        <w:pStyle w:val="BodyTextIndent"/>
        <w:spacing w:before="0" w:after="0"/>
        <w:ind w:firstLine="709" w:left="0"/>
        <w:jc w:val="both"/>
        <w:rPr>
          <w:sz w:val="24"/>
          <w:szCs w:val="24"/>
        </w:rPr>
      </w:pPr>
      <w:r>
        <w:rPr>
          <w:sz w:val="24"/>
          <w:szCs w:val="24"/>
        </w:rPr>
        <w:t>4.2.3. 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Продавец обязан уплатить Заказчику штраф (определяется в соответствии с Постановлением Правительства РФ от 30.08.2017 № 1042).</w:t>
      </w:r>
    </w:p>
    <w:p>
      <w:pPr>
        <w:pStyle w:val="BodyTextIndent"/>
        <w:spacing w:before="0" w:after="0"/>
        <w:ind w:firstLine="709" w:left="0"/>
        <w:jc w:val="both"/>
        <w:rPr>
          <w:sz w:val="24"/>
          <w:szCs w:val="24"/>
        </w:rPr>
      </w:pPr>
      <w:r>
        <w:rPr>
          <w:sz w:val="24"/>
          <w:szCs w:val="24"/>
        </w:rPr>
        <w:t>4.3. Ответственность Заказчика:</w:t>
      </w:r>
    </w:p>
    <w:p>
      <w:pPr>
        <w:pStyle w:val="BodyTextIndent"/>
        <w:spacing w:before="0" w:after="0"/>
        <w:ind w:firstLine="709" w:left="0"/>
        <w:jc w:val="both"/>
        <w:rPr>
          <w:sz w:val="24"/>
          <w:szCs w:val="24"/>
        </w:rPr>
      </w:pPr>
      <w:r>
        <w:rPr>
          <w:sz w:val="24"/>
          <w:szCs w:val="24"/>
        </w:rPr>
        <w:t>4.3.1.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договорных обязательств Продавец вправе потребовать уплаты неустоек (штрафов, пеней).</w:t>
      </w:r>
    </w:p>
    <w:p>
      <w:pPr>
        <w:pStyle w:val="BodyTextIndent"/>
        <w:spacing w:before="0" w:after="0"/>
        <w:ind w:firstLine="709" w:left="0"/>
        <w:jc w:val="both"/>
        <w:rPr>
          <w:sz w:val="24"/>
          <w:szCs w:val="24"/>
        </w:rPr>
      </w:pPr>
      <w:r>
        <w:rPr>
          <w:sz w:val="24"/>
          <w:szCs w:val="24"/>
        </w:rPr>
        <w:t>4.3.2. Неустойка начисляется Заказчику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 Размер неустойки равен одной трехсотой действующей на дату уплаты неустойки ключевой ставки Центрального Банка Российской Федерации от не уплаченной в срок суммы.</w:t>
      </w:r>
    </w:p>
    <w:p>
      <w:pPr>
        <w:pStyle w:val="BodyTextIndent"/>
        <w:spacing w:before="0" w:after="0"/>
        <w:ind w:firstLine="709" w:left="0"/>
        <w:jc w:val="both"/>
        <w:rPr>
          <w:sz w:val="24"/>
          <w:szCs w:val="24"/>
        </w:rPr>
      </w:pPr>
      <w:r>
        <w:rPr>
          <w:sz w:val="24"/>
          <w:szCs w:val="24"/>
        </w:rPr>
        <w:t>4.3.3. За каждый факт неисполнения Заказчиком обязательств, предусмотренных Договором, за исключением просрочки исполнения обязательств, Продавец вправе взыскать с Заказчика штраф (определяется в соответствии с Постановлением Правительства РФ от 30.08.2017 № 1042).</w:t>
      </w:r>
    </w:p>
    <w:p>
      <w:pPr>
        <w:pStyle w:val="BodyTextIndent"/>
        <w:spacing w:before="0" w:after="0"/>
        <w:ind w:firstLine="709" w:left="0"/>
        <w:jc w:val="both"/>
        <w:rPr>
          <w:sz w:val="24"/>
          <w:szCs w:val="24"/>
        </w:rPr>
      </w:pPr>
      <w:r>
        <w:rPr>
          <w:sz w:val="24"/>
          <w:szCs w:val="24"/>
        </w:rPr>
        <w:t>4.4.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pPr>
        <w:pStyle w:val="BodyTextIndent"/>
        <w:numPr>
          <w:ilvl w:val="0"/>
          <w:numId w:val="1"/>
        </w:numPr>
        <w:spacing w:before="60" w:after="60"/>
        <w:ind w:firstLine="709" w:left="0"/>
        <w:jc w:val="center"/>
        <w:rPr>
          <w:b/>
          <w:sz w:val="24"/>
          <w:szCs w:val="24"/>
        </w:rPr>
      </w:pPr>
      <w:r>
        <w:rPr>
          <w:b/>
          <w:sz w:val="24"/>
          <w:szCs w:val="24"/>
        </w:rPr>
        <w:t>Порядок сдачи и приемки Товара</w:t>
      </w:r>
    </w:p>
    <w:p>
      <w:pPr>
        <w:pStyle w:val="BodyTextIndent"/>
        <w:spacing w:before="60" w:after="0"/>
        <w:ind w:firstLine="709" w:left="0"/>
        <w:jc w:val="both"/>
        <w:rPr>
          <w:sz w:val="24"/>
          <w:szCs w:val="24"/>
        </w:rPr>
      </w:pPr>
      <w:r>
        <w:rPr>
          <w:sz w:val="24"/>
          <w:szCs w:val="24"/>
        </w:rPr>
        <w:t>5.1. В день приемки Товара Продавец передает нарочно Заказчику подписанный со своей стороны и заверенный печатью Акт приемки товара (товарную накладную, универсальный передаточный документ).</w:t>
      </w:r>
    </w:p>
    <w:p>
      <w:pPr>
        <w:pStyle w:val="BodyTextIndent"/>
        <w:spacing w:before="0" w:after="0"/>
        <w:ind w:firstLine="709" w:left="0"/>
        <w:jc w:val="both"/>
        <w:rPr>
          <w:sz w:val="24"/>
          <w:szCs w:val="24"/>
        </w:rPr>
      </w:pPr>
      <w:r>
        <w:rPr>
          <w:sz w:val="24"/>
          <w:szCs w:val="24"/>
        </w:rPr>
        <w:t>5.2. По результатам приемки поставленного Товара приемочная комиссия принимает решение о соответствии (несоответствии) поставленного Товара условиям Договора и подписывает Акт приемки Товара (товарную накладную, универсальный передаточный документ) в течение 10 (десяти) рабочих дней со дня поставки Товара.</w:t>
      </w:r>
    </w:p>
    <w:p>
      <w:pPr>
        <w:pStyle w:val="BodyTextIndent"/>
        <w:spacing w:before="0" w:after="0"/>
        <w:ind w:firstLine="709" w:left="0"/>
        <w:jc w:val="both"/>
        <w:rPr>
          <w:sz w:val="24"/>
          <w:szCs w:val="24"/>
        </w:rPr>
      </w:pPr>
      <w:r>
        <w:rPr>
          <w:sz w:val="24"/>
          <w:szCs w:val="24"/>
        </w:rPr>
        <w:t>5.3. В случае, если приемочной комиссией будет обнаружено несоответствие (частичное несоответствие) поставленного Товара условиям Договора, а также отсутствие документов, предусмотренных условиями Договора (сертификаты, лицензии и т.д.), приемочная комиссия проставляет отметку об этом в Акте приемки Товара (товарной накладной, универсальном передаточном документе), а также составляет протокол.</w:t>
      </w:r>
    </w:p>
    <w:p>
      <w:pPr>
        <w:pStyle w:val="BodyTextIndent"/>
        <w:spacing w:before="0" w:after="60"/>
        <w:ind w:firstLine="709" w:left="0"/>
        <w:jc w:val="both"/>
        <w:rPr>
          <w:sz w:val="24"/>
          <w:szCs w:val="24"/>
          <w:highlight w:val="none"/>
        </w:rPr>
      </w:pPr>
      <w:r>
        <w:rPr>
          <w:sz w:val="24"/>
          <w:szCs w:val="24"/>
        </w:rPr>
        <w:t>5.4. Устранение Продавцом нарушений осуществляется в порядке и в сроки, указанные в настоящем Договоре.</w:t>
      </w:r>
    </w:p>
    <w:p>
      <w:pPr>
        <w:pStyle w:val="Normal"/>
        <w:tabs>
          <w:tab w:val="clear" w:pos="708"/>
          <w:tab w:val="left" w:pos="720" w:leader="none"/>
          <w:tab w:val="left" w:pos="900" w:leader="none"/>
        </w:tabs>
        <w:jc w:val="both"/>
        <w:rPr/>
      </w:pPr>
      <w:r>
        <w:rPr/>
        <w:t xml:space="preserve">5.5. </w:t>
      </w:r>
      <w:r>
        <w:rPr>
          <w:rFonts w:eastAsia="Times New Roman" w:cs="Times New Roman"/>
          <w:color w:val="000000"/>
          <w:sz w:val="24"/>
          <w:szCs w:val="20"/>
          <w:lang w:val="ru-RU" w:eastAsia="ru-RU" w:bidi="ar-SA"/>
        </w:rPr>
        <w:t xml:space="preserve">Стороны соглашаются в ходе своей деятельности, в рамках заключенного Договора, обмениваться первичными документами в электронном виде с использованием усиленной квалифицированной электронной подписи и признавать юридическую силу всех полученных или отправленных электронных документов, в том числе, дополнительных соглашений, актов выполненных работ, товарных накладных, УПД и других документов через оператора ООО "Компания Тензор". Стороны признают, что полученные первичные электронные документы, заверенные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 </w:t>
      </w:r>
    </w:p>
    <w:p>
      <w:pPr>
        <w:pStyle w:val="BodyTextIndent"/>
        <w:numPr>
          <w:ilvl w:val="0"/>
          <w:numId w:val="1"/>
        </w:numPr>
        <w:spacing w:before="60" w:after="0"/>
        <w:ind w:firstLine="709" w:left="0"/>
        <w:jc w:val="center"/>
        <w:rPr>
          <w:b/>
          <w:sz w:val="24"/>
          <w:szCs w:val="24"/>
        </w:rPr>
      </w:pPr>
      <w:r>
        <w:rPr>
          <w:b/>
          <w:sz w:val="24"/>
          <w:szCs w:val="24"/>
        </w:rPr>
        <w:t>Срок действия Договора</w:t>
      </w:r>
    </w:p>
    <w:p>
      <w:pPr>
        <w:pStyle w:val="BodyTextIndent"/>
        <w:numPr>
          <w:ilvl w:val="1"/>
          <w:numId w:val="1"/>
        </w:numPr>
        <w:spacing w:before="0" w:after="0"/>
        <w:ind w:firstLine="709" w:left="0"/>
        <w:jc w:val="both"/>
        <w:rPr>
          <w:sz w:val="24"/>
          <w:szCs w:val="24"/>
        </w:rPr>
      </w:pPr>
      <w:r>
        <w:rPr>
          <w:sz w:val="24"/>
          <w:szCs w:val="24"/>
        </w:rPr>
        <w:t xml:space="preserve">Срок поставки Товара: с момента заключения Договора </w:t>
      </w:r>
      <w:r>
        <w:rPr>
          <w:sz w:val="24"/>
          <w:szCs w:val="24"/>
        </w:rPr>
        <w:t>до 29.07.2026</w:t>
      </w:r>
      <w:r>
        <w:rPr>
          <w:sz w:val="24"/>
          <w:szCs w:val="24"/>
        </w:rPr>
        <w:t>.</w:t>
      </w:r>
    </w:p>
    <w:p>
      <w:pPr>
        <w:pStyle w:val="BodyTextIndent"/>
        <w:spacing w:before="0" w:after="0"/>
        <w:ind w:firstLine="709" w:left="0"/>
        <w:jc w:val="both"/>
        <w:rPr>
          <w:sz w:val="24"/>
          <w:szCs w:val="24"/>
          <w:highlight w:val="none"/>
        </w:rPr>
      </w:pPr>
      <w:r>
        <w:rPr>
          <w:sz w:val="24"/>
          <w:szCs w:val="24"/>
        </w:rPr>
        <w:t xml:space="preserve">Настоящий Договор вступает в силу с момента заключения и действует до полного исполнения Заказчиком обязательства по оплате, но не позднее </w:t>
      </w:r>
      <w:r>
        <w:rPr>
          <w:sz w:val="24"/>
          <w:szCs w:val="24"/>
        </w:rPr>
        <w:t>1</w:t>
      </w:r>
      <w:r>
        <w:rPr>
          <w:sz w:val="24"/>
          <w:szCs w:val="24"/>
        </w:rPr>
        <w:t>7.08.2026.</w:t>
      </w:r>
    </w:p>
    <w:p>
      <w:pPr>
        <w:pStyle w:val="BodyTextIndent"/>
        <w:numPr>
          <w:ilvl w:val="0"/>
          <w:numId w:val="1"/>
        </w:numPr>
        <w:spacing w:before="60" w:after="0"/>
        <w:ind w:hanging="0" w:left="0"/>
        <w:jc w:val="center"/>
        <w:rPr>
          <w:b/>
          <w:sz w:val="24"/>
          <w:szCs w:val="24"/>
        </w:rPr>
      </w:pPr>
      <w:r>
        <w:rPr>
          <w:b/>
          <w:sz w:val="24"/>
          <w:szCs w:val="24"/>
        </w:rPr>
        <w:t>Порядок разрешения споров</w:t>
      </w:r>
    </w:p>
    <w:p>
      <w:pPr>
        <w:pStyle w:val="BodyTextIndent"/>
        <w:numPr>
          <w:ilvl w:val="1"/>
          <w:numId w:val="1"/>
        </w:numPr>
        <w:spacing w:before="0" w:after="0"/>
        <w:ind w:firstLine="709" w:left="0"/>
        <w:jc w:val="both"/>
        <w:rPr>
          <w:sz w:val="24"/>
          <w:szCs w:val="24"/>
        </w:rPr>
      </w:pPr>
      <w:r>
        <w:rPr>
          <w:sz w:val="24"/>
          <w:szCs w:val="24"/>
        </w:rPr>
        <w:t>В случае возникновения между Сторонами споров и разногласий Стороны принимают меры к их урегулированию путём переговоров, основанных на принципе взаимного уважения. Срок рассмотрения претензии – 5 (пять) рабочих дней.</w:t>
      </w:r>
    </w:p>
    <w:p>
      <w:pPr>
        <w:pStyle w:val="BodyTextIndent"/>
        <w:numPr>
          <w:ilvl w:val="1"/>
          <w:numId w:val="1"/>
        </w:numPr>
        <w:spacing w:before="0" w:after="0"/>
        <w:ind w:firstLine="709" w:left="0"/>
        <w:jc w:val="both"/>
        <w:rPr>
          <w:sz w:val="24"/>
          <w:szCs w:val="24"/>
        </w:rPr>
      </w:pPr>
      <w:r>
        <w:rPr>
          <w:sz w:val="24"/>
          <w:szCs w:val="24"/>
        </w:rPr>
        <w:t>В случае недостижения согласия по спорному вопросу, спор подлежит рассмотрению в Арбитражном суде Ивановской области в порядке, установленном действующим законодательством Российской Федерации.</w:t>
      </w:r>
    </w:p>
    <w:p>
      <w:pPr>
        <w:pStyle w:val="ListParagraph"/>
        <w:numPr>
          <w:ilvl w:val="0"/>
          <w:numId w:val="1"/>
        </w:numPr>
        <w:jc w:val="center"/>
        <w:rPr>
          <w:b/>
          <w:szCs w:val="24"/>
          <w:lang w:eastAsia="ru-RU"/>
        </w:rPr>
      </w:pPr>
      <w:r>
        <w:rPr>
          <w:b/>
          <w:szCs w:val="24"/>
          <w:lang w:eastAsia="ru-RU"/>
        </w:rPr>
        <w:t>Форс-мажор</w:t>
      </w:r>
    </w:p>
    <w:p>
      <w:pPr>
        <w:pStyle w:val="Normal"/>
        <w:rPr>
          <w:szCs w:val="24"/>
          <w:lang w:eastAsia="ru-RU"/>
        </w:rPr>
      </w:pPr>
      <w:r>
        <w:rPr>
          <w:szCs w:val="24"/>
          <w:lang w:eastAsia="ru-RU"/>
        </w:rPr>
        <w:t>8.1. Стороны освобождаются от ответственности за неисполнение или ненадлежащее исполнение обязательств по настоящему Договору, если такое неисполнение явилось следствием обстоятельств непреодолимой силы, возникших после заключения Договора в результате событий чрезвычайного характера, не позволяющих Сторонам исполнить обязательства по настоящему Договору, или других непредвиденных обстоятельств, не зависящих от воли Сторон, если эти обстоятельства непосредственно повлияли на исполнение настоящего Договора.</w:t>
      </w:r>
    </w:p>
    <w:p>
      <w:pPr>
        <w:pStyle w:val="Normal"/>
        <w:rPr>
          <w:szCs w:val="24"/>
          <w:lang w:eastAsia="ru-RU"/>
        </w:rPr>
      </w:pPr>
      <w:r>
        <w:rPr>
          <w:szCs w:val="24"/>
          <w:lang w:eastAsia="ru-RU"/>
        </w:rPr>
        <w:t>8.2. При наступлении обстоятельств, указанных в п. 8.1 настоящего Договора, Сторона обязана незамедлительно уведомить другую Сторону о начале и прекращении действия указанных обстоятельств.</w:t>
      </w:r>
    </w:p>
    <w:p>
      <w:pPr>
        <w:pStyle w:val="Normal"/>
        <w:rPr>
          <w:szCs w:val="24"/>
          <w:lang w:eastAsia="ru-RU"/>
        </w:rPr>
      </w:pPr>
      <w:r>
        <w:rPr>
          <w:szCs w:val="24"/>
          <w:lang w:eastAsia="ru-RU"/>
        </w:rPr>
        <w:t>8.3. В случае если обстоятельства, указанные в п. 8.1 настоящего Договора, будут продолжаться более 5 (пяти) дней, по соглашению Сторон Договор может быть расторгнут.</w:t>
      </w:r>
    </w:p>
    <w:p>
      <w:pPr>
        <w:pStyle w:val="BodyTextIndent"/>
        <w:numPr>
          <w:ilvl w:val="0"/>
          <w:numId w:val="1"/>
        </w:numPr>
        <w:spacing w:before="60" w:after="0"/>
        <w:ind w:hanging="0" w:left="0"/>
        <w:jc w:val="center"/>
        <w:rPr>
          <w:b/>
          <w:sz w:val="24"/>
          <w:szCs w:val="24"/>
        </w:rPr>
      </w:pPr>
      <w:r>
        <w:rPr>
          <w:b/>
          <w:sz w:val="24"/>
          <w:szCs w:val="24"/>
        </w:rPr>
        <w:t>Заключительные положения</w:t>
      </w:r>
    </w:p>
    <w:p>
      <w:pPr>
        <w:pStyle w:val="BodyTextIndent"/>
        <w:numPr>
          <w:ilvl w:val="1"/>
          <w:numId w:val="1"/>
        </w:numPr>
        <w:spacing w:before="0" w:after="0"/>
        <w:ind w:firstLine="709" w:left="0"/>
        <w:jc w:val="both"/>
        <w:rPr>
          <w:b/>
          <w:sz w:val="24"/>
          <w:szCs w:val="24"/>
        </w:rPr>
      </w:pPr>
      <w:r>
        <w:rPr>
          <w:sz w:val="24"/>
          <w:szCs w:val="24"/>
        </w:rPr>
        <w:t>Стороны соглашаются с тем, что Договор, включая его условия, а также любая информация и документы, касающиеся любой из Сторон и предоставленные или ставшие известными любой из Сторон в рамках исполнения Договора, содержат коммерческую тайну Сторон и не подлежат разглашению или передаче третьим лицам за исключением случаев, предусмотренных действующим законодательством Российской Федерации.</w:t>
      </w:r>
    </w:p>
    <w:p>
      <w:pPr>
        <w:pStyle w:val="BodyTextIndent"/>
        <w:numPr>
          <w:ilvl w:val="1"/>
          <w:numId w:val="1"/>
        </w:numPr>
        <w:spacing w:before="0" w:after="0"/>
        <w:ind w:firstLine="709" w:left="0"/>
        <w:jc w:val="both"/>
        <w:rPr>
          <w:b/>
          <w:sz w:val="24"/>
          <w:szCs w:val="24"/>
        </w:rPr>
      </w:pPr>
      <w:r>
        <w:rPr>
          <w:sz w:val="24"/>
          <w:szCs w:val="24"/>
        </w:rPr>
        <w:t xml:space="preserve">Все предусмотренные Договором заявления, извещения могут отправляться Сторонами посредством факсимильной связи по номерам, указанным в Договоре, либо по адресам электронной почты, указанным в Договоре, с последующим направлением по почте по адресам, указанным в Договоре в качестве почтовых адресов, либо вручаются под расписку уполномоченному представителю Стороны-получателя. </w:t>
      </w:r>
    </w:p>
    <w:p>
      <w:pPr>
        <w:pStyle w:val="BodyTextIndent"/>
        <w:numPr>
          <w:ilvl w:val="1"/>
          <w:numId w:val="1"/>
        </w:numPr>
        <w:spacing w:before="0" w:after="0"/>
        <w:ind w:firstLine="709" w:left="0"/>
        <w:jc w:val="both"/>
        <w:rPr>
          <w:b/>
          <w:sz w:val="24"/>
          <w:szCs w:val="24"/>
        </w:rPr>
      </w:pPr>
      <w:r>
        <w:rPr>
          <w:sz w:val="24"/>
          <w:szCs w:val="24"/>
        </w:rPr>
        <w:t>Все документы, исходящие от Стороны по Договору и отправляемые в рамках исполнения Договора, должны быть подписаны уполномоченным лицом Стороны-отправителя.</w:t>
      </w:r>
    </w:p>
    <w:p>
      <w:pPr>
        <w:pStyle w:val="BodyTextIndent"/>
        <w:numPr>
          <w:ilvl w:val="1"/>
          <w:numId w:val="1"/>
        </w:numPr>
        <w:spacing w:before="0" w:after="0"/>
        <w:ind w:firstLine="709" w:left="0"/>
        <w:jc w:val="both"/>
        <w:rPr>
          <w:b/>
          <w:sz w:val="24"/>
          <w:szCs w:val="24"/>
        </w:rPr>
      </w:pPr>
      <w:r>
        <w:rPr>
          <w:sz w:val="24"/>
          <w:szCs w:val="24"/>
        </w:rPr>
        <w:t>Стороны обязуются незамедлительно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w:t>
      </w:r>
    </w:p>
    <w:p>
      <w:pPr>
        <w:pStyle w:val="BodyTextIndent"/>
        <w:numPr>
          <w:ilvl w:val="1"/>
          <w:numId w:val="1"/>
        </w:numPr>
        <w:spacing w:before="0" w:after="0"/>
        <w:ind w:firstLine="709" w:left="0"/>
        <w:jc w:val="both"/>
        <w:rPr>
          <w:b/>
          <w:sz w:val="24"/>
          <w:szCs w:val="24"/>
        </w:rPr>
      </w:pPr>
      <w:r>
        <w:rPr>
          <w:sz w:val="24"/>
          <w:szCs w:val="24"/>
        </w:rPr>
        <w:t>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pPr>
        <w:pStyle w:val="BodyTextIndent"/>
        <w:numPr>
          <w:ilvl w:val="1"/>
          <w:numId w:val="1"/>
        </w:numPr>
        <w:spacing w:before="0" w:after="0"/>
        <w:ind w:firstLine="709" w:left="0"/>
        <w:jc w:val="both"/>
        <w:rPr>
          <w:b/>
          <w:sz w:val="24"/>
          <w:szCs w:val="24"/>
        </w:rPr>
      </w:pPr>
      <w:r>
        <w:rPr>
          <w:sz w:val="24"/>
          <w:szCs w:val="24"/>
        </w:rPr>
        <w:t>Применимым правом, то есть правом, регулирующим правоотношения Сторон, вытекающие из Договора, является право Российской Федерации.</w:t>
      </w:r>
    </w:p>
    <w:p>
      <w:pPr>
        <w:pStyle w:val="BodyTextIndent"/>
        <w:numPr>
          <w:ilvl w:val="1"/>
          <w:numId w:val="1"/>
        </w:numPr>
        <w:spacing w:before="0" w:after="0"/>
        <w:ind w:firstLine="709" w:left="0"/>
        <w:jc w:val="both"/>
        <w:rPr>
          <w:b/>
          <w:sz w:val="24"/>
          <w:szCs w:val="24"/>
        </w:rPr>
      </w:pPr>
      <w:r>
        <w:rPr>
          <w:sz w:val="24"/>
          <w:szCs w:val="24"/>
        </w:rPr>
        <w:t>Любые изменения и дополнения к настоящему Договору, не противоречащие законодательству Российской Федерации, оформляются дополнительными соглашениями Сторон в письменной форме.</w:t>
      </w:r>
    </w:p>
    <w:p>
      <w:pPr>
        <w:pStyle w:val="BodyTextIndent"/>
        <w:numPr>
          <w:ilvl w:val="0"/>
          <w:numId w:val="1"/>
        </w:numPr>
        <w:spacing w:before="0" w:after="0"/>
        <w:ind w:hanging="0" w:left="0"/>
        <w:jc w:val="center"/>
        <w:rPr>
          <w:b/>
          <w:sz w:val="24"/>
          <w:szCs w:val="24"/>
        </w:rPr>
      </w:pPr>
      <w:r>
        <w:rPr>
          <w:b/>
          <w:sz w:val="24"/>
          <w:szCs w:val="24"/>
        </w:rPr>
        <w:t>Перечень приложений</w:t>
      </w:r>
    </w:p>
    <w:p>
      <w:pPr>
        <w:pStyle w:val="BodyTextIndent"/>
        <w:numPr>
          <w:ilvl w:val="1"/>
          <w:numId w:val="1"/>
        </w:numPr>
        <w:spacing w:before="0" w:after="0"/>
        <w:ind w:firstLine="709" w:left="0"/>
        <w:jc w:val="both"/>
        <w:rPr>
          <w:sz w:val="24"/>
          <w:szCs w:val="24"/>
        </w:rPr>
      </w:pPr>
      <w:r>
        <w:rPr>
          <w:sz w:val="24"/>
          <w:szCs w:val="24"/>
        </w:rPr>
        <w:t>Неотъемлемой частью настоящего Договора  являются следующие приложения:</w:t>
      </w:r>
    </w:p>
    <w:p>
      <w:pPr>
        <w:pStyle w:val="BodyTextIndent"/>
        <w:spacing w:before="0" w:after="0"/>
        <w:ind w:hanging="0" w:left="709"/>
        <w:jc w:val="both"/>
        <w:rPr>
          <w:sz w:val="24"/>
          <w:szCs w:val="24"/>
          <w:highlight w:val="none"/>
        </w:rPr>
      </w:pPr>
      <w:r>
        <w:rPr>
          <w:sz w:val="24"/>
          <w:szCs w:val="24"/>
        </w:rPr>
        <w:t>Приложение № 1 «Спецификация».</w:t>
      </w:r>
    </w:p>
    <w:p>
      <w:pPr>
        <w:pStyle w:val="BodyTextIndent"/>
        <w:spacing w:before="0" w:after="0"/>
        <w:ind w:hanging="0" w:left="709"/>
        <w:jc w:val="both"/>
        <w:rPr>
          <w:sz w:val="24"/>
          <w:szCs w:val="24"/>
        </w:rPr>
      </w:pPr>
      <w:r>
        <w:rPr>
          <w:sz w:val="24"/>
          <w:szCs w:val="24"/>
        </w:rPr>
      </w:r>
    </w:p>
    <w:p>
      <w:pPr>
        <w:pStyle w:val="BodyTextIndent"/>
        <w:numPr>
          <w:ilvl w:val="0"/>
          <w:numId w:val="1"/>
        </w:numPr>
        <w:spacing w:before="60" w:after="60"/>
        <w:ind w:hanging="0" w:left="0"/>
        <w:jc w:val="center"/>
        <w:rPr>
          <w:b/>
          <w:sz w:val="24"/>
          <w:szCs w:val="24"/>
        </w:rPr>
      </w:pPr>
      <w:r>
        <w:rPr>
          <w:b/>
          <w:sz w:val="24"/>
          <w:szCs w:val="24"/>
        </w:rPr>
        <w:t>Адреса и банковские реквизиты Сторон</w:t>
      </w:r>
    </w:p>
    <w:p>
      <w:pPr>
        <w:pStyle w:val="BodyTextIndent"/>
        <w:spacing w:before="60" w:after="60"/>
        <w:jc w:val="center"/>
        <w:rPr>
          <w:b/>
          <w:sz w:val="24"/>
          <w:szCs w:val="24"/>
        </w:rPr>
      </w:pPr>
      <w:r>
        <w:rPr>
          <w:b/>
          <w:sz w:val="24"/>
          <w:szCs w:val="24"/>
        </w:rPr>
      </w:r>
    </w:p>
    <w:tbl>
      <w:tblPr>
        <w:tblStyle w:val="872"/>
        <w:tblW w:w="9187" w:type="dxa"/>
        <w:jc w:val="left"/>
        <w:tblInd w:w="391" w:type="dxa"/>
        <w:tblLayout w:type="fixed"/>
        <w:tblCellMar>
          <w:top w:w="0" w:type="dxa"/>
          <w:left w:w="108" w:type="dxa"/>
          <w:bottom w:w="0" w:type="dxa"/>
          <w:right w:w="108" w:type="dxa"/>
        </w:tblCellMar>
        <w:tblLook w:val="04a0" w:noHBand="0" w:noVBand="1" w:firstColumn="1" w:lastRow="0" w:lastColumn="0" w:firstRow="1"/>
      </w:tblPr>
      <w:tblGrid>
        <w:gridCol w:w="4618"/>
        <w:gridCol w:w="4568"/>
      </w:tblGrid>
      <w:tr>
        <w:trPr/>
        <w:tc>
          <w:tcPr>
            <w:tcW w:w="4618" w:type="dxa"/>
            <w:tcBorders/>
          </w:tcPr>
          <w:p>
            <w:pPr>
              <w:pStyle w:val="BodyTextIndent"/>
              <w:numPr>
                <w:ilvl w:val="1"/>
                <w:numId w:val="1"/>
              </w:numPr>
              <w:spacing w:before="0" w:after="0"/>
              <w:ind w:hanging="0" w:left="0"/>
              <w:rPr>
                <w:sz w:val="24"/>
                <w:szCs w:val="24"/>
              </w:rPr>
            </w:pPr>
            <w:r>
              <w:rPr>
                <w:b/>
                <w:kern w:val="0"/>
                <w:sz w:val="24"/>
                <w:szCs w:val="24"/>
                <w:lang w:val="ru-RU" w:bidi="ar-SA"/>
              </w:rPr>
              <w:t>Заказчик</w:t>
            </w:r>
          </w:p>
          <w:p>
            <w:pPr>
              <w:pStyle w:val="Normal"/>
              <w:widowControl w:val="false"/>
              <w:shd w:val="clear" w:color="auto" w:fill="FFFFFF"/>
              <w:spacing w:before="0" w:after="0"/>
              <w:ind w:hanging="0" w:left="57" w:right="0"/>
              <w:jc w:val="left"/>
              <w:rPr>
                <w:sz w:val="22"/>
              </w:rPr>
            </w:pPr>
            <w:r>
              <w:rPr>
                <w:rFonts w:eastAsia="Times New Roman" w:cs="Times New Roman"/>
                <w:color w:val="auto"/>
                <w:kern w:val="0"/>
                <w:sz w:val="22"/>
                <w:szCs w:val="22"/>
                <w:lang w:val="ru-RU" w:eastAsia="ru-RU" w:bidi="ar-SA"/>
              </w:rPr>
              <w:t>Управление Федеральной службы государственной регистрации, кадастра и картографии по Ивановской области</w:t>
            </w:r>
          </w:p>
          <w:p>
            <w:pPr>
              <w:pStyle w:val="Normal"/>
              <w:widowControl w:val="false"/>
              <w:shd w:val="clear" w:color="auto" w:fill="FFFFFF"/>
              <w:spacing w:before="0" w:after="0"/>
              <w:ind w:hanging="0" w:left="57" w:right="0"/>
              <w:jc w:val="left"/>
              <w:rPr>
                <w:sz w:val="22"/>
              </w:rPr>
            </w:pPr>
            <w:r>
              <w:rPr>
                <w:rFonts w:eastAsia="Times New Roman" w:cs="Times New Roman"/>
                <w:color w:val="auto"/>
                <w:kern w:val="0"/>
                <w:sz w:val="22"/>
                <w:szCs w:val="22"/>
                <w:lang w:val="ru-RU" w:eastAsia="ru-RU" w:bidi="ar-SA"/>
              </w:rPr>
              <w:t>153013, г. Иваново ул. Кавалерийская, д.5</w:t>
            </w:r>
          </w:p>
          <w:p>
            <w:pPr>
              <w:pStyle w:val="Normal"/>
              <w:widowControl w:val="false"/>
              <w:shd w:val="clear" w:color="auto" w:fill="FFFFFF"/>
              <w:spacing w:before="0" w:after="0"/>
              <w:ind w:hanging="0" w:left="57" w:right="0"/>
              <w:jc w:val="left"/>
              <w:rPr>
                <w:sz w:val="22"/>
              </w:rPr>
            </w:pPr>
            <w:r>
              <w:rPr>
                <w:rFonts w:eastAsia="Times New Roman" w:cs="Times New Roman"/>
                <w:color w:val="auto"/>
                <w:kern w:val="0"/>
                <w:sz w:val="22"/>
                <w:szCs w:val="22"/>
                <w:lang w:val="ru-RU" w:eastAsia="ru-RU" w:bidi="ar-SA"/>
              </w:rPr>
              <w:t xml:space="preserve">Эл. почта: </w:t>
            </w:r>
            <w:hyperlink r:id="rId2" w:tooltip="mailto:mto@r37.rosreestr.ru">
              <w:r>
                <w:rPr>
                  <w:rStyle w:val="Hyperlink"/>
                  <w:rFonts w:eastAsia="Times New Roman" w:cs="Times New Roman"/>
                  <w:color w:val="auto"/>
                  <w:kern w:val="0"/>
                  <w:sz w:val="22"/>
                  <w:szCs w:val="22"/>
                  <w:lang w:val="ru-RU" w:eastAsia="ru-RU" w:bidi="ar-SA"/>
                </w:rPr>
                <w:t>mto@r37.rosreestr.ru</w:t>
              </w:r>
            </w:hyperlink>
          </w:p>
          <w:p>
            <w:pPr>
              <w:pStyle w:val="Normal"/>
              <w:widowControl w:val="false"/>
              <w:shd w:val="clear" w:color="auto" w:fill="FFFFFF"/>
              <w:spacing w:before="0" w:after="0"/>
              <w:ind w:hanging="0" w:left="57" w:right="0"/>
              <w:jc w:val="left"/>
              <w:rPr>
                <w:sz w:val="22"/>
              </w:rPr>
            </w:pPr>
            <w:r>
              <w:rPr>
                <w:rFonts w:eastAsia="Times New Roman" w:cs="Times New Roman"/>
                <w:color w:val="auto"/>
                <w:kern w:val="0"/>
                <w:sz w:val="22"/>
                <w:szCs w:val="22"/>
                <w:lang w:val="ru-RU" w:eastAsia="ru-RU" w:bidi="ar-SA"/>
              </w:rPr>
              <w:t>Тел. 317935, Факс 317920</w:t>
            </w:r>
          </w:p>
          <w:p>
            <w:pPr>
              <w:pStyle w:val="Normal"/>
              <w:widowControl w:val="false"/>
              <w:shd w:val="clear" w:color="auto" w:fill="FFFFFF"/>
              <w:spacing w:before="0" w:after="0"/>
              <w:ind w:hanging="0" w:left="57" w:right="0"/>
              <w:jc w:val="left"/>
              <w:rPr>
                <w:sz w:val="22"/>
              </w:rPr>
            </w:pPr>
            <w:r>
              <w:rPr>
                <w:rFonts w:eastAsia="Times New Roman" w:cs="Times New Roman"/>
                <w:color w:val="auto"/>
                <w:kern w:val="0"/>
                <w:sz w:val="22"/>
                <w:szCs w:val="22"/>
                <w:lang w:val="ru-RU" w:eastAsia="ru-RU" w:bidi="ar-SA"/>
              </w:rPr>
              <w:t>ИНН: 3702064145</w:t>
            </w:r>
          </w:p>
          <w:p>
            <w:pPr>
              <w:pStyle w:val="Normal"/>
              <w:widowControl w:val="false"/>
              <w:shd w:val="clear" w:color="auto" w:fill="FFFFFF"/>
              <w:spacing w:before="0" w:after="0"/>
              <w:ind w:hanging="0" w:left="57" w:right="0"/>
              <w:jc w:val="left"/>
              <w:rPr>
                <w:sz w:val="22"/>
              </w:rPr>
            </w:pPr>
            <w:r>
              <w:rPr>
                <w:rFonts w:eastAsia="Times New Roman" w:cs="Times New Roman"/>
                <w:color w:val="auto"/>
                <w:kern w:val="0"/>
                <w:sz w:val="22"/>
                <w:szCs w:val="22"/>
                <w:lang w:val="ru-RU" w:eastAsia="ru-RU" w:bidi="ar-SA"/>
              </w:rPr>
              <w:t>КПП: 370201001</w:t>
            </w:r>
          </w:p>
          <w:p>
            <w:pPr>
              <w:pStyle w:val="Normal"/>
              <w:widowControl w:val="false"/>
              <w:shd w:val="clear" w:color="auto" w:fill="FFFFFF"/>
              <w:spacing w:before="0" w:after="0"/>
              <w:ind w:hanging="0" w:left="57" w:right="0"/>
              <w:jc w:val="left"/>
              <w:rPr>
                <w:sz w:val="22"/>
              </w:rPr>
            </w:pPr>
            <w:r>
              <w:rPr>
                <w:rFonts w:eastAsia="Times New Roman" w:cs="Times New Roman"/>
                <w:color w:val="auto"/>
                <w:kern w:val="0"/>
                <w:sz w:val="22"/>
                <w:szCs w:val="22"/>
                <w:lang w:val="ru-RU" w:eastAsia="ru-RU" w:bidi="ar-SA"/>
              </w:rPr>
              <w:t>ОКТМО: 24701000001</w:t>
            </w:r>
          </w:p>
          <w:p>
            <w:pPr>
              <w:pStyle w:val="Normal"/>
              <w:widowControl w:val="false"/>
              <w:shd w:val="clear" w:color="auto" w:fill="FFFFFF"/>
              <w:spacing w:before="0" w:after="0"/>
              <w:ind w:hanging="0" w:left="57" w:right="0"/>
              <w:jc w:val="left"/>
              <w:rPr>
                <w:sz w:val="22"/>
              </w:rPr>
            </w:pPr>
            <w:r>
              <w:rPr>
                <w:rFonts w:eastAsia="Times New Roman" w:cs="Times New Roman"/>
                <w:color w:val="auto"/>
                <w:kern w:val="0"/>
                <w:sz w:val="22"/>
                <w:szCs w:val="22"/>
                <w:lang w:val="ru-RU" w:eastAsia="ru-RU" w:bidi="ar-SA"/>
              </w:rPr>
              <w:t>ОКПО: 73216819</w:t>
            </w:r>
          </w:p>
          <w:p>
            <w:pPr>
              <w:pStyle w:val="Normal"/>
              <w:widowControl w:val="false"/>
              <w:shd w:val="clear" w:color="auto" w:fill="FFFFFF"/>
              <w:spacing w:before="0" w:after="0"/>
              <w:ind w:hanging="0" w:left="57" w:right="0"/>
              <w:jc w:val="left"/>
              <w:rPr>
                <w:sz w:val="22"/>
              </w:rPr>
            </w:pPr>
            <w:r>
              <w:rPr>
                <w:rFonts w:eastAsia="Times New Roman" w:cs="Times New Roman"/>
                <w:color w:val="auto"/>
                <w:kern w:val="0"/>
                <w:sz w:val="22"/>
                <w:szCs w:val="22"/>
                <w:lang w:val="ru-RU" w:eastAsia="ru-RU" w:bidi="ar-SA"/>
              </w:rPr>
              <w:t>ОКВЭД: 84.11.12</w:t>
            </w:r>
          </w:p>
          <w:p>
            <w:pPr>
              <w:pStyle w:val="Normal"/>
              <w:widowControl w:val="false"/>
              <w:shd w:val="clear" w:color="auto" w:fill="FFFFFF"/>
              <w:spacing w:before="0" w:after="0"/>
              <w:ind w:hanging="0" w:left="57" w:right="0"/>
              <w:jc w:val="left"/>
              <w:rPr>
                <w:sz w:val="22"/>
              </w:rPr>
            </w:pPr>
            <w:r>
              <w:rPr>
                <w:rFonts w:eastAsia="Times New Roman" w:cs="Times New Roman"/>
                <w:color w:val="auto"/>
                <w:kern w:val="0"/>
                <w:sz w:val="22"/>
                <w:szCs w:val="22"/>
                <w:lang w:val="ru-RU" w:eastAsia="ru-RU" w:bidi="ar-SA"/>
              </w:rPr>
              <w:t>ОГРН: 1043700251099</w:t>
            </w:r>
          </w:p>
          <w:p>
            <w:pPr>
              <w:pStyle w:val="Normal"/>
              <w:widowControl w:val="false"/>
              <w:shd w:val="clear" w:color="auto" w:fill="FFFFFF"/>
              <w:spacing w:before="0" w:after="0"/>
              <w:ind w:hanging="0" w:left="57" w:right="0"/>
              <w:jc w:val="left"/>
              <w:rPr>
                <w:sz w:val="22"/>
              </w:rPr>
            </w:pPr>
            <w:r>
              <w:rPr>
                <w:rFonts w:eastAsia="Times New Roman" w:cs="Times New Roman"/>
                <w:color w:val="auto"/>
                <w:kern w:val="0"/>
                <w:sz w:val="22"/>
                <w:szCs w:val="22"/>
                <w:lang w:val="ru-RU" w:eastAsia="ru-RU" w:bidi="ar-SA"/>
              </w:rPr>
              <w:t>Получатель платежа: УФК по Нижегородской области (Управление Федеральной службы государственной регистрации, кадастра и картографии по Ивановской области)</w:t>
            </w:r>
          </w:p>
          <w:p>
            <w:pPr>
              <w:pStyle w:val="Normal"/>
              <w:widowControl w:val="false"/>
              <w:shd w:val="clear" w:color="auto" w:fill="FFFFFF"/>
              <w:spacing w:before="0" w:after="0"/>
              <w:ind w:hanging="0" w:left="57" w:right="0"/>
              <w:jc w:val="left"/>
              <w:rPr>
                <w:sz w:val="22"/>
              </w:rPr>
            </w:pPr>
            <w:r>
              <w:rPr>
                <w:rFonts w:eastAsia="Times New Roman" w:cs="Times New Roman"/>
                <w:color w:val="auto"/>
                <w:kern w:val="0"/>
                <w:sz w:val="22"/>
                <w:szCs w:val="22"/>
                <w:lang w:val="ru-RU" w:eastAsia="ru-RU" w:bidi="ar-SA"/>
              </w:rPr>
              <w:t>Лицевой счет: 03331А39040</w:t>
            </w:r>
          </w:p>
          <w:p>
            <w:pPr>
              <w:pStyle w:val="Normal"/>
              <w:widowControl w:val="false"/>
              <w:shd w:val="clear" w:color="auto" w:fill="FFFFFF"/>
              <w:spacing w:before="0" w:after="0"/>
              <w:ind w:hanging="0" w:left="57" w:right="0"/>
              <w:jc w:val="left"/>
              <w:rPr>
                <w:sz w:val="22"/>
              </w:rPr>
            </w:pPr>
            <w:r>
              <w:rPr>
                <w:rFonts w:eastAsia="Times New Roman" w:cs="Times New Roman"/>
                <w:color w:val="auto"/>
                <w:kern w:val="0"/>
                <w:sz w:val="22"/>
                <w:szCs w:val="22"/>
                <w:lang w:val="ru-RU" w:eastAsia="ru-RU" w:bidi="ar-SA"/>
              </w:rPr>
              <w:t>Казначейский счет: 03211643000000013237</w:t>
            </w:r>
          </w:p>
          <w:p>
            <w:pPr>
              <w:pStyle w:val="Normal"/>
              <w:widowControl w:val="false"/>
              <w:shd w:val="clear" w:color="auto" w:fill="FFFFFF"/>
              <w:spacing w:before="0" w:after="0"/>
              <w:ind w:hanging="0" w:left="57" w:right="0"/>
              <w:jc w:val="left"/>
              <w:rPr>
                <w:sz w:val="22"/>
              </w:rPr>
            </w:pPr>
            <w:r>
              <w:rPr>
                <w:rFonts w:eastAsia="Times New Roman" w:cs="Times New Roman"/>
                <w:color w:val="auto"/>
                <w:kern w:val="0"/>
                <w:sz w:val="22"/>
                <w:szCs w:val="22"/>
                <w:lang w:val="ru-RU" w:eastAsia="ru-RU" w:bidi="ar-SA"/>
              </w:rPr>
              <w:t>ОКЦ № 1 ВВ ГУ Банка России//УФК по Нижегородской области, г. Нижний Новгород</w:t>
            </w:r>
          </w:p>
          <w:p>
            <w:pPr>
              <w:pStyle w:val="Normal"/>
              <w:widowControl w:val="false"/>
              <w:shd w:val="clear" w:color="auto" w:fill="FFFFFF"/>
              <w:spacing w:before="0" w:after="0"/>
              <w:ind w:hanging="0" w:left="57" w:right="0"/>
              <w:jc w:val="left"/>
              <w:rPr>
                <w:sz w:val="22"/>
              </w:rPr>
            </w:pPr>
            <w:r>
              <w:rPr>
                <w:rFonts w:eastAsia="Times New Roman" w:cs="Times New Roman"/>
                <w:color w:val="auto"/>
                <w:kern w:val="0"/>
                <w:sz w:val="22"/>
                <w:szCs w:val="22"/>
                <w:lang w:val="ru-RU" w:eastAsia="ru-RU" w:bidi="ar-SA"/>
              </w:rPr>
              <w:t>ЕКС 40102810745370000024</w:t>
            </w:r>
          </w:p>
          <w:p>
            <w:pPr>
              <w:pStyle w:val="Normal"/>
              <w:widowControl w:val="false"/>
              <w:shd w:val="clear" w:color="auto" w:fill="FFFFFF"/>
              <w:spacing w:before="0" w:after="0"/>
              <w:ind w:hanging="0" w:left="57" w:right="0"/>
              <w:jc w:val="left"/>
              <w:rPr>
                <w:sz w:val="22"/>
              </w:rPr>
            </w:pPr>
            <w:r>
              <w:rPr>
                <w:rFonts w:eastAsia="Times New Roman" w:cs="Times New Roman"/>
                <w:color w:val="auto"/>
                <w:kern w:val="0"/>
                <w:sz w:val="22"/>
                <w:szCs w:val="22"/>
                <w:lang w:val="ru-RU" w:eastAsia="ru-RU" w:bidi="ar-SA"/>
              </w:rPr>
              <w:t>БИК 012202102</w:t>
            </w:r>
          </w:p>
          <w:p>
            <w:pPr>
              <w:pStyle w:val="Normal"/>
              <w:widowControl w:val="false"/>
              <w:shd w:val="clear" w:color="auto" w:fill="FFFFFF"/>
              <w:spacing w:before="0" w:after="0"/>
              <w:ind w:hanging="0" w:left="57" w:right="0"/>
              <w:jc w:val="left"/>
              <w:rPr>
                <w:sz w:val="22"/>
              </w:rPr>
            </w:pPr>
            <w:r>
              <w:rPr>
                <w:rFonts w:eastAsia="Times New Roman" w:cs="Times New Roman"/>
                <w:color w:val="auto"/>
                <w:kern w:val="0"/>
                <w:sz w:val="22"/>
                <w:szCs w:val="22"/>
                <w:lang w:val="ru-RU" w:eastAsia="ru-RU" w:bidi="ar-SA"/>
              </w:rPr>
              <w:t>ИНН 3702064145</w:t>
            </w:r>
          </w:p>
          <w:p>
            <w:pPr>
              <w:pStyle w:val="Normal"/>
              <w:widowControl w:val="false"/>
              <w:shd w:val="clear" w:color="auto" w:fill="FFFFFF"/>
              <w:spacing w:before="0" w:after="0"/>
              <w:ind w:hanging="0" w:left="57" w:right="0"/>
              <w:jc w:val="left"/>
              <w:rPr>
                <w:sz w:val="22"/>
              </w:rPr>
            </w:pPr>
            <w:r>
              <w:rPr>
                <w:rFonts w:eastAsia="Times New Roman" w:cs="Times New Roman"/>
                <w:color w:val="auto"/>
                <w:kern w:val="0"/>
                <w:sz w:val="22"/>
                <w:szCs w:val="22"/>
                <w:lang w:val="ru-RU" w:eastAsia="ru-RU" w:bidi="ar-SA"/>
              </w:rPr>
              <w:t>КПП 370201001</w:t>
            </w:r>
          </w:p>
          <w:p>
            <w:pPr>
              <w:pStyle w:val="Normal"/>
              <w:widowControl w:val="false"/>
              <w:shd w:val="clear" w:color="auto" w:fill="FFFFFF"/>
              <w:spacing w:before="0" w:after="0"/>
              <w:ind w:hanging="0" w:left="57" w:right="0"/>
              <w:jc w:val="left"/>
              <w:rPr>
                <w:sz w:val="22"/>
              </w:rPr>
            </w:pPr>
            <w:r>
              <w:rPr>
                <w:rFonts w:eastAsia="Times New Roman" w:cs="Times New Roman"/>
                <w:color w:val="auto"/>
                <w:kern w:val="0"/>
                <w:sz w:val="22"/>
                <w:szCs w:val="22"/>
                <w:lang w:val="ru-RU" w:eastAsia="ru-RU" w:bidi="ar-SA"/>
              </w:rPr>
              <w:t>в УФК по Нижегородской области(Управление Федеральной службы государственной регистрации,кадастра и картографии по Ивановской области)</w:t>
            </w:r>
          </w:p>
        </w:tc>
        <w:tc>
          <w:tcPr>
            <w:tcW w:w="4568" w:type="dxa"/>
            <w:tcBorders/>
          </w:tcPr>
          <w:p>
            <w:pPr>
              <w:pStyle w:val="BodyTextIndent"/>
              <w:numPr>
                <w:ilvl w:val="1"/>
                <w:numId w:val="1"/>
              </w:numPr>
              <w:spacing w:before="0" w:after="0"/>
              <w:ind w:hanging="10" w:left="0"/>
              <w:rPr>
                <w:sz w:val="24"/>
                <w:szCs w:val="24"/>
              </w:rPr>
            </w:pPr>
            <w:r>
              <w:rPr>
                <w:b/>
                <w:kern w:val="0"/>
                <w:sz w:val="24"/>
                <w:szCs w:val="24"/>
                <w:lang w:val="ru-RU" w:bidi="ar-SA"/>
              </w:rPr>
              <w:t>Продавец</w:t>
            </w:r>
          </w:p>
          <w:p>
            <w:pPr>
              <w:pStyle w:val="Normal"/>
              <w:ind w:hanging="0"/>
              <w:jc w:val="left"/>
              <w:rPr>
                <w:szCs w:val="24"/>
              </w:rPr>
            </w:pPr>
            <w:r>
              <w:rPr>
                <w:szCs w:val="24"/>
              </w:rPr>
            </w:r>
          </w:p>
        </w:tc>
      </w:tr>
      <w:tr>
        <w:trPr/>
        <w:tc>
          <w:tcPr>
            <w:tcW w:w="4618" w:type="dxa"/>
            <w:tcBorders/>
          </w:tcPr>
          <w:p>
            <w:pPr>
              <w:pStyle w:val="BodyText"/>
              <w:spacing w:before="0" w:after="0"/>
              <w:jc w:val="center"/>
              <w:rPr>
                <w:sz w:val="24"/>
                <w:szCs w:val="24"/>
              </w:rPr>
            </w:pPr>
            <w:r>
              <w:rPr>
                <w:sz w:val="24"/>
                <w:szCs w:val="24"/>
              </w:rPr>
            </w:r>
          </w:p>
          <w:p>
            <w:pPr>
              <w:pStyle w:val="BodyText"/>
              <w:spacing w:before="0" w:after="0"/>
              <w:jc w:val="center"/>
              <w:rPr>
                <w:sz w:val="24"/>
                <w:szCs w:val="24"/>
              </w:rPr>
            </w:pPr>
            <w:r>
              <w:rPr>
                <w:sz w:val="24"/>
                <w:szCs w:val="24"/>
              </w:rPr>
            </w:r>
          </w:p>
          <w:p>
            <w:pPr>
              <w:pStyle w:val="BodyText"/>
              <w:spacing w:before="0" w:after="0"/>
              <w:jc w:val="center"/>
              <w:rPr>
                <w:sz w:val="24"/>
                <w:szCs w:val="24"/>
              </w:rPr>
            </w:pPr>
            <w:r>
              <w:rPr>
                <w:kern w:val="0"/>
                <w:sz w:val="24"/>
                <w:szCs w:val="24"/>
                <w:lang w:val="ru-RU" w:bidi="ar-SA"/>
              </w:rPr>
              <w:t>________________/________/</w:t>
            </w:r>
          </w:p>
          <w:p>
            <w:pPr>
              <w:pStyle w:val="BodyTextIndent"/>
              <w:spacing w:before="60" w:after="60"/>
              <w:ind w:hanging="0" w:left="0"/>
              <w:rPr>
                <w:b/>
                <w:sz w:val="24"/>
                <w:szCs w:val="24"/>
              </w:rPr>
            </w:pPr>
            <w:r>
              <w:rPr>
                <w:kern w:val="0"/>
                <w:sz w:val="24"/>
                <w:szCs w:val="24"/>
                <w:lang w:val="ru-RU" w:bidi="ar-SA"/>
              </w:rPr>
              <w:t>М.П.</w:t>
            </w:r>
          </w:p>
        </w:tc>
        <w:tc>
          <w:tcPr>
            <w:tcW w:w="4568" w:type="dxa"/>
            <w:tcBorders/>
          </w:tcPr>
          <w:p>
            <w:pPr>
              <w:pStyle w:val="BodyText"/>
              <w:spacing w:before="0" w:after="0"/>
              <w:jc w:val="center"/>
              <w:rPr>
                <w:sz w:val="24"/>
                <w:szCs w:val="24"/>
              </w:rPr>
            </w:pPr>
            <w:r>
              <w:rPr>
                <w:sz w:val="24"/>
                <w:szCs w:val="24"/>
              </w:rPr>
            </w:r>
          </w:p>
          <w:p>
            <w:pPr>
              <w:pStyle w:val="BodyText"/>
              <w:spacing w:before="0" w:after="0"/>
              <w:jc w:val="center"/>
              <w:rPr>
                <w:sz w:val="24"/>
                <w:szCs w:val="24"/>
              </w:rPr>
            </w:pPr>
            <w:r>
              <w:rPr>
                <w:sz w:val="24"/>
                <w:szCs w:val="24"/>
              </w:rPr>
            </w:r>
          </w:p>
          <w:p>
            <w:pPr>
              <w:pStyle w:val="BodyText"/>
              <w:spacing w:before="0" w:after="0"/>
              <w:jc w:val="center"/>
              <w:rPr>
                <w:sz w:val="24"/>
                <w:szCs w:val="24"/>
              </w:rPr>
            </w:pPr>
            <w:r>
              <w:rPr>
                <w:kern w:val="0"/>
                <w:sz w:val="24"/>
                <w:szCs w:val="24"/>
                <w:lang w:val="ru-RU" w:bidi="ar-SA"/>
              </w:rPr>
              <w:t>_________________ /________/</w:t>
            </w:r>
          </w:p>
          <w:p>
            <w:pPr>
              <w:pStyle w:val="BodyTextIndent"/>
              <w:spacing w:before="60" w:after="60"/>
              <w:ind w:hanging="0" w:left="0"/>
              <w:rPr>
                <w:b/>
                <w:sz w:val="24"/>
                <w:szCs w:val="24"/>
              </w:rPr>
            </w:pPr>
            <w:r>
              <w:rPr>
                <w:kern w:val="0"/>
                <w:sz w:val="24"/>
                <w:szCs w:val="24"/>
                <w:lang w:val="ru-RU" w:bidi="ar-SA"/>
              </w:rPr>
              <w:t>М.П.</w:t>
            </w:r>
          </w:p>
        </w:tc>
      </w:tr>
    </w:tbl>
    <w:p>
      <w:pPr>
        <w:pStyle w:val="Normal"/>
        <w:ind w:hanging="0"/>
        <w:rPr>
          <w:szCs w:val="24"/>
          <w:lang w:eastAsia="ru-RU"/>
        </w:rPr>
      </w:pPr>
      <w:r>
        <w:rPr>
          <w:szCs w:val="24"/>
          <w:lang w:eastAsia="ru-RU"/>
        </w:rPr>
      </w:r>
    </w:p>
    <w:p>
      <w:pPr>
        <w:pStyle w:val="BodyTextIndent"/>
        <w:spacing w:before="60" w:after="60"/>
        <w:jc w:val="right"/>
        <w:rPr>
          <w:sz w:val="20"/>
          <w:szCs w:val="20"/>
        </w:rPr>
      </w:pPr>
      <w:r>
        <w:rPr>
          <w:sz w:val="20"/>
          <w:szCs w:val="20"/>
        </w:rPr>
      </w:r>
    </w:p>
    <w:p>
      <w:pPr>
        <w:pStyle w:val="BodyTextIndent"/>
        <w:spacing w:before="60" w:after="60"/>
        <w:jc w:val="right"/>
        <w:rPr>
          <w:sz w:val="20"/>
          <w:szCs w:val="20"/>
        </w:rPr>
      </w:pPr>
      <w:r>
        <w:rPr>
          <w:sz w:val="20"/>
          <w:szCs w:val="20"/>
        </w:rPr>
      </w:r>
    </w:p>
    <w:p>
      <w:pPr>
        <w:pStyle w:val="BodyTextIndent"/>
        <w:spacing w:before="60" w:after="60"/>
        <w:jc w:val="right"/>
        <w:rPr>
          <w:sz w:val="20"/>
          <w:szCs w:val="20"/>
        </w:rPr>
      </w:pPr>
      <w:r>
        <w:rPr>
          <w:sz w:val="20"/>
          <w:szCs w:val="20"/>
        </w:rPr>
      </w:r>
    </w:p>
    <w:p>
      <w:pPr>
        <w:pStyle w:val="BodyTextIndent"/>
        <w:spacing w:before="60" w:after="60"/>
        <w:jc w:val="right"/>
        <w:rPr>
          <w:sz w:val="20"/>
          <w:szCs w:val="20"/>
        </w:rPr>
      </w:pPr>
      <w:r>
        <w:rPr>
          <w:sz w:val="20"/>
          <w:szCs w:val="20"/>
        </w:rPr>
      </w:r>
    </w:p>
    <w:p>
      <w:pPr>
        <w:pStyle w:val="BodyTextIndent"/>
        <w:spacing w:before="60" w:after="60"/>
        <w:jc w:val="right"/>
        <w:rPr>
          <w:sz w:val="20"/>
          <w:szCs w:val="20"/>
        </w:rPr>
      </w:pPr>
      <w:r>
        <w:rPr>
          <w:sz w:val="20"/>
          <w:szCs w:val="20"/>
        </w:rPr>
      </w:r>
    </w:p>
    <w:p>
      <w:pPr>
        <w:pStyle w:val="BodyTextIndent"/>
        <w:spacing w:before="60" w:after="60"/>
        <w:jc w:val="right"/>
        <w:rPr>
          <w:sz w:val="20"/>
          <w:szCs w:val="20"/>
        </w:rPr>
      </w:pPr>
      <w:r>
        <w:rPr>
          <w:sz w:val="20"/>
          <w:szCs w:val="20"/>
        </w:rPr>
        <w:t>Приложение № 1</w:t>
      </w:r>
    </w:p>
    <w:p>
      <w:pPr>
        <w:pStyle w:val="BodyTextIndent"/>
        <w:spacing w:before="60" w:after="60"/>
        <w:jc w:val="right"/>
        <w:rPr>
          <w:sz w:val="20"/>
          <w:szCs w:val="20"/>
        </w:rPr>
      </w:pPr>
      <w:r>
        <w:rPr>
          <w:sz w:val="20"/>
          <w:szCs w:val="20"/>
        </w:rPr>
        <w:t xml:space="preserve">к Договору </w:t>
      </w:r>
    </w:p>
    <w:p>
      <w:pPr>
        <w:pStyle w:val="BodyTextIndent"/>
        <w:spacing w:before="60" w:after="60"/>
        <w:jc w:val="right"/>
        <w:rPr>
          <w:sz w:val="20"/>
          <w:szCs w:val="20"/>
        </w:rPr>
      </w:pPr>
      <w:r>
        <w:rPr>
          <w:sz w:val="20"/>
          <w:szCs w:val="20"/>
        </w:rPr>
        <w:t>от _____________ № ____</w:t>
      </w:r>
    </w:p>
    <w:p>
      <w:pPr>
        <w:pStyle w:val="BodyTextIndent"/>
        <w:spacing w:before="60" w:after="60"/>
        <w:jc w:val="right"/>
        <w:rPr>
          <w:sz w:val="20"/>
          <w:szCs w:val="20"/>
        </w:rPr>
      </w:pPr>
      <w:r>
        <w:rPr>
          <w:sz w:val="20"/>
          <w:szCs w:val="20"/>
        </w:rPr>
      </w:r>
    </w:p>
    <w:p>
      <w:pPr>
        <w:pStyle w:val="BodyTextIndent"/>
        <w:spacing w:before="60" w:after="60"/>
        <w:jc w:val="center"/>
        <w:rPr>
          <w:b/>
          <w:sz w:val="20"/>
          <w:szCs w:val="20"/>
        </w:rPr>
      </w:pPr>
      <w:r>
        <w:rPr>
          <w:b/>
          <w:sz w:val="20"/>
          <w:szCs w:val="20"/>
        </w:rPr>
        <w:t>Спецификация</w:t>
      </w:r>
    </w:p>
    <w:p>
      <w:pPr>
        <w:pStyle w:val="BodyTextIndent"/>
        <w:spacing w:before="60" w:after="60"/>
        <w:jc w:val="center"/>
        <w:rPr>
          <w:b/>
          <w:sz w:val="20"/>
          <w:szCs w:val="20"/>
        </w:rPr>
      </w:pPr>
      <w:r>
        <w:rPr>
          <w:b/>
          <w:sz w:val="20"/>
          <w:szCs w:val="20"/>
        </w:rPr>
      </w:r>
    </w:p>
    <w:tbl>
      <w:tblPr>
        <w:tblStyle w:val="872"/>
        <w:tblW w:w="10585" w:type="dxa"/>
        <w:jc w:val="left"/>
        <w:tblInd w:w="-601" w:type="dxa"/>
        <w:tblLayout w:type="fixed"/>
        <w:tblCellMar>
          <w:top w:w="0" w:type="dxa"/>
          <w:left w:w="108" w:type="dxa"/>
          <w:bottom w:w="0" w:type="dxa"/>
          <w:right w:w="108" w:type="dxa"/>
        </w:tblCellMar>
        <w:tblLook w:val="04a0" w:noHBand="0" w:noVBand="1" w:firstColumn="1" w:lastRow="0" w:lastColumn="0" w:firstRow="1"/>
      </w:tblPr>
      <w:tblGrid>
        <w:gridCol w:w="554"/>
        <w:gridCol w:w="2076"/>
        <w:gridCol w:w="4111"/>
        <w:gridCol w:w="800"/>
        <w:gridCol w:w="733"/>
        <w:gridCol w:w="1055"/>
        <w:gridCol w:w="1255"/>
      </w:tblGrid>
      <w:tr>
        <w:trPr>
          <w:trHeight w:val="1005" w:hRule="atLeast"/>
        </w:trPr>
        <w:tc>
          <w:tcPr>
            <w:tcW w:w="554" w:type="dxa"/>
            <w:tcBorders>
              <w:top w:val="single" w:sz="2" w:space="0" w:color="000000"/>
              <w:left w:val="single" w:sz="2" w:space="0" w:color="000000"/>
              <w:bottom w:val="single" w:sz="2" w:space="0" w:color="000000"/>
            </w:tcBorders>
            <w:vAlign w:val="center"/>
          </w:tcPr>
          <w:p>
            <w:pPr>
              <w:pStyle w:val="BodyTextIndent"/>
              <w:spacing w:before="60" w:after="60"/>
              <w:ind w:hanging="0" w:left="0"/>
              <w:jc w:val="center"/>
              <w:rPr>
                <w:kern w:val="0"/>
                <w:sz w:val="20"/>
                <w:szCs w:val="20"/>
                <w:lang w:val="ru-RU" w:bidi="ar-SA"/>
              </w:rPr>
            </w:pPr>
            <w:r>
              <w:rPr>
                <w:b/>
                <w:kern w:val="0"/>
                <w:sz w:val="20"/>
                <w:szCs w:val="20"/>
                <w:lang w:val="ru-RU" w:bidi="ar-SA"/>
              </w:rPr>
              <w:t>№</w:t>
            </w:r>
          </w:p>
          <w:p>
            <w:pPr>
              <w:pStyle w:val="BodyTextIndent"/>
              <w:spacing w:before="60" w:after="60"/>
              <w:ind w:hanging="0" w:left="0"/>
              <w:jc w:val="center"/>
              <w:rPr>
                <w:kern w:val="0"/>
                <w:sz w:val="20"/>
                <w:szCs w:val="20"/>
                <w:lang w:val="ru-RU" w:bidi="ar-SA"/>
              </w:rPr>
            </w:pPr>
            <w:r>
              <w:rPr>
                <w:b/>
                <w:kern w:val="0"/>
                <w:sz w:val="20"/>
                <w:szCs w:val="20"/>
                <w:lang w:val="ru-RU" w:bidi="ar-SA"/>
              </w:rPr>
              <w:t>п/п</w:t>
            </w:r>
          </w:p>
        </w:tc>
        <w:tc>
          <w:tcPr>
            <w:tcW w:w="2076" w:type="dxa"/>
            <w:tcBorders>
              <w:top w:val="single" w:sz="2" w:space="0" w:color="000000"/>
              <w:left w:val="single" w:sz="2" w:space="0" w:color="000000"/>
              <w:bottom w:val="single" w:sz="2" w:space="0" w:color="000000"/>
            </w:tcBorders>
            <w:vAlign w:val="center"/>
          </w:tcPr>
          <w:p>
            <w:pPr>
              <w:pStyle w:val="BodyTextIndent"/>
              <w:spacing w:before="60" w:after="60"/>
              <w:ind w:hanging="0" w:left="0"/>
              <w:jc w:val="center"/>
              <w:rPr>
                <w:kern w:val="0"/>
                <w:sz w:val="20"/>
                <w:szCs w:val="20"/>
                <w:lang w:val="ru-RU" w:bidi="ar-SA"/>
              </w:rPr>
            </w:pPr>
            <w:r>
              <w:rPr>
                <w:b/>
                <w:kern w:val="0"/>
                <w:sz w:val="20"/>
                <w:szCs w:val="20"/>
                <w:lang w:val="ru-RU" w:bidi="ar-SA"/>
              </w:rPr>
              <w:t>Наименование</w:t>
            </w:r>
          </w:p>
        </w:tc>
        <w:tc>
          <w:tcPr>
            <w:tcW w:w="4111" w:type="dxa"/>
            <w:tcBorders>
              <w:top w:val="single" w:sz="2" w:space="0" w:color="000000"/>
              <w:left w:val="single" w:sz="2" w:space="0" w:color="000000"/>
              <w:bottom w:val="single" w:sz="2" w:space="0" w:color="000000"/>
            </w:tcBorders>
            <w:vAlign w:val="center"/>
          </w:tcPr>
          <w:p>
            <w:pPr>
              <w:pStyle w:val="BodyTextIndent"/>
              <w:spacing w:before="60" w:after="60"/>
              <w:ind w:hanging="0" w:left="0"/>
              <w:jc w:val="center"/>
              <w:rPr>
                <w:kern w:val="0"/>
                <w:sz w:val="20"/>
                <w:szCs w:val="20"/>
                <w:lang w:val="ru-RU" w:bidi="ar-SA"/>
              </w:rPr>
            </w:pPr>
            <w:r>
              <w:rPr>
                <w:b/>
                <w:kern w:val="0"/>
                <w:sz w:val="20"/>
                <w:szCs w:val="20"/>
                <w:lang w:val="ru-RU" w:bidi="ar-SA"/>
              </w:rPr>
              <w:t>Характеристики</w:t>
            </w:r>
          </w:p>
        </w:tc>
        <w:tc>
          <w:tcPr>
            <w:tcW w:w="800" w:type="dxa"/>
            <w:tcBorders>
              <w:top w:val="single" w:sz="2" w:space="0" w:color="000000"/>
              <w:left w:val="single" w:sz="2" w:space="0" w:color="000000"/>
              <w:bottom w:val="single" w:sz="2" w:space="0" w:color="000000"/>
            </w:tcBorders>
            <w:vAlign w:val="center"/>
          </w:tcPr>
          <w:p>
            <w:pPr>
              <w:pStyle w:val="BodyTextIndent"/>
              <w:spacing w:before="60" w:after="60"/>
              <w:ind w:hanging="0" w:left="0"/>
              <w:jc w:val="center"/>
              <w:rPr>
                <w:kern w:val="0"/>
                <w:sz w:val="20"/>
                <w:szCs w:val="20"/>
                <w:lang w:val="ru-RU" w:bidi="ar-SA"/>
              </w:rPr>
            </w:pPr>
            <w:r>
              <w:rPr>
                <w:b/>
                <w:kern w:val="0"/>
                <w:sz w:val="20"/>
                <w:szCs w:val="20"/>
                <w:lang w:val="ru-RU" w:bidi="ar-SA"/>
              </w:rPr>
              <w:t>Ед.</w:t>
            </w:r>
          </w:p>
          <w:p>
            <w:pPr>
              <w:pStyle w:val="BodyTextIndent"/>
              <w:spacing w:before="60" w:after="60"/>
              <w:ind w:hanging="0" w:left="0"/>
              <w:jc w:val="center"/>
              <w:rPr>
                <w:kern w:val="0"/>
                <w:sz w:val="20"/>
                <w:szCs w:val="20"/>
                <w:lang w:val="ru-RU" w:bidi="ar-SA"/>
              </w:rPr>
            </w:pPr>
            <w:r>
              <w:rPr>
                <w:b/>
                <w:kern w:val="0"/>
                <w:sz w:val="20"/>
                <w:szCs w:val="20"/>
                <w:lang w:val="ru-RU" w:bidi="ar-SA"/>
              </w:rPr>
              <w:t>изм.</w:t>
            </w:r>
          </w:p>
        </w:tc>
        <w:tc>
          <w:tcPr>
            <w:tcW w:w="733" w:type="dxa"/>
            <w:tcBorders>
              <w:top w:val="single" w:sz="2" w:space="0" w:color="000000"/>
              <w:left w:val="single" w:sz="2" w:space="0" w:color="000000"/>
              <w:bottom w:val="single" w:sz="2" w:space="0" w:color="000000"/>
            </w:tcBorders>
            <w:vAlign w:val="center"/>
          </w:tcPr>
          <w:p>
            <w:pPr>
              <w:pStyle w:val="BodyTextIndent"/>
              <w:spacing w:before="60" w:after="60"/>
              <w:ind w:hanging="0" w:left="0"/>
              <w:jc w:val="center"/>
              <w:rPr>
                <w:kern w:val="0"/>
                <w:sz w:val="20"/>
                <w:szCs w:val="20"/>
                <w:lang w:val="ru-RU" w:bidi="ar-SA"/>
              </w:rPr>
            </w:pPr>
            <w:r>
              <w:rPr>
                <w:b/>
                <w:kern w:val="0"/>
                <w:sz w:val="20"/>
                <w:szCs w:val="20"/>
                <w:lang w:val="ru-RU" w:bidi="ar-SA"/>
              </w:rPr>
              <w:t>Кол-во</w:t>
            </w:r>
          </w:p>
        </w:tc>
        <w:tc>
          <w:tcPr>
            <w:tcW w:w="1055" w:type="dxa"/>
            <w:tcBorders>
              <w:top w:val="single" w:sz="2" w:space="0" w:color="000000"/>
              <w:left w:val="single" w:sz="2" w:space="0" w:color="000000"/>
              <w:bottom w:val="single" w:sz="2" w:space="0" w:color="000000"/>
            </w:tcBorders>
            <w:vAlign w:val="center"/>
          </w:tcPr>
          <w:p>
            <w:pPr>
              <w:pStyle w:val="BodyTextIndent"/>
              <w:spacing w:before="60" w:after="60"/>
              <w:ind w:hanging="0" w:left="0"/>
              <w:jc w:val="center"/>
              <w:rPr>
                <w:kern w:val="0"/>
                <w:sz w:val="20"/>
                <w:szCs w:val="20"/>
                <w:lang w:val="ru-RU" w:bidi="ar-SA"/>
              </w:rPr>
            </w:pPr>
            <w:r>
              <w:rPr>
                <w:b/>
                <w:kern w:val="0"/>
                <w:sz w:val="20"/>
                <w:szCs w:val="20"/>
                <w:lang w:val="ru-RU" w:bidi="ar-SA"/>
              </w:rPr>
              <w:t>Цена</w:t>
            </w:r>
          </w:p>
          <w:p>
            <w:pPr>
              <w:pStyle w:val="BodyTextIndent"/>
              <w:spacing w:before="60" w:after="60"/>
              <w:ind w:hanging="0" w:left="0"/>
              <w:jc w:val="center"/>
              <w:rPr>
                <w:kern w:val="0"/>
                <w:sz w:val="20"/>
                <w:szCs w:val="20"/>
                <w:lang w:val="ru-RU" w:bidi="ar-SA"/>
              </w:rPr>
            </w:pPr>
            <w:r>
              <w:rPr>
                <w:b/>
                <w:kern w:val="0"/>
                <w:sz w:val="20"/>
                <w:szCs w:val="20"/>
                <w:lang w:val="ru-RU" w:bidi="ar-SA"/>
              </w:rPr>
              <w:t>(руб.)</w:t>
            </w:r>
          </w:p>
        </w:tc>
        <w:tc>
          <w:tcPr>
            <w:tcW w:w="1255" w:type="dxa"/>
            <w:tcBorders>
              <w:top w:val="single" w:sz="2" w:space="0" w:color="000000"/>
              <w:left w:val="single" w:sz="2" w:space="0" w:color="000000"/>
              <w:bottom w:val="single" w:sz="2" w:space="0" w:color="000000"/>
              <w:right w:val="single" w:sz="2" w:space="0" w:color="000000"/>
            </w:tcBorders>
            <w:vAlign w:val="center"/>
          </w:tcPr>
          <w:p>
            <w:pPr>
              <w:pStyle w:val="BodyTextIndent"/>
              <w:spacing w:before="60" w:after="60"/>
              <w:ind w:hanging="0" w:left="0"/>
              <w:jc w:val="center"/>
              <w:rPr>
                <w:kern w:val="0"/>
                <w:sz w:val="20"/>
                <w:szCs w:val="20"/>
                <w:lang w:val="ru-RU" w:bidi="ar-SA"/>
              </w:rPr>
            </w:pPr>
            <w:r>
              <w:rPr>
                <w:b/>
                <w:kern w:val="0"/>
                <w:sz w:val="20"/>
                <w:szCs w:val="20"/>
                <w:lang w:val="ru-RU" w:bidi="ar-SA"/>
              </w:rPr>
              <w:t>Сумма</w:t>
            </w:r>
          </w:p>
        </w:tc>
      </w:tr>
      <w:tr>
        <w:trPr>
          <w:trHeight w:val="699" w:hRule="atLeast"/>
        </w:trPr>
        <w:tc>
          <w:tcPr>
            <w:tcW w:w="554"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1</w:t>
            </w:r>
          </w:p>
        </w:tc>
        <w:tc>
          <w:tcPr>
            <w:tcW w:w="2076" w:type="dxa"/>
            <w:tcBorders>
              <w:left w:val="single" w:sz="2" w:space="0" w:color="000000"/>
              <w:bottom w:val="single" w:sz="2" w:space="0" w:color="000000"/>
            </w:tcBorders>
            <w:vAlign w:val="center"/>
          </w:tcPr>
          <w:p>
            <w:pPr>
              <w:pStyle w:val="Normal"/>
              <w:bidi w:val="0"/>
              <w:spacing w:lineRule="auto" w:line="240" w:beforeAutospacing="0" w:before="60" w:afterAutospacing="0" w:after="60"/>
              <w:ind w:hanging="0" w:left="0"/>
              <w:jc w:val="left"/>
              <w:rPr>
                <w:rFonts w:ascii="Times New Roman" w:hAnsi="Times New Roman" w:eastAsia="Times New Roman" w:cs="Times New Roman"/>
                <w:sz w:val="20"/>
                <w:szCs w:val="20"/>
              </w:rPr>
            </w:pPr>
            <w:r>
              <w:rPr>
                <w:rFonts w:eastAsia="Times New Roman" w:cs="Times New Roman"/>
                <w:sz w:val="20"/>
                <w:szCs w:val="20"/>
              </w:rPr>
              <w:t>Набор отверток Зубр Профессионал-18</w:t>
            </w:r>
          </w:p>
        </w:tc>
        <w:tc>
          <w:tcPr>
            <w:tcW w:w="4111" w:type="dxa"/>
            <w:tcBorders>
              <w:left w:val="single" w:sz="2" w:space="0" w:color="000000"/>
              <w:bottom w:val="single" w:sz="2" w:space="0" w:color="000000"/>
            </w:tcBorders>
          </w:tcPr>
          <w:p>
            <w:pPr>
              <w:pStyle w:val="Normal"/>
              <w:spacing w:before="60" w:after="60"/>
              <w:ind w:hanging="0" w:left="0"/>
              <w:jc w:val="left"/>
              <w:rPr>
                <w:sz w:val="20"/>
              </w:rPr>
            </w:pPr>
            <w:r>
              <w:rPr>
                <w:sz w:val="20"/>
              </w:rPr>
              <w:t>Бренд — Зубр;</w:t>
            </w:r>
          </w:p>
          <w:p>
            <w:pPr>
              <w:pStyle w:val="Normal"/>
              <w:spacing w:before="60" w:after="60"/>
              <w:ind w:hanging="0" w:left="0"/>
              <w:jc w:val="left"/>
              <w:rPr>
                <w:sz w:val="20"/>
              </w:rPr>
            </w:pPr>
            <w:r>
              <w:rPr>
                <w:sz w:val="20"/>
              </w:rPr>
              <w:t>Тип наконечника - PH, SL;</w:t>
            </w:r>
          </w:p>
          <w:p>
            <w:pPr>
              <w:pStyle w:val="Normal"/>
              <w:spacing w:before="60" w:after="60"/>
              <w:ind w:hanging="0" w:left="0"/>
              <w:jc w:val="left"/>
              <w:rPr>
                <w:sz w:val="20"/>
              </w:rPr>
            </w:pPr>
            <w:r>
              <w:rPr>
                <w:sz w:val="20"/>
              </w:rPr>
              <w:t>Диэлектрическая защита — Нет;</w:t>
            </w:r>
          </w:p>
          <w:p>
            <w:pPr>
              <w:pStyle w:val="Normal"/>
              <w:spacing w:before="60" w:after="60"/>
              <w:ind w:hanging="0" w:left="0"/>
              <w:jc w:val="left"/>
              <w:rPr>
                <w:sz w:val="20"/>
              </w:rPr>
            </w:pPr>
            <w:r>
              <w:rPr>
                <w:sz w:val="20"/>
              </w:rPr>
              <w:t>Магнитный наконечник — Да;</w:t>
            </w:r>
          </w:p>
          <w:p>
            <w:pPr>
              <w:pStyle w:val="Normal"/>
              <w:spacing w:before="60" w:after="60"/>
              <w:ind w:hanging="0" w:left="0"/>
              <w:jc w:val="left"/>
              <w:rPr>
                <w:sz w:val="20"/>
              </w:rPr>
            </w:pPr>
            <w:r>
              <w:rPr>
                <w:sz w:val="20"/>
              </w:rPr>
              <w:t>Размер шлица - PZ1, SL6, PZ2, SL2.5, PH0, PH2, SL8, PH00, PH1, SL3, SL5;</w:t>
            </w:r>
          </w:p>
          <w:p>
            <w:pPr>
              <w:pStyle w:val="Normal"/>
              <w:spacing w:before="60" w:after="60"/>
              <w:ind w:hanging="0" w:left="0"/>
              <w:jc w:val="left"/>
              <w:rPr>
                <w:sz w:val="20"/>
              </w:rPr>
            </w:pPr>
            <w:r>
              <w:rPr>
                <w:sz w:val="20"/>
              </w:rPr>
              <w:t>Форма ручки — Прямой;</w:t>
            </w:r>
          </w:p>
          <w:p>
            <w:pPr>
              <w:pStyle w:val="Normal"/>
              <w:spacing w:before="60" w:after="60"/>
              <w:ind w:hanging="0" w:left="0"/>
              <w:jc w:val="left"/>
              <w:rPr>
                <w:sz w:val="20"/>
              </w:rPr>
            </w:pPr>
            <w:r>
              <w:rPr>
                <w:sz w:val="20"/>
              </w:rPr>
              <w:t>Материал ручки - Двухкомпонентный пластик с резиновыми вставками;</w:t>
            </w:r>
          </w:p>
          <w:p>
            <w:pPr>
              <w:pStyle w:val="Normal"/>
              <w:spacing w:before="60" w:after="60"/>
              <w:ind w:hanging="0" w:left="0"/>
              <w:jc w:val="left"/>
              <w:rPr>
                <w:sz w:val="20"/>
              </w:rPr>
            </w:pPr>
            <w:r>
              <w:rPr>
                <w:sz w:val="20"/>
              </w:rPr>
              <w:t>Функция трещотки — Нет;</w:t>
            </w:r>
          </w:p>
          <w:p>
            <w:pPr>
              <w:pStyle w:val="Normal"/>
              <w:spacing w:before="60" w:after="60"/>
              <w:ind w:hanging="0" w:left="0"/>
              <w:jc w:val="left"/>
              <w:rPr>
                <w:sz w:val="20"/>
              </w:rPr>
            </w:pPr>
            <w:r>
              <w:rPr>
                <w:sz w:val="20"/>
              </w:rPr>
              <w:t>Состав комплекта - Набор отверток Зубр 25242, 18 шт.</w:t>
            </w:r>
          </w:p>
          <w:p>
            <w:pPr>
              <w:pStyle w:val="BodyTextIndent"/>
              <w:bidi w:val="0"/>
              <w:spacing w:lineRule="auto" w:line="240" w:beforeAutospacing="0" w:before="60" w:afterAutospacing="0" w:after="60"/>
              <w:ind w:hanging="0" w:left="0"/>
              <w:jc w:val="left"/>
              <w:rPr>
                <w:rFonts w:ascii="Times New Roman" w:hAnsi="Times New Roman" w:eastAsia="Times New Roman" w:cs="Times New Roman"/>
                <w:sz w:val="20"/>
                <w:szCs w:val="20"/>
              </w:rPr>
            </w:pPr>
            <w:r>
              <w:rPr>
                <w:rFonts w:eastAsia="Times New Roman" w:cs="Times New Roman"/>
                <w:sz w:val="20"/>
                <w:szCs w:val="20"/>
              </w:rPr>
            </w:r>
          </w:p>
        </w:tc>
        <w:tc>
          <w:tcPr>
            <w:tcW w:w="800"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шт</w:t>
            </w:r>
          </w:p>
        </w:tc>
        <w:tc>
          <w:tcPr>
            <w:tcW w:w="733"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1</w:t>
            </w:r>
          </w:p>
        </w:tc>
        <w:tc>
          <w:tcPr>
            <w:tcW w:w="10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c>
          <w:tcPr>
            <w:tcW w:w="1255" w:type="dxa"/>
            <w:tcBorders>
              <w:left w:val="single" w:sz="2" w:space="0" w:color="000000"/>
              <w:bottom w:val="single" w:sz="2" w:space="0" w:color="000000"/>
              <w:right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r>
      <w:tr>
        <w:trPr>
          <w:trHeight w:val="699" w:hRule="atLeast"/>
        </w:trPr>
        <w:tc>
          <w:tcPr>
            <w:tcW w:w="554"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2</w:t>
            </w:r>
          </w:p>
        </w:tc>
        <w:tc>
          <w:tcPr>
            <w:tcW w:w="2076" w:type="dxa"/>
            <w:tcBorders>
              <w:left w:val="single" w:sz="2" w:space="0" w:color="000000"/>
              <w:bottom w:val="single" w:sz="2" w:space="0" w:color="000000"/>
            </w:tcBorders>
            <w:vAlign w:val="center"/>
          </w:tcPr>
          <w:p>
            <w:pPr>
              <w:pStyle w:val="Normal"/>
              <w:bidi w:val="0"/>
              <w:spacing w:lineRule="auto" w:line="240" w:beforeAutospacing="0" w:before="60" w:afterAutospacing="0" w:after="60"/>
              <w:ind w:hanging="0" w:left="0"/>
              <w:rPr>
                <w:rFonts w:ascii="Times New Roman" w:hAnsi="Times New Roman" w:eastAsia="Times New Roman" w:cs="Times New Roman"/>
                <w:sz w:val="20"/>
                <w:szCs w:val="20"/>
              </w:rPr>
            </w:pPr>
            <w:r>
              <w:rPr>
                <w:rFonts w:eastAsia="Times New Roman" w:cs="Times New Roman"/>
                <w:sz w:val="20"/>
                <w:szCs w:val="20"/>
              </w:rPr>
              <w:t>Ключ трубный</w:t>
            </w:r>
          </w:p>
        </w:tc>
        <w:tc>
          <w:tcPr>
            <w:tcW w:w="4111" w:type="dxa"/>
            <w:tcBorders>
              <w:left w:val="single" w:sz="2" w:space="0" w:color="000000"/>
              <w:bottom w:val="single" w:sz="2" w:space="0" w:color="000000"/>
            </w:tcBorders>
          </w:tcPr>
          <w:p>
            <w:pPr>
              <w:pStyle w:val="Normal"/>
              <w:spacing w:before="60" w:after="60"/>
              <w:ind w:hanging="0" w:left="0"/>
              <w:jc w:val="left"/>
              <w:rPr>
                <w:sz w:val="20"/>
              </w:rPr>
            </w:pPr>
            <w:r>
              <w:rPr>
                <w:sz w:val="20"/>
              </w:rPr>
              <w:t>Длина клещей - 250 мм;</w:t>
            </w:r>
          </w:p>
          <w:p>
            <w:pPr>
              <w:pStyle w:val="Normal"/>
              <w:spacing w:before="60" w:after="60"/>
              <w:ind w:hanging="0" w:left="0"/>
              <w:jc w:val="left"/>
              <w:rPr>
                <w:sz w:val="20"/>
              </w:rPr>
            </w:pPr>
            <w:r>
              <w:rPr>
                <w:sz w:val="20"/>
              </w:rPr>
              <w:t>Максимальный захват (мм) — не менее 70;</w:t>
            </w:r>
          </w:p>
          <w:p>
            <w:pPr>
              <w:pStyle w:val="Normal"/>
              <w:spacing w:before="60" w:after="60"/>
              <w:ind w:hanging="0" w:left="0"/>
              <w:jc w:val="left"/>
              <w:rPr>
                <w:sz w:val="20"/>
              </w:rPr>
            </w:pPr>
            <w:r>
              <w:rPr>
                <w:sz w:val="20"/>
              </w:rPr>
              <w:t>Материал рабочей части - Сталь</w:t>
            </w:r>
          </w:p>
          <w:p>
            <w:pPr>
              <w:pStyle w:val="Normal"/>
              <w:spacing w:before="60" w:after="60"/>
              <w:ind w:hanging="0" w:left="0"/>
              <w:jc w:val="left"/>
              <w:rPr>
                <w:sz w:val="20"/>
              </w:rPr>
            </w:pPr>
            <w:r>
              <w:rPr>
                <w:sz w:val="20"/>
              </w:rPr>
            </w:r>
          </w:p>
        </w:tc>
        <w:tc>
          <w:tcPr>
            <w:tcW w:w="800"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шт</w:t>
            </w:r>
          </w:p>
        </w:tc>
        <w:tc>
          <w:tcPr>
            <w:tcW w:w="733"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1</w:t>
            </w:r>
          </w:p>
        </w:tc>
        <w:tc>
          <w:tcPr>
            <w:tcW w:w="10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c>
          <w:tcPr>
            <w:tcW w:w="1255" w:type="dxa"/>
            <w:tcBorders>
              <w:left w:val="single" w:sz="2" w:space="0" w:color="000000"/>
              <w:bottom w:val="single" w:sz="2" w:space="0" w:color="000000"/>
              <w:right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r>
      <w:tr>
        <w:trPr>
          <w:trHeight w:val="699" w:hRule="atLeast"/>
        </w:trPr>
        <w:tc>
          <w:tcPr>
            <w:tcW w:w="554"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3</w:t>
            </w:r>
          </w:p>
        </w:tc>
        <w:tc>
          <w:tcPr>
            <w:tcW w:w="2076" w:type="dxa"/>
            <w:tcBorders>
              <w:left w:val="single" w:sz="2" w:space="0" w:color="000000"/>
              <w:bottom w:val="single" w:sz="2" w:space="0" w:color="000000"/>
            </w:tcBorders>
            <w:vAlign w:val="center"/>
          </w:tcPr>
          <w:p>
            <w:pPr>
              <w:pStyle w:val="Normal"/>
              <w:bidi w:val="0"/>
              <w:spacing w:lineRule="auto" w:line="240" w:beforeAutospacing="0" w:before="60" w:afterAutospacing="0" w:after="60"/>
              <w:ind w:hanging="0" w:left="0"/>
              <w:rPr>
                <w:rFonts w:ascii="Times New Roman" w:hAnsi="Times New Roman" w:eastAsia="Times New Roman" w:cs="Times New Roman"/>
                <w:sz w:val="20"/>
                <w:szCs w:val="20"/>
              </w:rPr>
            </w:pPr>
            <w:r>
              <w:rPr>
                <w:rFonts w:eastAsia="Times New Roman" w:cs="Times New Roman"/>
                <w:sz w:val="20"/>
                <w:szCs w:val="20"/>
              </w:rPr>
              <w:t>Бокорезы</w:t>
            </w:r>
          </w:p>
        </w:tc>
        <w:tc>
          <w:tcPr>
            <w:tcW w:w="4111" w:type="dxa"/>
            <w:tcBorders>
              <w:left w:val="single" w:sz="2" w:space="0" w:color="000000"/>
              <w:bottom w:val="single" w:sz="2" w:space="0" w:color="000000"/>
            </w:tcBorders>
          </w:tcPr>
          <w:p>
            <w:pPr>
              <w:pStyle w:val="Normal"/>
              <w:spacing w:before="60" w:after="60"/>
              <w:ind w:hanging="0" w:left="0"/>
              <w:jc w:val="left"/>
              <w:rPr>
                <w:sz w:val="20"/>
              </w:rPr>
            </w:pPr>
            <w:r>
              <w:rPr>
                <w:sz w:val="20"/>
              </w:rPr>
              <w:t>Тип кусачек — Прямой;</w:t>
            </w:r>
          </w:p>
          <w:p>
            <w:pPr>
              <w:pStyle w:val="Normal"/>
              <w:spacing w:before="60" w:after="60"/>
              <w:ind w:hanging="0" w:left="0"/>
              <w:jc w:val="left"/>
              <w:rPr>
                <w:sz w:val="20"/>
              </w:rPr>
            </w:pPr>
            <w:r>
              <w:rPr>
                <w:sz w:val="20"/>
              </w:rPr>
              <w:t>Диэлектрическая защита — Нет;</w:t>
            </w:r>
          </w:p>
          <w:p>
            <w:pPr>
              <w:pStyle w:val="Normal"/>
              <w:spacing w:before="60" w:after="60"/>
              <w:ind w:hanging="0" w:left="0"/>
              <w:jc w:val="left"/>
              <w:rPr>
                <w:sz w:val="20"/>
              </w:rPr>
            </w:pPr>
            <w:r>
              <w:rPr>
                <w:sz w:val="20"/>
              </w:rPr>
              <w:t>Материал рабочей части — Сталь;</w:t>
            </w:r>
          </w:p>
          <w:p>
            <w:pPr>
              <w:pStyle w:val="Normal"/>
              <w:spacing w:before="60" w:after="60"/>
              <w:ind w:hanging="0" w:left="0"/>
              <w:jc w:val="left"/>
              <w:rPr>
                <w:sz w:val="20"/>
              </w:rPr>
            </w:pPr>
            <w:r>
              <w:rPr>
                <w:sz w:val="20"/>
              </w:rPr>
              <w:t>Длина (мм) — не менее 200</w:t>
            </w:r>
          </w:p>
          <w:p>
            <w:pPr>
              <w:pStyle w:val="Normal"/>
              <w:spacing w:before="60" w:after="60"/>
              <w:ind w:hanging="0" w:left="0"/>
              <w:jc w:val="left"/>
              <w:rPr>
                <w:sz w:val="20"/>
              </w:rPr>
            </w:pPr>
            <w:r>
              <w:rPr>
                <w:sz w:val="20"/>
              </w:rPr>
            </w:r>
          </w:p>
        </w:tc>
        <w:tc>
          <w:tcPr>
            <w:tcW w:w="800"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шт</w:t>
            </w:r>
          </w:p>
        </w:tc>
        <w:tc>
          <w:tcPr>
            <w:tcW w:w="733"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1</w:t>
            </w:r>
          </w:p>
        </w:tc>
        <w:tc>
          <w:tcPr>
            <w:tcW w:w="10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c>
          <w:tcPr>
            <w:tcW w:w="1255" w:type="dxa"/>
            <w:tcBorders>
              <w:left w:val="single" w:sz="2" w:space="0" w:color="000000"/>
              <w:bottom w:val="single" w:sz="2" w:space="0" w:color="000000"/>
              <w:right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r>
      <w:tr>
        <w:trPr>
          <w:trHeight w:val="699" w:hRule="atLeast"/>
        </w:trPr>
        <w:tc>
          <w:tcPr>
            <w:tcW w:w="554"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4</w:t>
            </w:r>
          </w:p>
        </w:tc>
        <w:tc>
          <w:tcPr>
            <w:tcW w:w="2076" w:type="dxa"/>
            <w:tcBorders>
              <w:left w:val="single" w:sz="2" w:space="0" w:color="000000"/>
              <w:bottom w:val="single" w:sz="2" w:space="0" w:color="000000"/>
            </w:tcBorders>
            <w:vAlign w:val="center"/>
          </w:tcPr>
          <w:p>
            <w:pPr>
              <w:pStyle w:val="Normal"/>
              <w:bidi w:val="0"/>
              <w:spacing w:lineRule="auto" w:line="240" w:beforeAutospacing="0" w:before="60" w:afterAutospacing="0" w:after="60"/>
              <w:ind w:hanging="0" w:left="0"/>
              <w:rPr>
                <w:rFonts w:ascii="Times New Roman" w:hAnsi="Times New Roman" w:eastAsia="Times New Roman" w:cs="Times New Roman"/>
                <w:sz w:val="20"/>
                <w:szCs w:val="20"/>
              </w:rPr>
            </w:pPr>
            <w:r>
              <w:rPr>
                <w:rFonts w:eastAsia="Times New Roman" w:cs="Times New Roman"/>
                <w:sz w:val="20"/>
                <w:szCs w:val="20"/>
              </w:rPr>
              <w:t>Дюбель</w:t>
            </w:r>
          </w:p>
        </w:tc>
        <w:tc>
          <w:tcPr>
            <w:tcW w:w="4111" w:type="dxa"/>
            <w:tcBorders>
              <w:left w:val="single" w:sz="2" w:space="0" w:color="000000"/>
              <w:bottom w:val="single" w:sz="2" w:space="0" w:color="000000"/>
            </w:tcBorders>
          </w:tcPr>
          <w:p>
            <w:pPr>
              <w:pStyle w:val="Normal"/>
              <w:spacing w:before="60" w:after="60"/>
              <w:ind w:hanging="0" w:left="0"/>
              <w:jc w:val="left"/>
              <w:rPr>
                <w:sz w:val="20"/>
              </w:rPr>
            </w:pPr>
            <w:r>
              <w:rPr>
                <w:sz w:val="20"/>
              </w:rPr>
              <w:t>Размеры - 6 x 40 мм;</w:t>
            </w:r>
          </w:p>
          <w:p>
            <w:pPr>
              <w:pStyle w:val="Normal"/>
              <w:spacing w:before="60" w:after="60"/>
              <w:ind w:hanging="0" w:left="0"/>
              <w:jc w:val="left"/>
              <w:rPr>
                <w:sz w:val="20"/>
              </w:rPr>
            </w:pPr>
            <w:r>
              <w:rPr>
                <w:sz w:val="20"/>
              </w:rPr>
              <w:t>Тип дюбеля — Распорный;</w:t>
            </w:r>
          </w:p>
          <w:p>
            <w:pPr>
              <w:pStyle w:val="Normal"/>
              <w:spacing w:before="60" w:after="60"/>
              <w:ind w:hanging="0" w:left="0"/>
              <w:jc w:val="left"/>
              <w:rPr>
                <w:sz w:val="20"/>
              </w:rPr>
            </w:pPr>
            <w:r>
              <w:rPr>
                <w:sz w:val="20"/>
              </w:rPr>
              <w:t>Форма головки - Потайной</w:t>
            </w:r>
          </w:p>
          <w:p>
            <w:pPr>
              <w:pStyle w:val="Normal"/>
              <w:spacing w:before="60" w:after="60"/>
              <w:ind w:hanging="0" w:left="0"/>
              <w:jc w:val="left"/>
              <w:rPr>
                <w:sz w:val="20"/>
              </w:rPr>
            </w:pPr>
            <w:r>
              <w:rPr>
                <w:sz w:val="20"/>
              </w:rPr>
            </w:r>
          </w:p>
          <w:p>
            <w:pPr>
              <w:pStyle w:val="Normal"/>
              <w:spacing w:before="60" w:after="60"/>
              <w:ind w:hanging="0" w:left="0"/>
              <w:jc w:val="left"/>
              <w:rPr>
                <w:sz w:val="20"/>
              </w:rPr>
            </w:pPr>
            <w:r>
              <w:rPr>
                <w:sz w:val="20"/>
              </w:rPr>
            </w:r>
          </w:p>
        </w:tc>
        <w:tc>
          <w:tcPr>
            <w:tcW w:w="800"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шт</w:t>
            </w:r>
          </w:p>
        </w:tc>
        <w:tc>
          <w:tcPr>
            <w:tcW w:w="733"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400</w:t>
            </w:r>
          </w:p>
        </w:tc>
        <w:tc>
          <w:tcPr>
            <w:tcW w:w="10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c>
          <w:tcPr>
            <w:tcW w:w="1255" w:type="dxa"/>
            <w:tcBorders>
              <w:left w:val="single" w:sz="2" w:space="0" w:color="000000"/>
              <w:bottom w:val="single" w:sz="2" w:space="0" w:color="000000"/>
              <w:right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r>
      <w:tr>
        <w:trPr>
          <w:trHeight w:val="699" w:hRule="atLeast"/>
        </w:trPr>
        <w:tc>
          <w:tcPr>
            <w:tcW w:w="554"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5</w:t>
            </w:r>
          </w:p>
        </w:tc>
        <w:tc>
          <w:tcPr>
            <w:tcW w:w="2076" w:type="dxa"/>
            <w:tcBorders>
              <w:left w:val="single" w:sz="2" w:space="0" w:color="000000"/>
              <w:bottom w:val="single" w:sz="2" w:space="0" w:color="000000"/>
            </w:tcBorders>
            <w:vAlign w:val="center"/>
          </w:tcPr>
          <w:p>
            <w:pPr>
              <w:pStyle w:val="Normal"/>
              <w:bidi w:val="0"/>
              <w:spacing w:lineRule="auto" w:line="240" w:beforeAutospacing="0" w:before="60" w:afterAutospacing="0" w:after="60"/>
              <w:ind w:hanging="0" w:left="0"/>
              <w:rPr>
                <w:rFonts w:ascii="Times New Roman" w:hAnsi="Times New Roman" w:eastAsia="Times New Roman" w:cs="Times New Roman"/>
                <w:sz w:val="20"/>
                <w:szCs w:val="20"/>
              </w:rPr>
            </w:pPr>
            <w:r>
              <w:rPr>
                <w:rFonts w:eastAsia="Times New Roman" w:cs="Times New Roman"/>
                <w:sz w:val="20"/>
                <w:szCs w:val="20"/>
              </w:rPr>
              <w:t>Дюбель</w:t>
            </w:r>
          </w:p>
        </w:tc>
        <w:tc>
          <w:tcPr>
            <w:tcW w:w="4111" w:type="dxa"/>
            <w:tcBorders>
              <w:left w:val="single" w:sz="2" w:space="0" w:color="000000"/>
              <w:bottom w:val="single" w:sz="2" w:space="0" w:color="000000"/>
            </w:tcBorders>
          </w:tcPr>
          <w:p>
            <w:pPr>
              <w:pStyle w:val="Normal"/>
              <w:spacing w:before="60" w:after="60"/>
              <w:ind w:hanging="0" w:left="0"/>
              <w:jc w:val="left"/>
              <w:rPr>
                <w:sz w:val="20"/>
              </w:rPr>
            </w:pPr>
            <w:r>
              <w:rPr>
                <w:sz w:val="20"/>
              </w:rPr>
              <w:t>Размеры - 8 x 52 мм;</w:t>
            </w:r>
          </w:p>
          <w:p>
            <w:pPr>
              <w:pStyle w:val="Normal"/>
              <w:spacing w:before="60" w:after="60"/>
              <w:ind w:hanging="0" w:left="0"/>
              <w:jc w:val="left"/>
              <w:rPr>
                <w:sz w:val="20"/>
              </w:rPr>
            </w:pPr>
            <w:r>
              <w:rPr>
                <w:sz w:val="20"/>
              </w:rPr>
              <w:t>Тип дюбеля — универсальный;</w:t>
            </w:r>
          </w:p>
          <w:p>
            <w:pPr>
              <w:pStyle w:val="Normal"/>
              <w:spacing w:before="60" w:after="60"/>
              <w:ind w:hanging="0" w:left="0"/>
              <w:jc w:val="left"/>
              <w:rPr>
                <w:sz w:val="20"/>
              </w:rPr>
            </w:pPr>
            <w:r>
              <w:rPr>
                <w:sz w:val="20"/>
              </w:rPr>
              <w:t>Форма головки - Потайной</w:t>
            </w:r>
          </w:p>
          <w:p>
            <w:pPr>
              <w:pStyle w:val="Normal"/>
              <w:spacing w:before="60" w:after="60"/>
              <w:ind w:hanging="0" w:left="0"/>
              <w:jc w:val="left"/>
              <w:rPr>
                <w:sz w:val="20"/>
              </w:rPr>
            </w:pPr>
            <w:r>
              <w:rPr>
                <w:sz w:val="20"/>
              </w:rPr>
            </w:r>
          </w:p>
        </w:tc>
        <w:tc>
          <w:tcPr>
            <w:tcW w:w="800"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шт</w:t>
            </w:r>
          </w:p>
        </w:tc>
        <w:tc>
          <w:tcPr>
            <w:tcW w:w="733"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200</w:t>
            </w:r>
          </w:p>
        </w:tc>
        <w:tc>
          <w:tcPr>
            <w:tcW w:w="10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c>
          <w:tcPr>
            <w:tcW w:w="1255" w:type="dxa"/>
            <w:tcBorders>
              <w:left w:val="single" w:sz="2" w:space="0" w:color="000000"/>
              <w:bottom w:val="single" w:sz="2" w:space="0" w:color="000000"/>
              <w:right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r>
      <w:tr>
        <w:trPr>
          <w:trHeight w:val="699" w:hRule="atLeast"/>
        </w:trPr>
        <w:tc>
          <w:tcPr>
            <w:tcW w:w="554"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6</w:t>
            </w:r>
          </w:p>
        </w:tc>
        <w:tc>
          <w:tcPr>
            <w:tcW w:w="2076" w:type="dxa"/>
            <w:tcBorders>
              <w:left w:val="single" w:sz="2" w:space="0" w:color="000000"/>
              <w:bottom w:val="single" w:sz="2" w:space="0" w:color="000000"/>
            </w:tcBorders>
            <w:vAlign w:val="center"/>
          </w:tcPr>
          <w:p>
            <w:pPr>
              <w:pStyle w:val="Normal"/>
              <w:bidi w:val="0"/>
              <w:spacing w:lineRule="auto" w:line="240" w:beforeAutospacing="0" w:before="60" w:afterAutospacing="0" w:after="60"/>
              <w:ind w:hanging="0" w:left="0"/>
              <w:rPr>
                <w:rFonts w:ascii="Times New Roman" w:hAnsi="Times New Roman" w:eastAsia="Times New Roman" w:cs="Times New Roman"/>
                <w:sz w:val="20"/>
                <w:szCs w:val="20"/>
              </w:rPr>
            </w:pPr>
            <w:r>
              <w:rPr>
                <w:rFonts w:eastAsia="Times New Roman" w:cs="Times New Roman"/>
                <w:sz w:val="20"/>
                <w:szCs w:val="20"/>
              </w:rPr>
              <w:t>Сверло по металлу</w:t>
            </w:r>
          </w:p>
        </w:tc>
        <w:tc>
          <w:tcPr>
            <w:tcW w:w="4111" w:type="dxa"/>
            <w:tcBorders>
              <w:left w:val="single" w:sz="2" w:space="0" w:color="000000"/>
              <w:bottom w:val="single" w:sz="2" w:space="0" w:color="000000"/>
            </w:tcBorders>
          </w:tcPr>
          <w:p>
            <w:pPr>
              <w:pStyle w:val="Normal"/>
              <w:spacing w:before="60" w:after="60"/>
              <w:ind w:hanging="0" w:left="0"/>
              <w:jc w:val="left"/>
              <w:rPr>
                <w:sz w:val="20"/>
              </w:rPr>
            </w:pPr>
            <w:r>
              <w:rPr>
                <w:sz w:val="20"/>
              </w:rPr>
              <w:t>Тип — спиральный;</w:t>
            </w:r>
          </w:p>
          <w:p>
            <w:pPr>
              <w:pStyle w:val="Normal"/>
              <w:spacing w:before="60" w:after="60"/>
              <w:ind w:hanging="0" w:left="0"/>
              <w:jc w:val="left"/>
              <w:rPr>
                <w:sz w:val="20"/>
              </w:rPr>
            </w:pPr>
            <w:r>
              <w:rPr>
                <w:sz w:val="20"/>
              </w:rPr>
              <w:t>Материал обработки — металл;</w:t>
            </w:r>
          </w:p>
          <w:p>
            <w:pPr>
              <w:pStyle w:val="Normal"/>
              <w:spacing w:before="60" w:after="60"/>
              <w:ind w:hanging="0" w:left="0"/>
              <w:jc w:val="left"/>
              <w:rPr>
                <w:sz w:val="20"/>
              </w:rPr>
            </w:pPr>
            <w:r>
              <w:rPr>
                <w:sz w:val="20"/>
              </w:rPr>
              <w:t>Диаметр - 10 мм;</w:t>
            </w:r>
          </w:p>
          <w:p>
            <w:pPr>
              <w:pStyle w:val="Normal"/>
              <w:spacing w:before="60" w:after="60"/>
              <w:ind w:hanging="0" w:left="0"/>
              <w:jc w:val="left"/>
              <w:rPr>
                <w:sz w:val="20"/>
              </w:rPr>
            </w:pPr>
            <w:r>
              <w:rPr>
                <w:sz w:val="20"/>
              </w:rPr>
              <w:t>Длина - 133 мм;</w:t>
            </w:r>
          </w:p>
          <w:p>
            <w:pPr>
              <w:pStyle w:val="Normal"/>
              <w:spacing w:before="60" w:after="60"/>
              <w:ind w:hanging="0" w:left="0"/>
              <w:jc w:val="left"/>
              <w:rPr>
                <w:sz w:val="20"/>
              </w:rPr>
            </w:pPr>
            <w:r>
              <w:rPr>
                <w:sz w:val="20"/>
              </w:rPr>
              <w:t>Тип хвостовика — цилиндрический</w:t>
            </w:r>
          </w:p>
          <w:p>
            <w:pPr>
              <w:pStyle w:val="Normal"/>
              <w:spacing w:before="60" w:after="60"/>
              <w:ind w:hanging="0" w:left="0"/>
              <w:jc w:val="left"/>
              <w:rPr>
                <w:rFonts w:ascii="Times New Roman" w:hAnsi="Times New Roman" w:eastAsia="Times New Roman" w:cs="Times New Roman"/>
                <w:sz w:val="20"/>
                <w:szCs w:val="20"/>
              </w:rPr>
            </w:pPr>
            <w:r>
              <w:rPr>
                <w:rFonts w:eastAsia="Times New Roman" w:cs="Times New Roman"/>
                <w:sz w:val="20"/>
                <w:szCs w:val="20"/>
              </w:rPr>
            </w:r>
          </w:p>
        </w:tc>
        <w:tc>
          <w:tcPr>
            <w:tcW w:w="800"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шт</w:t>
            </w:r>
          </w:p>
        </w:tc>
        <w:tc>
          <w:tcPr>
            <w:tcW w:w="733"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1</w:t>
            </w:r>
          </w:p>
        </w:tc>
        <w:tc>
          <w:tcPr>
            <w:tcW w:w="10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c>
          <w:tcPr>
            <w:tcW w:w="1255" w:type="dxa"/>
            <w:tcBorders>
              <w:left w:val="single" w:sz="2" w:space="0" w:color="000000"/>
              <w:bottom w:val="single" w:sz="2" w:space="0" w:color="000000"/>
              <w:right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r>
      <w:tr>
        <w:trPr>
          <w:trHeight w:val="699" w:hRule="atLeast"/>
        </w:trPr>
        <w:tc>
          <w:tcPr>
            <w:tcW w:w="554"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7</w:t>
            </w:r>
          </w:p>
        </w:tc>
        <w:tc>
          <w:tcPr>
            <w:tcW w:w="2076" w:type="dxa"/>
            <w:tcBorders>
              <w:left w:val="single" w:sz="2" w:space="0" w:color="000000"/>
              <w:bottom w:val="single" w:sz="2" w:space="0" w:color="000000"/>
            </w:tcBorders>
            <w:vAlign w:val="center"/>
          </w:tcPr>
          <w:p>
            <w:pPr>
              <w:pStyle w:val="Normal"/>
              <w:bidi w:val="0"/>
              <w:spacing w:lineRule="auto" w:line="240" w:beforeAutospacing="0" w:before="60" w:afterAutospacing="0" w:after="60"/>
              <w:ind w:hanging="0" w:left="0"/>
              <w:jc w:val="left"/>
              <w:rPr>
                <w:rFonts w:ascii="Times New Roman" w:hAnsi="Times New Roman" w:eastAsia="Times New Roman" w:cs="Times New Roman"/>
                <w:sz w:val="20"/>
                <w:szCs w:val="20"/>
              </w:rPr>
            </w:pPr>
            <w:r>
              <w:rPr>
                <w:rFonts w:eastAsia="Times New Roman" w:cs="Times New Roman"/>
                <w:sz w:val="20"/>
                <w:szCs w:val="20"/>
              </w:rPr>
              <w:t>Сверло по металлу</w:t>
            </w:r>
          </w:p>
        </w:tc>
        <w:tc>
          <w:tcPr>
            <w:tcW w:w="4111" w:type="dxa"/>
            <w:tcBorders>
              <w:left w:val="single" w:sz="2" w:space="0" w:color="000000"/>
              <w:bottom w:val="single" w:sz="2" w:space="0" w:color="000000"/>
            </w:tcBorders>
          </w:tcPr>
          <w:p>
            <w:pPr>
              <w:pStyle w:val="Normal"/>
              <w:spacing w:before="60" w:after="60"/>
              <w:ind w:hanging="0" w:left="0"/>
              <w:jc w:val="left"/>
              <w:rPr>
                <w:sz w:val="20"/>
              </w:rPr>
            </w:pPr>
            <w:r>
              <w:rPr>
                <w:sz w:val="20"/>
              </w:rPr>
              <w:t>Тип — спиральный;</w:t>
            </w:r>
          </w:p>
          <w:p>
            <w:pPr>
              <w:pStyle w:val="Normal"/>
              <w:spacing w:before="60" w:after="60"/>
              <w:ind w:hanging="0" w:left="0"/>
              <w:jc w:val="left"/>
              <w:rPr>
                <w:sz w:val="20"/>
              </w:rPr>
            </w:pPr>
            <w:r>
              <w:rPr>
                <w:sz w:val="20"/>
              </w:rPr>
              <w:t>Материал обработки — металл;</w:t>
            </w:r>
          </w:p>
          <w:p>
            <w:pPr>
              <w:pStyle w:val="Normal"/>
              <w:spacing w:before="60" w:after="60"/>
              <w:ind w:hanging="0" w:left="0"/>
              <w:jc w:val="left"/>
              <w:rPr>
                <w:sz w:val="20"/>
              </w:rPr>
            </w:pPr>
            <w:r>
              <w:rPr>
                <w:sz w:val="20"/>
              </w:rPr>
              <w:t>Диаметр - 11 мм;</w:t>
            </w:r>
          </w:p>
          <w:p>
            <w:pPr>
              <w:pStyle w:val="Normal"/>
              <w:spacing w:before="60" w:after="60"/>
              <w:ind w:hanging="0" w:left="0"/>
              <w:jc w:val="left"/>
              <w:rPr>
                <w:sz w:val="20"/>
              </w:rPr>
            </w:pPr>
            <w:r>
              <w:rPr>
                <w:sz w:val="20"/>
              </w:rPr>
              <w:t>Длина - 195 мм;</w:t>
            </w:r>
          </w:p>
          <w:p>
            <w:pPr>
              <w:pStyle w:val="Normal"/>
              <w:spacing w:before="60" w:after="60"/>
              <w:ind w:hanging="0" w:left="0"/>
              <w:jc w:val="left"/>
              <w:rPr/>
            </w:pPr>
            <w:r>
              <w:rPr>
                <w:sz w:val="20"/>
              </w:rPr>
              <w:t>Тип хвостовика - цилиндрический</w:t>
            </w:r>
          </w:p>
        </w:tc>
        <w:tc>
          <w:tcPr>
            <w:tcW w:w="800"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шт</w:t>
            </w:r>
          </w:p>
        </w:tc>
        <w:tc>
          <w:tcPr>
            <w:tcW w:w="733"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1</w:t>
            </w:r>
          </w:p>
        </w:tc>
        <w:tc>
          <w:tcPr>
            <w:tcW w:w="10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c>
          <w:tcPr>
            <w:tcW w:w="1255" w:type="dxa"/>
            <w:tcBorders>
              <w:left w:val="single" w:sz="2" w:space="0" w:color="000000"/>
              <w:bottom w:val="single" w:sz="2" w:space="0" w:color="000000"/>
              <w:right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r>
      <w:tr>
        <w:trPr>
          <w:trHeight w:val="699" w:hRule="atLeast"/>
        </w:trPr>
        <w:tc>
          <w:tcPr>
            <w:tcW w:w="554"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8</w:t>
            </w:r>
          </w:p>
        </w:tc>
        <w:tc>
          <w:tcPr>
            <w:tcW w:w="2076" w:type="dxa"/>
            <w:tcBorders>
              <w:left w:val="single" w:sz="2" w:space="0" w:color="000000"/>
              <w:bottom w:val="single" w:sz="2" w:space="0" w:color="000000"/>
            </w:tcBorders>
            <w:vAlign w:val="center"/>
          </w:tcPr>
          <w:p>
            <w:pPr>
              <w:pStyle w:val="Normal"/>
              <w:bidi w:val="0"/>
              <w:spacing w:lineRule="auto" w:line="240" w:beforeAutospacing="0" w:before="60" w:afterAutospacing="0" w:after="60"/>
              <w:ind w:hanging="0" w:left="0"/>
              <w:jc w:val="left"/>
              <w:rPr>
                <w:rFonts w:ascii="Times New Roman" w:hAnsi="Times New Roman" w:eastAsia="Times New Roman" w:cs="Times New Roman"/>
                <w:sz w:val="20"/>
                <w:szCs w:val="20"/>
              </w:rPr>
            </w:pPr>
            <w:r>
              <w:rPr>
                <w:rFonts w:eastAsia="Times New Roman" w:cs="Times New Roman"/>
                <w:sz w:val="20"/>
                <w:szCs w:val="20"/>
              </w:rPr>
              <w:t>Сверло по металлу</w:t>
            </w:r>
          </w:p>
        </w:tc>
        <w:tc>
          <w:tcPr>
            <w:tcW w:w="4111" w:type="dxa"/>
            <w:tcBorders>
              <w:left w:val="single" w:sz="2" w:space="0" w:color="000000"/>
              <w:bottom w:val="single" w:sz="2" w:space="0" w:color="000000"/>
            </w:tcBorders>
          </w:tcPr>
          <w:p>
            <w:pPr>
              <w:pStyle w:val="Normal"/>
              <w:spacing w:before="60" w:after="60"/>
              <w:ind w:hanging="0" w:left="0"/>
              <w:jc w:val="left"/>
              <w:rPr>
                <w:sz w:val="20"/>
              </w:rPr>
            </w:pPr>
            <w:r>
              <w:rPr>
                <w:sz w:val="20"/>
              </w:rPr>
              <w:t>Тип — спиральный;</w:t>
            </w:r>
          </w:p>
          <w:p>
            <w:pPr>
              <w:pStyle w:val="Normal"/>
              <w:spacing w:before="60" w:after="60"/>
              <w:ind w:hanging="0" w:left="0"/>
              <w:jc w:val="left"/>
              <w:rPr>
                <w:sz w:val="20"/>
              </w:rPr>
            </w:pPr>
            <w:r>
              <w:rPr>
                <w:sz w:val="20"/>
              </w:rPr>
              <w:t>Материал обработки — металл;</w:t>
            </w:r>
          </w:p>
          <w:p>
            <w:pPr>
              <w:pStyle w:val="Normal"/>
              <w:spacing w:before="60" w:after="60"/>
              <w:ind w:hanging="0" w:left="0"/>
              <w:jc w:val="left"/>
              <w:rPr>
                <w:sz w:val="20"/>
              </w:rPr>
            </w:pPr>
            <w:r>
              <w:rPr>
                <w:sz w:val="20"/>
              </w:rPr>
              <w:t>Диаметр - 8 мм;</w:t>
            </w:r>
          </w:p>
          <w:p>
            <w:pPr>
              <w:pStyle w:val="Normal"/>
              <w:spacing w:before="60" w:after="60"/>
              <w:ind w:hanging="0" w:left="0"/>
              <w:jc w:val="left"/>
              <w:rPr>
                <w:sz w:val="20"/>
              </w:rPr>
            </w:pPr>
            <w:r>
              <w:rPr>
                <w:sz w:val="20"/>
              </w:rPr>
              <w:t>Длина - 117 мм;</w:t>
            </w:r>
          </w:p>
          <w:p>
            <w:pPr>
              <w:pStyle w:val="Normal"/>
              <w:spacing w:before="60" w:after="60"/>
              <w:ind w:hanging="0" w:left="0"/>
              <w:jc w:val="left"/>
              <w:rPr>
                <w:sz w:val="20"/>
              </w:rPr>
            </w:pPr>
            <w:r>
              <w:rPr>
                <w:sz w:val="20"/>
              </w:rPr>
              <w:t>Тип хвостовика - цилиндрический</w:t>
            </w:r>
          </w:p>
          <w:p>
            <w:pPr>
              <w:pStyle w:val="BodyTextIndent"/>
              <w:bidi w:val="0"/>
              <w:spacing w:lineRule="auto" w:line="240" w:beforeAutospacing="0" w:before="60" w:afterAutospacing="0" w:after="60"/>
              <w:ind w:hanging="0" w:left="0"/>
              <w:rPr>
                <w:rFonts w:ascii="Times New Roman" w:hAnsi="Times New Roman" w:eastAsia="Times New Roman" w:cs="Times New Roman"/>
                <w:sz w:val="20"/>
                <w:szCs w:val="20"/>
              </w:rPr>
            </w:pPr>
            <w:r>
              <w:rPr>
                <w:rFonts w:eastAsia="Times New Roman" w:cs="Times New Roman"/>
                <w:sz w:val="20"/>
                <w:szCs w:val="20"/>
              </w:rPr>
            </w:r>
          </w:p>
        </w:tc>
        <w:tc>
          <w:tcPr>
            <w:tcW w:w="800"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шт</w:t>
            </w:r>
          </w:p>
        </w:tc>
        <w:tc>
          <w:tcPr>
            <w:tcW w:w="733"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1</w:t>
            </w:r>
          </w:p>
        </w:tc>
        <w:tc>
          <w:tcPr>
            <w:tcW w:w="10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c>
          <w:tcPr>
            <w:tcW w:w="1255" w:type="dxa"/>
            <w:tcBorders>
              <w:left w:val="single" w:sz="2" w:space="0" w:color="000000"/>
              <w:bottom w:val="single" w:sz="2" w:space="0" w:color="000000"/>
              <w:right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r>
      <w:tr>
        <w:trPr>
          <w:trHeight w:val="699" w:hRule="atLeast"/>
        </w:trPr>
        <w:tc>
          <w:tcPr>
            <w:tcW w:w="554"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9</w:t>
            </w:r>
          </w:p>
        </w:tc>
        <w:tc>
          <w:tcPr>
            <w:tcW w:w="2076" w:type="dxa"/>
            <w:tcBorders>
              <w:left w:val="single" w:sz="2" w:space="0" w:color="000000"/>
              <w:bottom w:val="single" w:sz="2" w:space="0" w:color="000000"/>
            </w:tcBorders>
            <w:vAlign w:val="center"/>
          </w:tcPr>
          <w:p>
            <w:pPr>
              <w:pStyle w:val="Normal"/>
              <w:bidi w:val="0"/>
              <w:spacing w:lineRule="auto" w:line="240" w:beforeAutospacing="0" w:before="60" w:afterAutospacing="0" w:after="60"/>
              <w:ind w:hanging="0" w:left="0"/>
              <w:jc w:val="left"/>
              <w:rPr>
                <w:rFonts w:ascii="Times New Roman" w:hAnsi="Times New Roman" w:eastAsia="Times New Roman" w:cs="Times New Roman"/>
                <w:sz w:val="20"/>
                <w:szCs w:val="20"/>
              </w:rPr>
            </w:pPr>
            <w:r>
              <w:rPr>
                <w:rFonts w:eastAsia="Times New Roman" w:cs="Times New Roman"/>
                <w:sz w:val="20"/>
                <w:szCs w:val="20"/>
              </w:rPr>
              <w:t>Сверло по металлу</w:t>
            </w:r>
          </w:p>
        </w:tc>
        <w:tc>
          <w:tcPr>
            <w:tcW w:w="4111" w:type="dxa"/>
            <w:tcBorders>
              <w:left w:val="single" w:sz="2" w:space="0" w:color="000000"/>
              <w:bottom w:val="single" w:sz="2" w:space="0" w:color="000000"/>
            </w:tcBorders>
          </w:tcPr>
          <w:p>
            <w:pPr>
              <w:pStyle w:val="Normal"/>
              <w:spacing w:before="60" w:after="60"/>
              <w:ind w:hanging="0" w:left="0"/>
              <w:jc w:val="left"/>
              <w:rPr>
                <w:sz w:val="20"/>
              </w:rPr>
            </w:pPr>
            <w:r>
              <w:rPr>
                <w:sz w:val="20"/>
              </w:rPr>
              <w:t>Тип — спиральный;</w:t>
            </w:r>
          </w:p>
          <w:p>
            <w:pPr>
              <w:pStyle w:val="Normal"/>
              <w:spacing w:before="60" w:after="60"/>
              <w:ind w:hanging="0" w:left="0"/>
              <w:jc w:val="left"/>
              <w:rPr>
                <w:sz w:val="20"/>
              </w:rPr>
            </w:pPr>
            <w:r>
              <w:rPr>
                <w:sz w:val="20"/>
              </w:rPr>
              <w:t>Материал обработки — металл;</w:t>
            </w:r>
          </w:p>
          <w:p>
            <w:pPr>
              <w:pStyle w:val="Normal"/>
              <w:spacing w:before="60" w:after="60"/>
              <w:ind w:hanging="0" w:left="0"/>
              <w:jc w:val="left"/>
              <w:rPr>
                <w:sz w:val="20"/>
              </w:rPr>
            </w:pPr>
            <w:r>
              <w:rPr>
                <w:sz w:val="20"/>
              </w:rPr>
              <w:t>Диаметр - 6 мм;</w:t>
            </w:r>
          </w:p>
          <w:p>
            <w:pPr>
              <w:pStyle w:val="Normal"/>
              <w:spacing w:before="60" w:after="60"/>
              <w:ind w:hanging="0" w:left="0"/>
              <w:jc w:val="left"/>
              <w:rPr>
                <w:sz w:val="20"/>
              </w:rPr>
            </w:pPr>
            <w:r>
              <w:rPr>
                <w:sz w:val="20"/>
              </w:rPr>
              <w:t>Длина - 93 мм;</w:t>
            </w:r>
          </w:p>
          <w:p>
            <w:pPr>
              <w:pStyle w:val="Normal"/>
              <w:spacing w:before="60" w:after="60"/>
              <w:ind w:hanging="0" w:left="0"/>
              <w:jc w:val="left"/>
              <w:rPr>
                <w:sz w:val="20"/>
              </w:rPr>
            </w:pPr>
            <w:r>
              <w:rPr>
                <w:sz w:val="20"/>
              </w:rPr>
              <w:t>Тип хвостовика - цилиндрический</w:t>
            </w:r>
          </w:p>
        </w:tc>
        <w:tc>
          <w:tcPr>
            <w:tcW w:w="800"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шт</w:t>
            </w:r>
          </w:p>
        </w:tc>
        <w:tc>
          <w:tcPr>
            <w:tcW w:w="733"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1</w:t>
            </w:r>
          </w:p>
        </w:tc>
        <w:tc>
          <w:tcPr>
            <w:tcW w:w="10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c>
          <w:tcPr>
            <w:tcW w:w="1255" w:type="dxa"/>
            <w:tcBorders>
              <w:left w:val="single" w:sz="2" w:space="0" w:color="000000"/>
              <w:bottom w:val="single" w:sz="2" w:space="0" w:color="000000"/>
              <w:right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r>
      <w:tr>
        <w:trPr>
          <w:trHeight w:val="699" w:hRule="atLeast"/>
        </w:trPr>
        <w:tc>
          <w:tcPr>
            <w:tcW w:w="554"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10</w:t>
            </w:r>
          </w:p>
        </w:tc>
        <w:tc>
          <w:tcPr>
            <w:tcW w:w="2076" w:type="dxa"/>
            <w:tcBorders>
              <w:left w:val="single" w:sz="2" w:space="0" w:color="000000"/>
              <w:bottom w:val="single" w:sz="2" w:space="0" w:color="000000"/>
            </w:tcBorders>
            <w:vAlign w:val="center"/>
          </w:tcPr>
          <w:p>
            <w:pPr>
              <w:pStyle w:val="Normal"/>
              <w:bidi w:val="0"/>
              <w:spacing w:lineRule="auto" w:line="240" w:beforeAutospacing="0" w:before="60" w:afterAutospacing="0" w:after="60"/>
              <w:ind w:hanging="0" w:left="0"/>
              <w:jc w:val="left"/>
              <w:rPr>
                <w:rFonts w:ascii="Times New Roman" w:hAnsi="Times New Roman" w:eastAsia="Times New Roman" w:cs="Times New Roman"/>
                <w:sz w:val="20"/>
                <w:szCs w:val="20"/>
              </w:rPr>
            </w:pPr>
            <w:r>
              <w:rPr>
                <w:rFonts w:eastAsia="Times New Roman" w:cs="Times New Roman"/>
                <w:sz w:val="20"/>
                <w:szCs w:val="20"/>
              </w:rPr>
              <w:t>Саморез по металлу</w:t>
            </w:r>
          </w:p>
        </w:tc>
        <w:tc>
          <w:tcPr>
            <w:tcW w:w="4111" w:type="dxa"/>
            <w:tcBorders>
              <w:left w:val="single" w:sz="2" w:space="0" w:color="000000"/>
              <w:bottom w:val="single" w:sz="2" w:space="0" w:color="000000"/>
            </w:tcBorders>
          </w:tcPr>
          <w:p>
            <w:pPr>
              <w:pStyle w:val="BodyTextIndent"/>
              <w:bidi w:val="0"/>
              <w:spacing w:lineRule="auto" w:line="240" w:beforeAutospacing="0" w:before="60" w:afterAutospacing="0" w:after="60"/>
              <w:ind w:hanging="0" w:left="0"/>
              <w:rPr>
                <w:rFonts w:ascii="Times New Roman" w:hAnsi="Times New Roman" w:eastAsia="Times New Roman" w:cs="Times New Roman"/>
                <w:sz w:val="20"/>
                <w:szCs w:val="20"/>
              </w:rPr>
            </w:pPr>
            <w:r>
              <w:rPr>
                <w:rFonts w:eastAsia="Times New Roman" w:cs="Times New Roman"/>
                <w:sz w:val="20"/>
                <w:szCs w:val="20"/>
              </w:rPr>
              <w:t>Саморез по металлу размеры (мм) — 3,5 х 25</w:t>
            </w:r>
          </w:p>
          <w:p>
            <w:pPr>
              <w:pStyle w:val="BodyTextIndent"/>
              <w:suppressAutoHyphens w:val="true"/>
              <w:bidi w:val="0"/>
              <w:spacing w:lineRule="auto" w:line="240" w:beforeAutospacing="0" w:before="60" w:afterAutospacing="0" w:after="60"/>
              <w:ind w:hanging="0" w:left="0"/>
              <w:rPr>
                <w:rFonts w:ascii="Times New Roman" w:hAnsi="Times New Roman" w:eastAsia="Times New Roman" w:cs="Times New Roman"/>
                <w:color w:val="auto"/>
                <w:kern w:val="0"/>
                <w:szCs w:val="20"/>
                <w:lang w:val="ru-RU" w:bidi="ar-SA"/>
              </w:rPr>
            </w:pPr>
            <w:r>
              <w:rPr>
                <w:rFonts w:eastAsia="Times New Roman" w:cs="Times New Roman"/>
                <w:color w:val="auto"/>
                <w:kern w:val="0"/>
                <w:szCs w:val="20"/>
                <w:lang w:val="ru-RU" w:bidi="ar-SA"/>
              </w:rPr>
              <w:t>Наконечник — острый</w:t>
            </w:r>
          </w:p>
          <w:p>
            <w:pPr>
              <w:pStyle w:val="BodyTextIndent"/>
              <w:suppressAutoHyphens w:val="true"/>
              <w:bidi w:val="0"/>
              <w:spacing w:lineRule="auto" w:line="240" w:beforeAutospacing="0" w:before="60" w:afterAutospacing="0" w:after="60"/>
              <w:ind w:hanging="0" w:left="0"/>
              <w:rPr>
                <w:rFonts w:ascii="Times New Roman" w:hAnsi="Times New Roman" w:eastAsia="Times New Roman" w:cs="Times New Roman"/>
                <w:color w:val="auto"/>
                <w:kern w:val="0"/>
                <w:szCs w:val="20"/>
                <w:lang w:val="ru-RU" w:bidi="ar-SA"/>
              </w:rPr>
            </w:pPr>
            <w:r>
              <w:rPr>
                <w:rFonts w:eastAsia="Times New Roman" w:cs="Times New Roman"/>
                <w:color w:val="auto"/>
                <w:kern w:val="0"/>
                <w:szCs w:val="20"/>
                <w:lang w:val="ru-RU" w:bidi="ar-SA"/>
              </w:rPr>
              <w:t>Покрытие - оцинкованный</w:t>
            </w:r>
          </w:p>
          <w:p>
            <w:pPr>
              <w:pStyle w:val="BodyTextIndent"/>
              <w:suppressAutoHyphens w:val="true"/>
              <w:bidi w:val="0"/>
              <w:spacing w:lineRule="auto" w:line="240" w:beforeAutospacing="0" w:before="60" w:afterAutospacing="0" w:after="60"/>
              <w:ind w:hanging="0" w:left="0"/>
              <w:rPr>
                <w:rFonts w:ascii="Times New Roman" w:hAnsi="Times New Roman" w:eastAsia="Times New Roman" w:cs="Times New Roman"/>
                <w:color w:val="auto"/>
                <w:kern w:val="0"/>
                <w:szCs w:val="20"/>
                <w:lang w:val="ru-RU" w:bidi="ar-SA"/>
              </w:rPr>
            </w:pPr>
            <w:r>
              <w:rPr>
                <w:rFonts w:eastAsia="Times New Roman" w:cs="Times New Roman"/>
                <w:color w:val="auto"/>
                <w:kern w:val="0"/>
                <w:szCs w:val="20"/>
                <w:lang w:val="ru-RU" w:bidi="ar-SA"/>
              </w:rPr>
            </w:r>
          </w:p>
          <w:p>
            <w:pPr>
              <w:pStyle w:val="BodyTextIndent"/>
              <w:bidi w:val="0"/>
              <w:spacing w:lineRule="auto" w:line="240" w:beforeAutospacing="0" w:before="60" w:afterAutospacing="0" w:after="60"/>
              <w:ind w:hanging="0" w:left="0"/>
              <w:rPr>
                <w:rFonts w:ascii="Times New Roman" w:hAnsi="Times New Roman" w:eastAsia="Times New Roman" w:cs="Times New Roman"/>
                <w:sz w:val="20"/>
                <w:szCs w:val="20"/>
              </w:rPr>
            </w:pPr>
            <w:r>
              <w:rPr>
                <w:rFonts w:eastAsia="Times New Roman" w:cs="Times New Roman"/>
                <w:sz w:val="20"/>
                <w:szCs w:val="20"/>
              </w:rPr>
            </w:r>
          </w:p>
        </w:tc>
        <w:tc>
          <w:tcPr>
            <w:tcW w:w="800"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шт</w:t>
            </w:r>
          </w:p>
        </w:tc>
        <w:tc>
          <w:tcPr>
            <w:tcW w:w="733"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200</w:t>
            </w:r>
          </w:p>
        </w:tc>
        <w:tc>
          <w:tcPr>
            <w:tcW w:w="10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c>
          <w:tcPr>
            <w:tcW w:w="1255" w:type="dxa"/>
            <w:tcBorders>
              <w:left w:val="single" w:sz="2" w:space="0" w:color="000000"/>
              <w:bottom w:val="single" w:sz="2" w:space="0" w:color="000000"/>
              <w:right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r>
      <w:tr>
        <w:trPr>
          <w:trHeight w:val="699" w:hRule="atLeast"/>
        </w:trPr>
        <w:tc>
          <w:tcPr>
            <w:tcW w:w="554"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11</w:t>
            </w:r>
          </w:p>
        </w:tc>
        <w:tc>
          <w:tcPr>
            <w:tcW w:w="2076" w:type="dxa"/>
            <w:tcBorders>
              <w:left w:val="single" w:sz="2" w:space="0" w:color="000000"/>
              <w:bottom w:val="single" w:sz="2" w:space="0" w:color="000000"/>
            </w:tcBorders>
            <w:vAlign w:val="center"/>
          </w:tcPr>
          <w:p>
            <w:pPr>
              <w:pStyle w:val="Normal"/>
              <w:bidi w:val="0"/>
              <w:spacing w:lineRule="auto" w:line="240" w:beforeAutospacing="0" w:before="60" w:afterAutospacing="0" w:after="60"/>
              <w:ind w:hanging="0" w:left="0"/>
              <w:jc w:val="left"/>
              <w:rPr>
                <w:rFonts w:ascii="Times New Roman" w:hAnsi="Times New Roman" w:eastAsia="Times New Roman" w:cs="Times New Roman"/>
                <w:sz w:val="20"/>
                <w:szCs w:val="20"/>
              </w:rPr>
            </w:pPr>
            <w:r>
              <w:rPr>
                <w:rFonts w:eastAsia="Times New Roman" w:cs="Times New Roman"/>
                <w:sz w:val="20"/>
                <w:szCs w:val="20"/>
              </w:rPr>
              <w:t>Саморез по дереву</w:t>
            </w:r>
          </w:p>
        </w:tc>
        <w:tc>
          <w:tcPr>
            <w:tcW w:w="4111" w:type="dxa"/>
            <w:tcBorders>
              <w:left w:val="single" w:sz="2" w:space="0" w:color="000000"/>
              <w:bottom w:val="single" w:sz="2" w:space="0" w:color="000000"/>
            </w:tcBorders>
          </w:tcPr>
          <w:p>
            <w:pPr>
              <w:pStyle w:val="BodyTextIndent"/>
              <w:bidi w:val="0"/>
              <w:spacing w:lineRule="auto" w:line="240" w:beforeAutospacing="0" w:before="60" w:afterAutospacing="0" w:after="60"/>
              <w:ind w:hanging="0" w:left="0"/>
              <w:rPr>
                <w:rFonts w:ascii="Times New Roman" w:hAnsi="Times New Roman" w:eastAsia="Times New Roman" w:cs="Times New Roman"/>
                <w:sz w:val="20"/>
                <w:szCs w:val="20"/>
              </w:rPr>
            </w:pPr>
            <w:r>
              <w:rPr>
                <w:rFonts w:eastAsia="Times New Roman" w:cs="Times New Roman"/>
                <w:sz w:val="20"/>
                <w:szCs w:val="20"/>
              </w:rPr>
              <w:t>Саморез по дереву размеры (мм) — 3,5 х 25</w:t>
            </w:r>
          </w:p>
          <w:p>
            <w:pPr>
              <w:pStyle w:val="BodyTextIndent"/>
              <w:suppressAutoHyphens w:val="true"/>
              <w:bidi w:val="0"/>
              <w:spacing w:lineRule="auto" w:line="240" w:beforeAutospacing="0" w:before="60" w:afterAutospacing="0" w:after="60"/>
              <w:ind w:hanging="0" w:left="0"/>
              <w:rPr>
                <w:rFonts w:ascii="Times New Roman" w:hAnsi="Times New Roman" w:eastAsia="Times New Roman" w:cs="Times New Roman"/>
                <w:color w:val="auto"/>
                <w:kern w:val="0"/>
                <w:szCs w:val="20"/>
                <w:lang w:val="ru-RU" w:bidi="ar-SA"/>
              </w:rPr>
            </w:pPr>
            <w:r>
              <w:rPr>
                <w:rStyle w:val="Strong"/>
                <w:rFonts w:eastAsia="Times New Roman" w:cs="Times New Roman"/>
                <w:b w:val="false"/>
                <w:bCs w:val="false"/>
                <w:color w:val="auto"/>
                <w:kern w:val="0"/>
                <w:sz w:val="20"/>
                <w:szCs w:val="20"/>
                <w:lang w:val="ru-RU" w:bidi="ar-SA"/>
              </w:rPr>
              <w:t>Наконечник — острый</w:t>
            </w:r>
          </w:p>
        </w:tc>
        <w:tc>
          <w:tcPr>
            <w:tcW w:w="800"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шт</w:t>
            </w:r>
          </w:p>
        </w:tc>
        <w:tc>
          <w:tcPr>
            <w:tcW w:w="733"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200</w:t>
            </w:r>
          </w:p>
        </w:tc>
        <w:tc>
          <w:tcPr>
            <w:tcW w:w="10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c>
          <w:tcPr>
            <w:tcW w:w="1255" w:type="dxa"/>
            <w:tcBorders>
              <w:left w:val="single" w:sz="2" w:space="0" w:color="000000"/>
              <w:bottom w:val="single" w:sz="2" w:space="0" w:color="000000"/>
              <w:right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r>
      <w:tr>
        <w:trPr>
          <w:trHeight w:val="699" w:hRule="atLeast"/>
        </w:trPr>
        <w:tc>
          <w:tcPr>
            <w:tcW w:w="554"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12</w:t>
            </w:r>
          </w:p>
        </w:tc>
        <w:tc>
          <w:tcPr>
            <w:tcW w:w="2076" w:type="dxa"/>
            <w:tcBorders>
              <w:left w:val="single" w:sz="2" w:space="0" w:color="000000"/>
              <w:bottom w:val="single" w:sz="2" w:space="0" w:color="000000"/>
            </w:tcBorders>
            <w:vAlign w:val="center"/>
          </w:tcPr>
          <w:p>
            <w:pPr>
              <w:pStyle w:val="Normal"/>
              <w:bidi w:val="0"/>
              <w:spacing w:lineRule="auto" w:line="240" w:beforeAutospacing="0" w:before="60" w:afterAutospacing="0" w:after="60"/>
              <w:ind w:hanging="0" w:left="0"/>
              <w:jc w:val="left"/>
              <w:rPr>
                <w:rFonts w:ascii="Times New Roman" w:hAnsi="Times New Roman" w:eastAsia="Times New Roman" w:cs="Times New Roman"/>
                <w:sz w:val="20"/>
                <w:szCs w:val="20"/>
              </w:rPr>
            </w:pPr>
            <w:r>
              <w:rPr>
                <w:rFonts w:eastAsia="Times New Roman" w:cs="Times New Roman"/>
                <w:sz w:val="20"/>
                <w:szCs w:val="20"/>
              </w:rPr>
              <w:t>Саморез по дереву</w:t>
            </w:r>
          </w:p>
        </w:tc>
        <w:tc>
          <w:tcPr>
            <w:tcW w:w="4111" w:type="dxa"/>
            <w:tcBorders>
              <w:left w:val="single" w:sz="2" w:space="0" w:color="000000"/>
              <w:bottom w:val="single" w:sz="2" w:space="0" w:color="000000"/>
            </w:tcBorders>
          </w:tcPr>
          <w:p>
            <w:pPr>
              <w:pStyle w:val="BodyTextIndent"/>
              <w:bidi w:val="0"/>
              <w:spacing w:lineRule="auto" w:line="240" w:beforeAutospacing="0" w:before="60" w:afterAutospacing="0" w:after="60"/>
              <w:ind w:hanging="0" w:left="0"/>
              <w:rPr>
                <w:rFonts w:ascii="Times New Roman" w:hAnsi="Times New Roman" w:eastAsia="Times New Roman" w:cs="Times New Roman"/>
                <w:sz w:val="20"/>
                <w:szCs w:val="20"/>
              </w:rPr>
            </w:pPr>
            <w:r>
              <w:rPr>
                <w:rStyle w:val="Strong"/>
                <w:rFonts w:eastAsia="Times New Roman" w:cs="Times New Roman"/>
                <w:b w:val="false"/>
                <w:bCs w:val="false"/>
                <w:sz w:val="20"/>
                <w:szCs w:val="20"/>
              </w:rPr>
              <w:t>Саморез по дереву размеры (мм) — 3,5х32</w:t>
            </w:r>
          </w:p>
          <w:p>
            <w:pPr>
              <w:pStyle w:val="BodyTextIndent"/>
              <w:suppressAutoHyphens w:val="true"/>
              <w:bidi w:val="0"/>
              <w:spacing w:lineRule="auto" w:line="240" w:beforeAutospacing="0" w:before="60" w:afterAutospacing="0" w:after="60"/>
              <w:ind w:hanging="0" w:left="0"/>
              <w:rPr>
                <w:rFonts w:ascii="Times New Roman" w:hAnsi="Times New Roman" w:eastAsia="Times New Roman" w:cs="Times New Roman"/>
                <w:color w:val="auto"/>
                <w:kern w:val="0"/>
                <w:szCs w:val="20"/>
                <w:lang w:val="ru-RU" w:bidi="ar-SA"/>
              </w:rPr>
            </w:pPr>
            <w:r>
              <w:rPr>
                <w:rStyle w:val="Strong"/>
                <w:rFonts w:eastAsia="Times New Roman" w:cs="Times New Roman"/>
                <w:b w:val="false"/>
                <w:bCs w:val="false"/>
                <w:color w:val="auto"/>
                <w:kern w:val="0"/>
                <w:szCs w:val="20"/>
                <w:lang w:val="ru-RU" w:bidi="ar-SA"/>
              </w:rPr>
              <w:t>Наконечник — острый</w:t>
            </w:r>
          </w:p>
        </w:tc>
        <w:tc>
          <w:tcPr>
            <w:tcW w:w="800"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шт</w:t>
            </w:r>
          </w:p>
        </w:tc>
        <w:tc>
          <w:tcPr>
            <w:tcW w:w="733"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200</w:t>
            </w:r>
          </w:p>
        </w:tc>
        <w:tc>
          <w:tcPr>
            <w:tcW w:w="10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c>
          <w:tcPr>
            <w:tcW w:w="1255" w:type="dxa"/>
            <w:tcBorders>
              <w:left w:val="single" w:sz="2" w:space="0" w:color="000000"/>
              <w:bottom w:val="single" w:sz="2" w:space="0" w:color="000000"/>
              <w:right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r>
      <w:tr>
        <w:trPr>
          <w:trHeight w:val="699" w:hRule="atLeast"/>
        </w:trPr>
        <w:tc>
          <w:tcPr>
            <w:tcW w:w="554"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13</w:t>
            </w:r>
          </w:p>
        </w:tc>
        <w:tc>
          <w:tcPr>
            <w:tcW w:w="2076" w:type="dxa"/>
            <w:tcBorders>
              <w:left w:val="single" w:sz="2" w:space="0" w:color="000000"/>
              <w:bottom w:val="single" w:sz="2" w:space="0" w:color="000000"/>
            </w:tcBorders>
            <w:vAlign w:val="center"/>
          </w:tcPr>
          <w:p>
            <w:pPr>
              <w:pStyle w:val="Normal"/>
              <w:bidi w:val="0"/>
              <w:spacing w:lineRule="auto" w:line="240" w:beforeAutospacing="0" w:before="60" w:afterAutospacing="0" w:after="60"/>
              <w:ind w:hanging="0" w:left="0"/>
              <w:jc w:val="left"/>
              <w:rPr>
                <w:rFonts w:ascii="Times New Roman" w:hAnsi="Times New Roman" w:eastAsia="Times New Roman" w:cs="Times New Roman"/>
                <w:sz w:val="20"/>
                <w:szCs w:val="20"/>
              </w:rPr>
            </w:pPr>
            <w:r>
              <w:rPr>
                <w:rFonts w:eastAsia="Times New Roman" w:cs="Times New Roman"/>
                <w:sz w:val="20"/>
                <w:szCs w:val="20"/>
              </w:rPr>
              <w:t>Саморез с прессшайбой</w:t>
            </w:r>
          </w:p>
        </w:tc>
        <w:tc>
          <w:tcPr>
            <w:tcW w:w="4111" w:type="dxa"/>
            <w:tcBorders>
              <w:left w:val="single" w:sz="2" w:space="0" w:color="000000"/>
              <w:bottom w:val="single" w:sz="2" w:space="0" w:color="000000"/>
            </w:tcBorders>
          </w:tcPr>
          <w:p>
            <w:pPr>
              <w:pStyle w:val="Normal"/>
              <w:bidi w:val="0"/>
              <w:spacing w:lineRule="auto" w:line="240" w:beforeAutospacing="0" w:before="60" w:afterAutospacing="0" w:after="60"/>
              <w:ind w:hanging="0" w:left="0"/>
              <w:jc w:val="left"/>
              <w:rPr>
                <w:rFonts w:ascii="Times New Roman" w:hAnsi="Times New Roman" w:eastAsia="Times New Roman" w:cs="Times New Roman"/>
                <w:sz w:val="20"/>
                <w:szCs w:val="20"/>
              </w:rPr>
            </w:pPr>
            <w:r>
              <w:rPr>
                <w:rFonts w:eastAsia="Times New Roman" w:cs="Times New Roman"/>
                <w:sz w:val="20"/>
                <w:szCs w:val="20"/>
              </w:rPr>
              <w:t>Саморез с прессшайбой размеры (мм) — 4,2х16</w:t>
            </w:r>
          </w:p>
          <w:p>
            <w:pPr>
              <w:pStyle w:val="BodyTextIndent"/>
              <w:suppressAutoHyphens w:val="true"/>
              <w:bidi w:val="0"/>
              <w:spacing w:lineRule="auto" w:line="240" w:beforeAutospacing="0" w:before="60" w:afterAutospacing="0" w:after="60"/>
              <w:ind w:hanging="0" w:left="0"/>
              <w:rPr>
                <w:rFonts w:ascii="Times New Roman" w:hAnsi="Times New Roman" w:eastAsia="Times New Roman" w:cs="Times New Roman"/>
                <w:color w:val="auto"/>
                <w:kern w:val="0"/>
                <w:szCs w:val="20"/>
                <w:lang w:val="ru-RU" w:bidi="ar-SA"/>
              </w:rPr>
            </w:pPr>
            <w:r>
              <w:rPr>
                <w:rStyle w:val="Strong"/>
                <w:rFonts w:eastAsia="Times New Roman" w:cs="Times New Roman"/>
                <w:b w:val="false"/>
                <w:bCs w:val="false"/>
                <w:color w:val="auto"/>
                <w:kern w:val="0"/>
                <w:szCs w:val="20"/>
                <w:lang w:val="ru-RU" w:bidi="ar-SA"/>
              </w:rPr>
              <w:t>Наконечник — острый</w:t>
            </w:r>
          </w:p>
        </w:tc>
        <w:tc>
          <w:tcPr>
            <w:tcW w:w="800"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шт</w:t>
            </w:r>
          </w:p>
        </w:tc>
        <w:tc>
          <w:tcPr>
            <w:tcW w:w="733"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200</w:t>
            </w:r>
          </w:p>
        </w:tc>
        <w:tc>
          <w:tcPr>
            <w:tcW w:w="10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c>
          <w:tcPr>
            <w:tcW w:w="1255" w:type="dxa"/>
            <w:tcBorders>
              <w:left w:val="single" w:sz="2" w:space="0" w:color="000000"/>
              <w:bottom w:val="single" w:sz="2" w:space="0" w:color="000000"/>
              <w:right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r>
      <w:tr>
        <w:trPr>
          <w:trHeight w:val="699" w:hRule="atLeast"/>
        </w:trPr>
        <w:tc>
          <w:tcPr>
            <w:tcW w:w="554"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14</w:t>
            </w:r>
          </w:p>
        </w:tc>
        <w:tc>
          <w:tcPr>
            <w:tcW w:w="2076" w:type="dxa"/>
            <w:tcBorders>
              <w:left w:val="single" w:sz="2" w:space="0" w:color="000000"/>
              <w:bottom w:val="single" w:sz="2" w:space="0" w:color="000000"/>
            </w:tcBorders>
            <w:vAlign w:val="center"/>
          </w:tcPr>
          <w:p>
            <w:pPr>
              <w:pStyle w:val="Normal"/>
              <w:bidi w:val="0"/>
              <w:spacing w:lineRule="auto" w:line="240" w:beforeAutospacing="0" w:before="60" w:afterAutospacing="0" w:after="60"/>
              <w:ind w:hanging="0" w:left="0"/>
              <w:jc w:val="left"/>
              <w:rPr>
                <w:rFonts w:ascii="Times New Roman" w:hAnsi="Times New Roman" w:eastAsia="Times New Roman" w:cs="Times New Roman"/>
                <w:sz w:val="20"/>
                <w:szCs w:val="20"/>
              </w:rPr>
            </w:pPr>
            <w:r>
              <w:rPr>
                <w:rFonts w:eastAsia="Times New Roman" w:cs="Times New Roman"/>
                <w:sz w:val="20"/>
                <w:szCs w:val="20"/>
              </w:rPr>
              <w:t>Саморез с прессшайбой</w:t>
            </w:r>
          </w:p>
        </w:tc>
        <w:tc>
          <w:tcPr>
            <w:tcW w:w="4111" w:type="dxa"/>
            <w:tcBorders>
              <w:left w:val="single" w:sz="2" w:space="0" w:color="000000"/>
              <w:bottom w:val="single" w:sz="2" w:space="0" w:color="000000"/>
            </w:tcBorders>
          </w:tcPr>
          <w:p>
            <w:pPr>
              <w:pStyle w:val="Normal"/>
              <w:bidi w:val="0"/>
              <w:spacing w:lineRule="auto" w:line="240" w:beforeAutospacing="0" w:before="60" w:afterAutospacing="0" w:after="60"/>
              <w:ind w:hanging="0" w:left="0"/>
              <w:jc w:val="left"/>
              <w:rPr>
                <w:rFonts w:ascii="Times New Roman" w:hAnsi="Times New Roman" w:eastAsia="Times New Roman" w:cs="Times New Roman"/>
                <w:sz w:val="20"/>
                <w:szCs w:val="20"/>
              </w:rPr>
            </w:pPr>
            <w:r>
              <w:rPr>
                <w:rFonts w:eastAsia="Times New Roman" w:cs="Times New Roman"/>
                <w:sz w:val="20"/>
                <w:szCs w:val="20"/>
              </w:rPr>
              <w:t>Саморез с прессшайбой размеры (мм) — 4,2х19</w:t>
            </w:r>
          </w:p>
          <w:p>
            <w:pPr>
              <w:pStyle w:val="BodyTextIndent"/>
              <w:suppressAutoHyphens w:val="true"/>
              <w:bidi w:val="0"/>
              <w:spacing w:lineRule="auto" w:line="240" w:beforeAutospacing="0" w:before="60" w:afterAutospacing="0" w:after="60"/>
              <w:ind w:hanging="0" w:left="0"/>
              <w:rPr>
                <w:rFonts w:ascii="Times New Roman" w:hAnsi="Times New Roman" w:eastAsia="Times New Roman" w:cs="Times New Roman"/>
                <w:color w:val="auto"/>
                <w:kern w:val="0"/>
                <w:szCs w:val="20"/>
                <w:lang w:val="ru-RU" w:bidi="ar-SA"/>
              </w:rPr>
            </w:pPr>
            <w:r>
              <w:rPr>
                <w:rStyle w:val="Strong"/>
                <w:rFonts w:eastAsia="Times New Roman" w:cs="Times New Roman"/>
                <w:b w:val="false"/>
                <w:bCs w:val="false"/>
                <w:color w:val="auto"/>
                <w:kern w:val="0"/>
                <w:szCs w:val="20"/>
                <w:lang w:val="ru-RU" w:bidi="ar-SA"/>
              </w:rPr>
              <w:t>Наконечник — острый</w:t>
            </w:r>
          </w:p>
        </w:tc>
        <w:tc>
          <w:tcPr>
            <w:tcW w:w="800"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шт</w:t>
            </w:r>
          </w:p>
        </w:tc>
        <w:tc>
          <w:tcPr>
            <w:tcW w:w="733"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200</w:t>
            </w:r>
          </w:p>
        </w:tc>
        <w:tc>
          <w:tcPr>
            <w:tcW w:w="10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c>
          <w:tcPr>
            <w:tcW w:w="1255" w:type="dxa"/>
            <w:tcBorders>
              <w:left w:val="single" w:sz="2" w:space="0" w:color="000000"/>
              <w:bottom w:val="single" w:sz="2" w:space="0" w:color="000000"/>
              <w:right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r>
      <w:tr>
        <w:trPr>
          <w:trHeight w:val="699" w:hRule="atLeast"/>
        </w:trPr>
        <w:tc>
          <w:tcPr>
            <w:tcW w:w="554"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15</w:t>
            </w:r>
          </w:p>
        </w:tc>
        <w:tc>
          <w:tcPr>
            <w:tcW w:w="2076" w:type="dxa"/>
            <w:tcBorders>
              <w:left w:val="single" w:sz="2" w:space="0" w:color="000000"/>
              <w:bottom w:val="single" w:sz="2" w:space="0" w:color="000000"/>
            </w:tcBorders>
            <w:vAlign w:val="center"/>
          </w:tcPr>
          <w:p>
            <w:pPr>
              <w:pStyle w:val="Normal"/>
              <w:bidi w:val="0"/>
              <w:spacing w:lineRule="auto" w:line="240" w:beforeAutospacing="0" w:before="60" w:afterAutospacing="0" w:after="60"/>
              <w:ind w:hanging="0" w:left="0"/>
              <w:jc w:val="left"/>
              <w:rPr>
                <w:rFonts w:ascii="Times New Roman" w:hAnsi="Times New Roman" w:eastAsia="Times New Roman" w:cs="Times New Roman"/>
                <w:sz w:val="20"/>
                <w:szCs w:val="20"/>
              </w:rPr>
            </w:pPr>
            <w:r>
              <w:rPr>
                <w:rFonts w:eastAsia="Times New Roman" w:cs="Times New Roman"/>
                <w:sz w:val="20"/>
                <w:szCs w:val="20"/>
              </w:rPr>
              <w:t>Саморез с прессшайбой</w:t>
            </w:r>
          </w:p>
        </w:tc>
        <w:tc>
          <w:tcPr>
            <w:tcW w:w="4111" w:type="dxa"/>
            <w:tcBorders>
              <w:left w:val="single" w:sz="2" w:space="0" w:color="000000"/>
              <w:bottom w:val="single" w:sz="2" w:space="0" w:color="000000"/>
            </w:tcBorders>
          </w:tcPr>
          <w:p>
            <w:pPr>
              <w:pStyle w:val="Normal"/>
              <w:bidi w:val="0"/>
              <w:spacing w:lineRule="auto" w:line="240" w:beforeAutospacing="0" w:before="60" w:afterAutospacing="0" w:after="60"/>
              <w:ind w:hanging="0" w:left="0"/>
              <w:jc w:val="left"/>
              <w:rPr>
                <w:rFonts w:ascii="Times New Roman" w:hAnsi="Times New Roman" w:eastAsia="Times New Roman" w:cs="Times New Roman"/>
                <w:sz w:val="20"/>
                <w:szCs w:val="20"/>
              </w:rPr>
            </w:pPr>
            <w:r>
              <w:rPr>
                <w:rFonts w:eastAsia="Times New Roman" w:cs="Times New Roman"/>
                <w:sz w:val="20"/>
                <w:szCs w:val="20"/>
              </w:rPr>
              <w:t>Саморез с прессшайбой размеры (мм) — 4,2х25</w:t>
            </w:r>
          </w:p>
          <w:p>
            <w:pPr>
              <w:pStyle w:val="BodyTextIndent"/>
              <w:suppressAutoHyphens w:val="true"/>
              <w:bidi w:val="0"/>
              <w:spacing w:lineRule="auto" w:line="240" w:beforeAutospacing="0" w:before="60" w:afterAutospacing="0" w:after="60"/>
              <w:ind w:hanging="0" w:left="0"/>
              <w:rPr>
                <w:rFonts w:ascii="Times New Roman" w:hAnsi="Times New Roman" w:eastAsia="Times New Roman" w:cs="Times New Roman"/>
                <w:color w:val="auto"/>
                <w:kern w:val="0"/>
                <w:szCs w:val="20"/>
                <w:lang w:val="ru-RU" w:bidi="ar-SA"/>
              </w:rPr>
            </w:pPr>
            <w:r>
              <w:rPr>
                <w:rStyle w:val="Strong"/>
                <w:rFonts w:eastAsia="Times New Roman" w:cs="Times New Roman"/>
                <w:b w:val="false"/>
                <w:bCs w:val="false"/>
                <w:color w:val="auto"/>
                <w:kern w:val="0"/>
                <w:szCs w:val="20"/>
                <w:lang w:val="ru-RU" w:bidi="ar-SA"/>
              </w:rPr>
              <w:t>Наконечник — острый</w:t>
            </w:r>
          </w:p>
        </w:tc>
        <w:tc>
          <w:tcPr>
            <w:tcW w:w="800"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шт</w:t>
            </w:r>
          </w:p>
        </w:tc>
        <w:tc>
          <w:tcPr>
            <w:tcW w:w="733"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200</w:t>
            </w:r>
          </w:p>
        </w:tc>
        <w:tc>
          <w:tcPr>
            <w:tcW w:w="10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c>
          <w:tcPr>
            <w:tcW w:w="1255" w:type="dxa"/>
            <w:tcBorders>
              <w:left w:val="single" w:sz="2" w:space="0" w:color="000000"/>
              <w:bottom w:val="single" w:sz="2" w:space="0" w:color="000000"/>
              <w:right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r>
      <w:tr>
        <w:trPr>
          <w:trHeight w:val="699" w:hRule="atLeast"/>
        </w:trPr>
        <w:tc>
          <w:tcPr>
            <w:tcW w:w="554"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16</w:t>
            </w:r>
          </w:p>
        </w:tc>
        <w:tc>
          <w:tcPr>
            <w:tcW w:w="2076" w:type="dxa"/>
            <w:tcBorders>
              <w:left w:val="single" w:sz="2" w:space="0" w:color="000000"/>
              <w:bottom w:val="single" w:sz="2" w:space="0" w:color="000000"/>
            </w:tcBorders>
            <w:vAlign w:val="center"/>
          </w:tcPr>
          <w:p>
            <w:pPr>
              <w:pStyle w:val="Normal"/>
              <w:bidi w:val="0"/>
              <w:spacing w:lineRule="auto" w:line="240" w:beforeAutospacing="0" w:before="60" w:afterAutospacing="0" w:after="60"/>
              <w:ind w:hanging="0" w:left="0"/>
              <w:jc w:val="left"/>
              <w:rPr>
                <w:rFonts w:ascii="Times New Roman" w:hAnsi="Times New Roman" w:eastAsia="Times New Roman" w:cs="Times New Roman"/>
                <w:sz w:val="20"/>
                <w:szCs w:val="20"/>
              </w:rPr>
            </w:pPr>
            <w:r>
              <w:rPr>
                <w:rFonts w:eastAsia="Times New Roman" w:cs="Times New Roman"/>
                <w:sz w:val="20"/>
                <w:szCs w:val="20"/>
              </w:rPr>
              <w:t>Саморез с прессшайбой</w:t>
            </w:r>
          </w:p>
        </w:tc>
        <w:tc>
          <w:tcPr>
            <w:tcW w:w="4111" w:type="dxa"/>
            <w:tcBorders>
              <w:left w:val="single" w:sz="2" w:space="0" w:color="000000"/>
              <w:bottom w:val="single" w:sz="2" w:space="0" w:color="000000"/>
            </w:tcBorders>
          </w:tcPr>
          <w:p>
            <w:pPr>
              <w:pStyle w:val="Normal"/>
              <w:bidi w:val="0"/>
              <w:spacing w:lineRule="auto" w:line="240" w:beforeAutospacing="0" w:before="60" w:afterAutospacing="0" w:after="60"/>
              <w:ind w:hanging="0" w:left="0"/>
              <w:jc w:val="left"/>
              <w:rPr>
                <w:rFonts w:ascii="Times New Roman" w:hAnsi="Times New Roman" w:eastAsia="Times New Roman" w:cs="Times New Roman"/>
                <w:sz w:val="20"/>
                <w:szCs w:val="20"/>
              </w:rPr>
            </w:pPr>
            <w:r>
              <w:rPr>
                <w:rFonts w:eastAsia="Times New Roman" w:cs="Times New Roman"/>
                <w:sz w:val="20"/>
                <w:szCs w:val="20"/>
              </w:rPr>
              <w:t>Саморез с прессшайбой размеры (мм) — 4,2х32</w:t>
            </w:r>
          </w:p>
          <w:p>
            <w:pPr>
              <w:pStyle w:val="BodyTextIndent"/>
              <w:suppressAutoHyphens w:val="true"/>
              <w:bidi w:val="0"/>
              <w:spacing w:lineRule="auto" w:line="240" w:beforeAutospacing="0" w:before="60" w:afterAutospacing="0" w:after="60"/>
              <w:ind w:hanging="0" w:left="0"/>
              <w:rPr>
                <w:rFonts w:ascii="Times New Roman" w:hAnsi="Times New Roman" w:eastAsia="Times New Roman" w:cs="Times New Roman"/>
                <w:color w:val="auto"/>
                <w:kern w:val="0"/>
                <w:szCs w:val="20"/>
                <w:lang w:val="ru-RU" w:bidi="ar-SA"/>
              </w:rPr>
            </w:pPr>
            <w:r>
              <w:rPr>
                <w:rStyle w:val="Strong"/>
                <w:rFonts w:eastAsia="Times New Roman" w:cs="Times New Roman"/>
                <w:b w:val="false"/>
                <w:bCs w:val="false"/>
                <w:color w:val="auto"/>
                <w:kern w:val="0"/>
                <w:szCs w:val="20"/>
                <w:lang w:val="ru-RU" w:bidi="ar-SA"/>
              </w:rPr>
              <w:t>Наконечник — острый</w:t>
            </w:r>
          </w:p>
        </w:tc>
        <w:tc>
          <w:tcPr>
            <w:tcW w:w="800"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шт</w:t>
            </w:r>
          </w:p>
        </w:tc>
        <w:tc>
          <w:tcPr>
            <w:tcW w:w="733"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200</w:t>
            </w:r>
          </w:p>
        </w:tc>
        <w:tc>
          <w:tcPr>
            <w:tcW w:w="10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c>
          <w:tcPr>
            <w:tcW w:w="1255" w:type="dxa"/>
            <w:tcBorders>
              <w:left w:val="single" w:sz="2" w:space="0" w:color="000000"/>
              <w:bottom w:val="single" w:sz="2" w:space="0" w:color="000000"/>
              <w:right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r>
      <w:tr>
        <w:trPr>
          <w:trHeight w:val="699" w:hRule="atLeast"/>
        </w:trPr>
        <w:tc>
          <w:tcPr>
            <w:tcW w:w="554"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17</w:t>
            </w:r>
          </w:p>
        </w:tc>
        <w:tc>
          <w:tcPr>
            <w:tcW w:w="2076" w:type="dxa"/>
            <w:tcBorders>
              <w:left w:val="single" w:sz="2" w:space="0" w:color="000000"/>
              <w:bottom w:val="single" w:sz="2" w:space="0" w:color="000000"/>
            </w:tcBorders>
            <w:vAlign w:val="center"/>
          </w:tcPr>
          <w:p>
            <w:pPr>
              <w:pStyle w:val="Normal"/>
              <w:bidi w:val="0"/>
              <w:spacing w:lineRule="auto" w:line="240" w:beforeAutospacing="0" w:before="60" w:afterAutospacing="0" w:after="60"/>
              <w:ind w:hanging="0" w:left="0"/>
              <w:jc w:val="left"/>
              <w:rPr>
                <w:rFonts w:ascii="Times New Roman" w:hAnsi="Times New Roman" w:eastAsia="Times New Roman" w:cs="Times New Roman"/>
                <w:sz w:val="20"/>
                <w:szCs w:val="20"/>
              </w:rPr>
            </w:pPr>
            <w:r>
              <w:rPr>
                <w:rFonts w:eastAsia="Times New Roman" w:cs="Times New Roman"/>
                <w:sz w:val="20"/>
                <w:szCs w:val="20"/>
              </w:rPr>
              <w:t>Саморез с прессшайбой</w:t>
            </w:r>
          </w:p>
        </w:tc>
        <w:tc>
          <w:tcPr>
            <w:tcW w:w="4111" w:type="dxa"/>
            <w:tcBorders>
              <w:left w:val="single" w:sz="2" w:space="0" w:color="000000"/>
              <w:bottom w:val="single" w:sz="2" w:space="0" w:color="000000"/>
            </w:tcBorders>
          </w:tcPr>
          <w:p>
            <w:pPr>
              <w:pStyle w:val="Normal"/>
              <w:bidi w:val="0"/>
              <w:spacing w:lineRule="auto" w:line="240" w:beforeAutospacing="0" w:before="60" w:afterAutospacing="0" w:after="60"/>
              <w:ind w:hanging="0" w:left="0"/>
              <w:jc w:val="left"/>
              <w:rPr>
                <w:rFonts w:ascii="Times New Roman" w:hAnsi="Times New Roman" w:eastAsia="Times New Roman" w:cs="Times New Roman"/>
                <w:sz w:val="20"/>
                <w:szCs w:val="20"/>
              </w:rPr>
            </w:pPr>
            <w:r>
              <w:rPr>
                <w:rFonts w:eastAsia="Times New Roman" w:cs="Times New Roman"/>
                <w:sz w:val="20"/>
                <w:szCs w:val="20"/>
              </w:rPr>
              <w:t>Саморез с прессшайбой размеры (мм) — 4,2х51</w:t>
            </w:r>
          </w:p>
          <w:p>
            <w:pPr>
              <w:pStyle w:val="BodyTextIndent"/>
              <w:suppressAutoHyphens w:val="true"/>
              <w:bidi w:val="0"/>
              <w:spacing w:lineRule="auto" w:line="240" w:beforeAutospacing="0" w:before="60" w:afterAutospacing="0" w:after="60"/>
              <w:ind w:hanging="0" w:left="0"/>
              <w:rPr>
                <w:rFonts w:ascii="Times New Roman" w:hAnsi="Times New Roman" w:eastAsia="Times New Roman" w:cs="Times New Roman"/>
                <w:color w:val="auto"/>
                <w:kern w:val="0"/>
                <w:szCs w:val="20"/>
                <w:lang w:val="ru-RU" w:bidi="ar-SA"/>
              </w:rPr>
            </w:pPr>
            <w:r>
              <w:rPr>
                <w:rStyle w:val="Strong"/>
                <w:rFonts w:eastAsia="Times New Roman" w:cs="Times New Roman"/>
                <w:b w:val="false"/>
                <w:bCs w:val="false"/>
                <w:color w:val="auto"/>
                <w:kern w:val="0"/>
                <w:szCs w:val="20"/>
                <w:lang w:val="ru-RU" w:bidi="ar-SA"/>
              </w:rPr>
              <w:t>Наконечник — острый</w:t>
            </w:r>
          </w:p>
        </w:tc>
        <w:tc>
          <w:tcPr>
            <w:tcW w:w="800"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шт</w:t>
            </w:r>
          </w:p>
        </w:tc>
        <w:tc>
          <w:tcPr>
            <w:tcW w:w="733"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200</w:t>
            </w:r>
          </w:p>
        </w:tc>
        <w:tc>
          <w:tcPr>
            <w:tcW w:w="10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c>
          <w:tcPr>
            <w:tcW w:w="1255" w:type="dxa"/>
            <w:tcBorders>
              <w:left w:val="single" w:sz="2" w:space="0" w:color="000000"/>
              <w:bottom w:val="single" w:sz="2" w:space="0" w:color="000000"/>
              <w:right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r>
      <w:tr>
        <w:trPr>
          <w:trHeight w:val="628" w:hRule="atLeast"/>
        </w:trPr>
        <w:tc>
          <w:tcPr>
            <w:tcW w:w="9329" w:type="dxa"/>
            <w:gridSpan w:val="6"/>
            <w:tcBorders>
              <w:left w:val="single" w:sz="2" w:space="0" w:color="000000"/>
              <w:bottom w:val="single" w:sz="2" w:space="0" w:color="000000"/>
            </w:tcBorders>
            <w:vAlign w:val="center"/>
          </w:tcPr>
          <w:p>
            <w:pPr>
              <w:pStyle w:val="Normal"/>
              <w:spacing w:before="20" w:after="0"/>
              <w:ind w:hanging="0"/>
              <w:jc w:val="right"/>
              <w:rPr>
                <w:rFonts w:ascii="Times New Roman CYR" w:hAnsi="Times New Roman CYR" w:cs="Times New Roman CYR"/>
                <w:b/>
                <w:bCs/>
                <w:szCs w:val="24"/>
                <w:lang w:eastAsia="ru-RU"/>
              </w:rPr>
            </w:pPr>
            <w:r>
              <w:rPr>
                <w:rFonts w:cs="Times New Roman CYR" w:ascii="Times New Roman CYR" w:hAnsi="Times New Roman CYR"/>
                <w:b/>
                <w:bCs/>
                <w:kern w:val="0"/>
                <w:szCs w:val="24"/>
                <w:lang w:val="ru-RU" w:eastAsia="ru-RU" w:bidi="ar-SA"/>
              </w:rPr>
              <w:t>ИТОГО</w:t>
            </w:r>
          </w:p>
        </w:tc>
        <w:tc>
          <w:tcPr>
            <w:tcW w:w="1255" w:type="dxa"/>
            <w:tcBorders>
              <w:left w:val="single" w:sz="2" w:space="0" w:color="000000"/>
              <w:bottom w:val="single" w:sz="2" w:space="0" w:color="000000"/>
              <w:right w:val="single" w:sz="2" w:space="0" w:color="000000"/>
            </w:tcBorders>
            <w:vAlign w:val="center"/>
          </w:tcPr>
          <w:p>
            <w:pPr>
              <w:pStyle w:val="Normal"/>
              <w:spacing w:before="20" w:after="0"/>
              <w:ind w:hanging="0"/>
              <w:jc w:val="right"/>
              <w:rPr>
                <w:rFonts w:ascii="Times New Roman CYR" w:hAnsi="Times New Roman CYR" w:cs="Times New Roman CYR"/>
                <w:b/>
                <w:bCs/>
                <w:szCs w:val="24"/>
                <w:lang w:eastAsia="ru-RU"/>
              </w:rPr>
            </w:pPr>
            <w:r>
              <w:rPr>
                <w:rFonts w:cs="Times New Roman CYR" w:ascii="Times New Roman CYR" w:hAnsi="Times New Roman CYR"/>
                <w:b/>
                <w:bCs/>
                <w:szCs w:val="24"/>
                <w:lang w:eastAsia="ru-RU"/>
              </w:rPr>
            </w:r>
          </w:p>
        </w:tc>
      </w:tr>
    </w:tbl>
    <w:p>
      <w:pPr>
        <w:pStyle w:val="BodyTextIndent"/>
        <w:spacing w:before="60" w:after="60"/>
        <w:ind w:hanging="0" w:left="0"/>
        <w:rPr>
          <w:b/>
          <w:sz w:val="24"/>
          <w:szCs w:val="24"/>
        </w:rPr>
      </w:pPr>
      <w:r>
        <w:rPr>
          <w:b/>
          <w:sz w:val="24"/>
          <w:szCs w:val="24"/>
        </w:rPr>
      </w:r>
    </w:p>
    <w:tbl>
      <w:tblPr>
        <w:tblStyle w:val="872"/>
        <w:tblW w:w="9187" w:type="dxa"/>
        <w:jc w:val="left"/>
        <w:tblInd w:w="391" w:type="dxa"/>
        <w:tblLayout w:type="fixed"/>
        <w:tblCellMar>
          <w:top w:w="0" w:type="dxa"/>
          <w:left w:w="108" w:type="dxa"/>
          <w:bottom w:w="0" w:type="dxa"/>
          <w:right w:w="108" w:type="dxa"/>
        </w:tblCellMar>
        <w:tblLook w:val="04a0" w:noHBand="0" w:noVBand="1" w:firstColumn="1" w:lastRow="0" w:lastColumn="0" w:firstRow="1"/>
      </w:tblPr>
      <w:tblGrid>
        <w:gridCol w:w="4590"/>
        <w:gridCol w:w="4596"/>
      </w:tblGrid>
      <w:tr>
        <w:trPr/>
        <w:tc>
          <w:tcPr>
            <w:tcW w:w="4590" w:type="dxa"/>
            <w:tcBorders/>
          </w:tcPr>
          <w:p>
            <w:pPr>
              <w:pStyle w:val="BodyTextIndent"/>
              <w:spacing w:before="0" w:after="0"/>
              <w:ind w:hanging="0" w:left="0"/>
              <w:jc w:val="center"/>
              <w:rPr>
                <w:b/>
                <w:sz w:val="24"/>
                <w:szCs w:val="24"/>
                <w:lang w:eastAsia="en-US"/>
              </w:rPr>
            </w:pPr>
            <w:r>
              <w:rPr>
                <w:b/>
                <w:kern w:val="0"/>
                <w:sz w:val="24"/>
                <w:szCs w:val="24"/>
                <w:lang w:val="ru-RU" w:eastAsia="en-US" w:bidi="ar-SA"/>
              </w:rPr>
              <w:t>Заказчик</w:t>
            </w:r>
          </w:p>
          <w:p>
            <w:pPr>
              <w:pStyle w:val="BodyTextIndent"/>
              <w:spacing w:before="0" w:after="0"/>
              <w:ind w:hanging="0" w:left="0"/>
              <w:rPr>
                <w:b/>
                <w:sz w:val="24"/>
                <w:szCs w:val="24"/>
                <w:lang w:eastAsia="en-US"/>
              </w:rPr>
            </w:pPr>
            <w:r>
              <w:rPr>
                <w:b/>
                <w:sz w:val="24"/>
                <w:szCs w:val="24"/>
                <w:lang w:eastAsia="en-US"/>
              </w:rPr>
            </w:r>
          </w:p>
        </w:tc>
        <w:tc>
          <w:tcPr>
            <w:tcW w:w="4596" w:type="dxa"/>
            <w:tcBorders/>
          </w:tcPr>
          <w:p>
            <w:pPr>
              <w:pStyle w:val="BodyTextIndent"/>
              <w:spacing w:before="0" w:after="0"/>
              <w:ind w:hanging="0" w:left="0"/>
              <w:jc w:val="center"/>
              <w:rPr>
                <w:b/>
                <w:sz w:val="24"/>
                <w:szCs w:val="24"/>
                <w:lang w:eastAsia="en-US"/>
              </w:rPr>
            </w:pPr>
            <w:r>
              <w:rPr>
                <w:b/>
                <w:kern w:val="0"/>
                <w:sz w:val="24"/>
                <w:szCs w:val="24"/>
                <w:lang w:val="ru-RU" w:eastAsia="en-US" w:bidi="ar-SA"/>
              </w:rPr>
              <w:t>Продавец</w:t>
            </w:r>
          </w:p>
          <w:p>
            <w:pPr>
              <w:pStyle w:val="Normal"/>
              <w:ind w:hanging="0"/>
              <w:jc w:val="left"/>
              <w:rPr>
                <w:szCs w:val="24"/>
              </w:rPr>
            </w:pPr>
            <w:r>
              <w:rPr>
                <w:szCs w:val="24"/>
              </w:rPr>
            </w:r>
          </w:p>
        </w:tc>
      </w:tr>
      <w:tr>
        <w:trPr/>
        <w:tc>
          <w:tcPr>
            <w:tcW w:w="4590" w:type="dxa"/>
            <w:tcBorders/>
          </w:tcPr>
          <w:p>
            <w:pPr>
              <w:pStyle w:val="BodyText"/>
              <w:spacing w:before="0" w:after="0"/>
              <w:rPr>
                <w:sz w:val="24"/>
                <w:szCs w:val="24"/>
                <w:lang w:eastAsia="en-US"/>
              </w:rPr>
            </w:pPr>
            <w:r>
              <w:rPr>
                <w:sz w:val="24"/>
                <w:szCs w:val="24"/>
                <w:lang w:eastAsia="en-US"/>
              </w:rPr>
            </w:r>
          </w:p>
          <w:p>
            <w:pPr>
              <w:pStyle w:val="BodyText"/>
              <w:spacing w:before="0" w:after="0"/>
              <w:rPr>
                <w:sz w:val="24"/>
                <w:szCs w:val="24"/>
                <w:lang w:eastAsia="en-US"/>
              </w:rPr>
            </w:pPr>
            <w:r>
              <w:rPr>
                <w:kern w:val="0"/>
                <w:sz w:val="24"/>
                <w:szCs w:val="24"/>
                <w:lang w:val="ru-RU" w:eastAsia="en-US" w:bidi="ar-SA"/>
              </w:rPr>
              <w:t>_________________ /______________/</w:t>
            </w:r>
          </w:p>
          <w:p>
            <w:pPr>
              <w:pStyle w:val="BodyTextIndent"/>
              <w:spacing w:before="60" w:after="60"/>
              <w:ind w:hanging="0" w:left="0"/>
              <w:rPr>
                <w:b/>
                <w:sz w:val="24"/>
                <w:szCs w:val="24"/>
                <w:lang w:eastAsia="en-US"/>
              </w:rPr>
            </w:pPr>
            <w:r>
              <w:rPr>
                <w:kern w:val="0"/>
                <w:sz w:val="24"/>
                <w:szCs w:val="24"/>
                <w:lang w:val="ru-RU" w:eastAsia="en-US" w:bidi="ar-SA"/>
              </w:rPr>
              <w:t>М.П.</w:t>
            </w:r>
          </w:p>
        </w:tc>
        <w:tc>
          <w:tcPr>
            <w:tcW w:w="4596" w:type="dxa"/>
            <w:tcBorders/>
          </w:tcPr>
          <w:p>
            <w:pPr>
              <w:pStyle w:val="BodyText"/>
              <w:spacing w:before="0" w:after="0"/>
              <w:jc w:val="center"/>
              <w:rPr>
                <w:sz w:val="24"/>
                <w:szCs w:val="24"/>
                <w:lang w:eastAsia="en-US"/>
              </w:rPr>
            </w:pPr>
            <w:r>
              <w:rPr>
                <w:sz w:val="24"/>
                <w:szCs w:val="24"/>
                <w:lang w:eastAsia="en-US"/>
              </w:rPr>
            </w:r>
          </w:p>
          <w:p>
            <w:pPr>
              <w:pStyle w:val="BodyText"/>
              <w:spacing w:before="0" w:after="0"/>
              <w:rPr>
                <w:sz w:val="24"/>
                <w:szCs w:val="24"/>
                <w:lang w:eastAsia="en-US"/>
              </w:rPr>
            </w:pPr>
            <w:r>
              <w:rPr>
                <w:kern w:val="0"/>
                <w:sz w:val="24"/>
                <w:szCs w:val="24"/>
                <w:lang w:val="ru-RU" w:eastAsia="en-US" w:bidi="ar-SA"/>
              </w:rPr>
              <w:t>_________________ /______________/</w:t>
            </w:r>
          </w:p>
          <w:p>
            <w:pPr>
              <w:pStyle w:val="BodyTextIndent"/>
              <w:spacing w:before="60" w:after="60"/>
              <w:ind w:hanging="0" w:left="0"/>
              <w:rPr>
                <w:b/>
                <w:sz w:val="24"/>
                <w:szCs w:val="24"/>
                <w:lang w:eastAsia="en-US"/>
              </w:rPr>
            </w:pPr>
            <w:r>
              <w:rPr>
                <w:kern w:val="0"/>
                <w:sz w:val="24"/>
                <w:szCs w:val="24"/>
                <w:lang w:val="ru-RU" w:eastAsia="en-US" w:bidi="ar-SA"/>
              </w:rPr>
              <w:t>М.П.</w:t>
            </w:r>
          </w:p>
        </w:tc>
      </w:tr>
    </w:tbl>
    <w:p>
      <w:pPr>
        <w:pStyle w:val="BodyTextIndent"/>
        <w:spacing w:before="60" w:after="60"/>
        <w:jc w:val="right"/>
        <w:rPr>
          <w:szCs w:val="24"/>
        </w:rPr>
      </w:pPr>
      <w:r>
        <w:rPr>
          <w:szCs w:val="24"/>
        </w:rPr>
      </w:r>
    </w:p>
    <w:sectPr>
      <w:type w:val="nextPage"/>
      <w:pgSz w:w="11906" w:h="16838"/>
      <w:pgMar w:left="1588" w:right="851" w:gutter="0" w:header="0" w:top="851" w:footer="0" w:bottom="102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Arial">
    <w:charset w:val="01"/>
    <w:family w:val="swiss"/>
    <w:pitch w:val="default"/>
  </w:font>
  <w:font w:name="Cambria">
    <w:charset w:val="01"/>
    <w:family w:val="roman"/>
    <w:pitch w:val="default"/>
  </w:font>
  <w:font w:name="Tahoma">
    <w:charset w:val="01"/>
    <w:family w:val="roman"/>
    <w:pitch w:val="default"/>
  </w:font>
  <w:font w:name="Consolas">
    <w:charset w:val="01"/>
    <w:family w:val="roman"/>
    <w:pitch w:val="default"/>
  </w:font>
  <w:font w:name="OpenSymbol">
    <w:altName w:val="Arial Unicode MS"/>
    <w:charset w:val="01"/>
    <w:family w:val="roman"/>
    <w:pitch w:val="default"/>
  </w:font>
  <w:font w:name="PT Astra Serif">
    <w:charset w:val="01"/>
    <w:family w:val="roman"/>
    <w:pitch w:val="default"/>
  </w:font>
  <w:font w:name="Courier New">
    <w:charset w:val="01"/>
    <w:family w:val="roman"/>
    <w:pitch w:val="default"/>
  </w:font>
  <w:font w:name="Times New Roman CYR">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isLgl/>
      <w:numFmt w:val="decimal"/>
      <w:suff w:val="space"/>
      <w:lvlText w:val="%1."/>
      <w:lvlJc w:val="left"/>
      <w:pPr>
        <w:tabs>
          <w:tab w:val="num" w:pos="0"/>
        </w:tabs>
        <w:ind w:left="720" w:hanging="360"/>
      </w:pPr>
      <w:rPr/>
    </w:lvl>
    <w:lvl w:ilvl="1">
      <w:start w:val="1"/>
      <w:isLgl/>
      <w:numFmt w:val="decimal"/>
      <w:suff w:val="space"/>
      <w:lvlText w:val="%1.%2."/>
      <w:lvlJc w:val="left"/>
      <w:pPr>
        <w:tabs>
          <w:tab w:val="num" w:pos="0"/>
        </w:tabs>
        <w:ind w:left="1920" w:hanging="360"/>
      </w:pPr>
      <w:rPr>
        <w:b w:val="false"/>
      </w:rPr>
    </w:lvl>
    <w:lvl w:ilvl="2">
      <w:start w:val="1"/>
      <w:isLgl/>
      <w:numFmt w:val="decimal"/>
      <w:suff w:val="space"/>
      <w:lvlText w:val="%1.%2.%3."/>
      <w:lvlJc w:val="left"/>
      <w:pPr>
        <w:tabs>
          <w:tab w:val="num" w:pos="0"/>
        </w:tabs>
        <w:ind w:left="1800" w:hanging="720"/>
      </w:pPr>
      <w:rPr/>
    </w:lvl>
    <w:lvl w:ilvl="3">
      <w:start w:val="1"/>
      <w:isLgl/>
      <w:numFmt w:val="decimal"/>
      <w:lvlText w:val="%1.%2.%3.%4."/>
      <w:lvlJc w:val="left"/>
      <w:pPr>
        <w:tabs>
          <w:tab w:val="num" w:pos="0"/>
        </w:tabs>
        <w:ind w:left="2160" w:hanging="720"/>
      </w:pPr>
      <w:rPr/>
    </w:lvl>
    <w:lvl w:ilvl="4">
      <w:start w:val="1"/>
      <w:isLgl/>
      <w:numFmt w:val="decimal"/>
      <w:lvlText w:val="%1.%2.%3.%4.%5."/>
      <w:lvlJc w:val="left"/>
      <w:pPr>
        <w:tabs>
          <w:tab w:val="num" w:pos="0"/>
        </w:tabs>
        <w:ind w:left="2880" w:hanging="1080"/>
      </w:pPr>
      <w:rPr/>
    </w:lvl>
    <w:lvl w:ilvl="5">
      <w:start w:val="1"/>
      <w:isLgl/>
      <w:numFmt w:val="decimal"/>
      <w:lvlText w:val="%1.%2.%3.%4.%5.%6."/>
      <w:lvlJc w:val="left"/>
      <w:pPr>
        <w:tabs>
          <w:tab w:val="num" w:pos="0"/>
        </w:tabs>
        <w:ind w:left="3240" w:hanging="1080"/>
      </w:pPr>
      <w:rPr/>
    </w:lvl>
    <w:lvl w:ilvl="6">
      <w:start w:val="1"/>
      <w:isLgl/>
      <w:numFmt w:val="decimal"/>
      <w:lvlText w:val="%1.%2.%3.%4.%5.%6.%7."/>
      <w:lvlJc w:val="left"/>
      <w:pPr>
        <w:tabs>
          <w:tab w:val="num" w:pos="0"/>
        </w:tabs>
        <w:ind w:left="3960" w:hanging="1440"/>
      </w:pPr>
      <w:rPr/>
    </w:lvl>
    <w:lvl w:ilvl="7">
      <w:start w:val="1"/>
      <w:isLgl/>
      <w:numFmt w:val="decimal"/>
      <w:lvlText w:val="%1.%2.%3.%4.%5.%6.%7.%8."/>
      <w:lvlJc w:val="left"/>
      <w:pPr>
        <w:tabs>
          <w:tab w:val="num" w:pos="0"/>
        </w:tabs>
        <w:ind w:left="4320" w:hanging="1440"/>
      </w:pPr>
      <w:rPr/>
    </w:lvl>
    <w:lvl w:ilvl="8">
      <w:start w:val="1"/>
      <w:isLgl/>
      <w:numFmt w:val="decimal"/>
      <w:lvlText w:val="%1.%2.%3.%4.%5.%6.%7.%8.%9."/>
      <w:lvlJc w:val="left"/>
      <w:pPr>
        <w:tabs>
          <w:tab w:val="num" w:pos="0"/>
        </w:tabs>
        <w:ind w:left="5040" w:hanging="180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val="false"/>
      <w:suppressAutoHyphens w:val="true"/>
      <w:bidi w:val="0"/>
      <w:spacing w:lineRule="auto" w:line="240" w:beforeAutospacing="0" w:before="20" w:afterAutospacing="0" w:after="0"/>
      <w:ind w:firstLine="720"/>
      <w:jc w:val="both"/>
    </w:pPr>
    <w:rPr>
      <w:rFonts w:ascii="Times New Roman" w:hAnsi="Times New Roman" w:eastAsia="Times New Roman" w:cs="Times New Roman"/>
      <w:color w:val="auto"/>
      <w:kern w:val="0"/>
      <w:sz w:val="24"/>
      <w:szCs w:val="20"/>
      <w:lang w:val="ru-RU" w:eastAsia="ar-SA" w:bidi="ar-SA"/>
    </w:rPr>
  </w:style>
  <w:style w:type="paragraph" w:styleId="Heading1">
    <w:name w:val="heading 1"/>
    <w:basedOn w:val="Normal"/>
    <w:uiPriority w:val="9"/>
    <w:qFormat/>
    <w:pPr>
      <w:widowControl/>
      <w:spacing w:beforeAutospacing="1" w:afterAutospacing="1"/>
      <w:ind w:hanging="0"/>
      <w:jc w:val="left"/>
      <w:outlineLvl w:val="0"/>
    </w:pPr>
    <w:rPr>
      <w:b/>
      <w:bCs/>
      <w:sz w:val="48"/>
      <w:szCs w:val="48"/>
      <w:lang w:eastAsia="ru-RU"/>
    </w:rPr>
  </w:style>
  <w:style w:type="paragraph" w:styleId="Heading2">
    <w:name w:val="heading 2"/>
    <w:basedOn w:val="Normal"/>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basedOn w:val="DefaultParagraphFont"/>
    <w:uiPriority w:val="9"/>
    <w:qFormat/>
    <w:rPr>
      <w:rFonts w:ascii="Arial" w:hAnsi="Arial" w:eastAsia="Arial" w:cs="Arial"/>
      <w:sz w:val="40"/>
      <w:szCs w:val="40"/>
    </w:rPr>
  </w:style>
  <w:style w:type="character" w:styleId="Heading2Char">
    <w:name w:val="Heading 2 Char"/>
    <w:basedOn w:val="DefaultParagraphFont"/>
    <w:uiPriority w:val="9"/>
    <w:qFormat/>
    <w:rPr>
      <w:rFonts w:ascii="Arial" w:hAnsi="Arial" w:eastAsia="Arial" w:cs="Arial"/>
      <w:sz w:val="34"/>
    </w:rPr>
  </w:style>
  <w:style w:type="character" w:styleId="Heading3Char">
    <w:name w:val="Heading 3 Char"/>
    <w:basedOn w:val="DefaultParagraphFont"/>
    <w:uiPriority w:val="9"/>
    <w:qFormat/>
    <w:rPr>
      <w:rFonts w:ascii="Arial" w:hAnsi="Arial" w:eastAsia="Arial" w:cs="Arial"/>
      <w:sz w:val="30"/>
      <w:szCs w:val="30"/>
    </w:rPr>
  </w:style>
  <w:style w:type="character" w:styleId="Heading4Char">
    <w:name w:val="Heading 4 Char"/>
    <w:basedOn w:val="DefaultParagraphFont"/>
    <w:uiPriority w:val="9"/>
    <w:qFormat/>
    <w:rPr>
      <w:rFonts w:ascii="Arial" w:hAnsi="Arial" w:eastAsia="Arial" w:cs="Arial"/>
      <w:b/>
      <w:bCs/>
      <w:sz w:val="26"/>
      <w:szCs w:val="26"/>
    </w:rPr>
  </w:style>
  <w:style w:type="character" w:styleId="Heading5Char">
    <w:name w:val="Heading 5 Char"/>
    <w:basedOn w:val="DefaultParagraphFont"/>
    <w:uiPriority w:val="9"/>
    <w:qFormat/>
    <w:rPr>
      <w:rFonts w:ascii="Arial" w:hAnsi="Arial" w:eastAsia="Arial" w:cs="Arial"/>
      <w:b/>
      <w:bCs/>
      <w:sz w:val="24"/>
      <w:szCs w:val="24"/>
    </w:rPr>
  </w:style>
  <w:style w:type="character" w:styleId="Heading6Char">
    <w:name w:val="Heading 6 Char"/>
    <w:basedOn w:val="DefaultParagraphFont"/>
    <w:uiPriority w:val="9"/>
    <w:qFormat/>
    <w:rPr>
      <w:rFonts w:ascii="Arial" w:hAnsi="Arial" w:eastAsia="Arial" w:cs="Arial"/>
      <w:b/>
      <w:bCs/>
      <w:sz w:val="22"/>
      <w:szCs w:val="22"/>
    </w:rPr>
  </w:style>
  <w:style w:type="character" w:styleId="Heading7Char">
    <w:name w:val="Heading 7 Char"/>
    <w:basedOn w:val="DefaultParagraphFont"/>
    <w:uiPriority w:val="9"/>
    <w:qFormat/>
    <w:rPr>
      <w:rFonts w:ascii="Arial" w:hAnsi="Arial" w:eastAsia="Arial" w:cs="Arial"/>
      <w:b/>
      <w:bCs/>
      <w:i/>
      <w:iCs/>
      <w:sz w:val="22"/>
      <w:szCs w:val="22"/>
    </w:rPr>
  </w:style>
  <w:style w:type="character" w:styleId="Heading8Char">
    <w:name w:val="Heading 8 Char"/>
    <w:basedOn w:val="DefaultParagraphFont"/>
    <w:uiPriority w:val="9"/>
    <w:qFormat/>
    <w:rPr>
      <w:rFonts w:ascii="Arial" w:hAnsi="Arial" w:eastAsia="Arial" w:cs="Arial"/>
      <w:i/>
      <w:iCs/>
      <w:sz w:val="22"/>
      <w:szCs w:val="22"/>
    </w:rPr>
  </w:style>
  <w:style w:type="character" w:styleId="Heading9Char">
    <w:name w:val="Heading 9 Char"/>
    <w:basedOn w:val="DefaultParagraphFont"/>
    <w:uiPriority w:val="9"/>
    <w:qFormat/>
    <w:rPr>
      <w:rFonts w:ascii="Arial" w:hAnsi="Arial" w:eastAsia="Arial" w:cs="Arial"/>
      <w:i/>
      <w:iCs/>
      <w:sz w:val="21"/>
      <w:szCs w:val="21"/>
    </w:rPr>
  </w:style>
  <w:style w:type="character" w:styleId="TitleChar">
    <w:name w:val="Title Char"/>
    <w:basedOn w:val="DefaultParagraphFont"/>
    <w:uiPriority w:val="10"/>
    <w:qFormat/>
    <w:rPr>
      <w:sz w:val="48"/>
      <w:szCs w:val="48"/>
    </w:rPr>
  </w:style>
  <w:style w:type="character" w:styleId="SubtitleChar">
    <w:name w:val="Subtitle Char"/>
    <w:basedOn w:val="DefaultParagraphFont"/>
    <w:uiPriority w:val="11"/>
    <w:qFormat/>
    <w:rPr>
      <w:sz w:val="24"/>
      <w:szCs w:val="24"/>
    </w:rPr>
  </w:style>
  <w:style w:type="character" w:styleId="QuoteChar">
    <w:name w:val="Quote Char"/>
    <w:uiPriority w:val="29"/>
    <w:qFormat/>
    <w:rPr>
      <w:i/>
    </w:rPr>
  </w:style>
  <w:style w:type="character" w:styleId="IntenseQuoteChar">
    <w:name w:val="Intense Quote Char"/>
    <w:uiPriority w:val="30"/>
    <w:qFormat/>
    <w:rPr>
      <w:i/>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CaptionChar">
    <w:name w:val="Caption Char"/>
    <w:uiPriority w:val="99"/>
    <w:qFormat/>
    <w:rPr/>
  </w:style>
  <w:style w:type="character" w:styleId="FootnoteTextChar">
    <w:name w:val="Footnote Text Char"/>
    <w:uiPriority w:val="99"/>
    <w:qFormat/>
    <w:rPr>
      <w:sz w:val="18"/>
    </w:rPr>
  </w:style>
  <w:style w:type="character" w:styleId="Style5">
    <w:name w:val="Символ сноски"/>
    <w:uiPriority w:val="99"/>
    <w:unhideWhenUsed/>
    <w:qFormat/>
    <w:rPr>
      <w:vertAlign w:val="superscript"/>
    </w:rPr>
  </w:style>
  <w:style w:type="character" w:styleId="user">
    <w:name w:val="Символ сноски (user)"/>
    <w:qFormat/>
    <w:rPr>
      <w:vertAlign w:val="superscript"/>
    </w:rPr>
  </w:style>
  <w:style w:type="character" w:styleId="FootnoteReference">
    <w:name w:val="footnote reference"/>
    <w:rPr>
      <w:vertAlign w:val="superscript"/>
    </w:rPr>
  </w:style>
  <w:style w:type="character" w:styleId="EndnoteTextChar">
    <w:name w:val="Endnote Text Char"/>
    <w:uiPriority w:val="99"/>
    <w:qFormat/>
    <w:rPr>
      <w:sz w:val="20"/>
    </w:rPr>
  </w:style>
  <w:style w:type="character" w:styleId="Style6">
    <w:name w:val="Символ концевой сноски"/>
    <w:uiPriority w:val="99"/>
    <w:semiHidden/>
    <w:unhideWhenUsed/>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DefaultParagraphFont" w:default="1">
    <w:name w:val="Default Paragraph Font"/>
    <w:uiPriority w:val="1"/>
    <w:semiHidden/>
    <w:unhideWhenUsed/>
    <w:qFormat/>
    <w:rPr/>
  </w:style>
  <w:style w:type="character" w:styleId="Style7" w:customStyle="1">
    <w:name w:val="Название Знак"/>
    <w:basedOn w:val="DefaultParagraphFont"/>
    <w:uiPriority w:val="10"/>
    <w:qFormat/>
    <w:rPr>
      <w:rFonts w:ascii="Cambria" w:hAnsi="Cambria" w:eastAsia="Arial" w:cs="Arial" w:asciiTheme="majorHAnsi" w:cstheme="majorBidi" w:eastAsiaTheme="majorEastAsia" w:hAnsiTheme="majorHAnsi"/>
      <w:color w:themeColor="text2" w:themeShade="bf" w:val="17365D"/>
      <w:spacing w:val="5"/>
      <w:sz w:val="52"/>
      <w:szCs w:val="52"/>
      <w:lang w:eastAsia="ar-SA"/>
    </w:rPr>
  </w:style>
  <w:style w:type="character" w:styleId="Style8" w:customStyle="1">
    <w:name w:val="Заголовок Знак"/>
    <w:qFormat/>
    <w:rPr>
      <w:rFonts w:ascii="Times New Roman" w:hAnsi="Times New Roman" w:eastAsia="Times New Roman" w:cs="Times New Roman"/>
      <w:bCs/>
      <w:color w:val="000000"/>
      <w:spacing w:val="13"/>
      <w:sz w:val="24"/>
      <w:shd w:fill="FFFFFF" w:val="clear"/>
      <w:lang w:eastAsia="ru-RU"/>
    </w:rPr>
  </w:style>
  <w:style w:type="character" w:styleId="Style9" w:customStyle="1">
    <w:name w:val="Основной текст Знак"/>
    <w:basedOn w:val="DefaultParagraphFont"/>
    <w:uiPriority w:val="99"/>
    <w:semiHidden/>
    <w:qFormat/>
    <w:rPr>
      <w:rFonts w:ascii="Times New Roman" w:hAnsi="Times New Roman" w:eastAsia="Times New Roman" w:cs="Times New Roman"/>
      <w:sz w:val="24"/>
      <w:szCs w:val="20"/>
      <w:lang w:eastAsia="ar-SA"/>
    </w:rPr>
  </w:style>
  <w:style w:type="character" w:styleId="2" w:customStyle="1">
    <w:name w:val="Основной текст Знак2"/>
    <w:qFormat/>
    <w:rPr>
      <w:rFonts w:ascii="Times New Roman" w:hAnsi="Times New Roman" w:eastAsia="Times New Roman" w:cs="Times New Roman"/>
      <w:sz w:val="20"/>
      <w:szCs w:val="20"/>
      <w:lang w:eastAsia="ru-RU"/>
    </w:rPr>
  </w:style>
  <w:style w:type="character" w:styleId="3" w:customStyle="1">
    <w:name w:val="Основной текст с отступом 3 Знак"/>
    <w:basedOn w:val="DefaultParagraphFont"/>
    <w:uiPriority w:val="99"/>
    <w:semiHidden/>
    <w:qFormat/>
    <w:rPr>
      <w:rFonts w:ascii="Times New Roman" w:hAnsi="Times New Roman" w:eastAsia="Times New Roman" w:cs="Times New Roman"/>
      <w:sz w:val="16"/>
      <w:szCs w:val="16"/>
      <w:lang w:eastAsia="ar-SA"/>
    </w:rPr>
  </w:style>
  <w:style w:type="character" w:styleId="31" w:customStyle="1">
    <w:name w:val="Основной текст с отступом 3 Знак1"/>
    <w:qFormat/>
    <w:rPr>
      <w:rFonts w:ascii="Times New Roman" w:hAnsi="Times New Roman" w:eastAsia="Times New Roman" w:cs="Times New Roman"/>
      <w:sz w:val="16"/>
      <w:szCs w:val="16"/>
      <w:lang w:eastAsia="ru-RU"/>
    </w:rPr>
  </w:style>
  <w:style w:type="character" w:styleId="Style10" w:customStyle="1">
    <w:name w:val="Основной текст с отступом Знак"/>
    <w:basedOn w:val="DefaultParagraphFont"/>
    <w:uiPriority w:val="99"/>
    <w:semiHidden/>
    <w:qFormat/>
    <w:rPr>
      <w:rFonts w:ascii="Times New Roman" w:hAnsi="Times New Roman" w:eastAsia="Times New Roman" w:cs="Times New Roman"/>
      <w:sz w:val="24"/>
      <w:szCs w:val="20"/>
      <w:lang w:eastAsia="ar-SA"/>
    </w:rPr>
  </w:style>
  <w:style w:type="character" w:styleId="1" w:customStyle="1">
    <w:name w:val="Основной текст с отступом Знак1"/>
    <w:qFormat/>
    <w:rPr>
      <w:rFonts w:ascii="Times New Roman" w:hAnsi="Times New Roman" w:eastAsia="Times New Roman" w:cs="Times New Roman"/>
      <w:sz w:val="20"/>
      <w:szCs w:val="20"/>
      <w:lang w:eastAsia="ru-RU"/>
    </w:rPr>
  </w:style>
  <w:style w:type="character" w:styleId="Hyperlink">
    <w:name w:val="Hyperlink"/>
    <w:rPr>
      <w:rFonts w:cs="Times New Roman"/>
      <w:color w:val="0000FF"/>
      <w:u w:val="single"/>
    </w:rPr>
  </w:style>
  <w:style w:type="character" w:styleId="Style11" w:customStyle="1">
    <w:name w:val="Абзац списка Знак"/>
    <w:qFormat/>
    <w:rPr>
      <w:rFonts w:ascii="Times New Roman" w:hAnsi="Times New Roman" w:eastAsia="Times New Roman" w:cs="Times New Roman"/>
      <w:sz w:val="20"/>
      <w:szCs w:val="20"/>
      <w:lang w:eastAsia="ru-RU"/>
    </w:rPr>
  </w:style>
  <w:style w:type="character" w:styleId="blk" w:customStyle="1">
    <w:name w:val="blk"/>
    <w:qFormat/>
    <w:rPr>
      <w:rFonts w:cs="Times New Roman"/>
    </w:rPr>
  </w:style>
  <w:style w:type="character" w:styleId="Style12" w:customStyle="1">
    <w:name w:val="Текст выноски Знак"/>
    <w:basedOn w:val="DefaultParagraphFont"/>
    <w:uiPriority w:val="99"/>
    <w:semiHidden/>
    <w:qFormat/>
    <w:rPr>
      <w:rFonts w:ascii="Tahoma" w:hAnsi="Tahoma" w:eastAsia="Times New Roman" w:cs="Tahoma"/>
      <w:sz w:val="16"/>
      <w:szCs w:val="16"/>
      <w:lang w:eastAsia="ar-SA"/>
    </w:rPr>
  </w:style>
  <w:style w:type="character" w:styleId="PlaceholderText">
    <w:name w:val="Placeholder Text"/>
    <w:basedOn w:val="DefaultParagraphFont"/>
    <w:uiPriority w:val="99"/>
    <w:semiHidden/>
    <w:qFormat/>
    <w:rPr>
      <w:color w:val="808080"/>
    </w:rPr>
  </w:style>
  <w:style w:type="character" w:styleId="11" w:customStyle="1">
    <w:name w:val="Заголовок 1 Знак"/>
    <w:basedOn w:val="DefaultParagraphFont"/>
    <w:uiPriority w:val="9"/>
    <w:qFormat/>
    <w:rPr>
      <w:rFonts w:ascii="Times New Roman" w:hAnsi="Times New Roman" w:eastAsia="Times New Roman" w:cs="Times New Roman"/>
      <w:b/>
      <w:bCs/>
      <w:sz w:val="48"/>
      <w:szCs w:val="48"/>
      <w:lang w:eastAsia="ru-RU"/>
    </w:rPr>
  </w:style>
  <w:style w:type="character" w:styleId="name-link" w:customStyle="1">
    <w:name w:val="name-link"/>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3" w:customStyle="1">
    <w:name w:val="Текст примечания Знак"/>
    <w:basedOn w:val="DefaultParagraphFont"/>
    <w:uiPriority w:val="99"/>
    <w:semiHidden/>
    <w:qFormat/>
    <w:rPr>
      <w:rFonts w:ascii="Times New Roman" w:hAnsi="Times New Roman" w:eastAsia="Times New Roman" w:cs="Times New Roman"/>
      <w:sz w:val="20"/>
      <w:szCs w:val="20"/>
      <w:lang w:eastAsia="ar-SA"/>
    </w:rPr>
  </w:style>
  <w:style w:type="character" w:styleId="Style14" w:customStyle="1">
    <w:name w:val="Тема примечания Знак"/>
    <w:basedOn w:val="Style13"/>
    <w:uiPriority w:val="99"/>
    <w:semiHidden/>
    <w:qFormat/>
    <w:rPr>
      <w:rFonts w:ascii="Times New Roman" w:hAnsi="Times New Roman" w:eastAsia="Times New Roman" w:cs="Times New Roman"/>
      <w:b/>
      <w:bCs/>
      <w:sz w:val="20"/>
      <w:szCs w:val="20"/>
      <w:lang w:eastAsia="ar-SA"/>
    </w:rPr>
  </w:style>
  <w:style w:type="character" w:styleId="Style15" w:customStyle="1">
    <w:name w:val="Верхний колонтитул Знак"/>
    <w:basedOn w:val="DefaultParagraphFont"/>
    <w:qFormat/>
    <w:rPr>
      <w:rFonts w:ascii="Times New Roman" w:hAnsi="Times New Roman" w:eastAsia="Times New Roman" w:cs="Times New Roman"/>
      <w:sz w:val="24"/>
      <w:szCs w:val="20"/>
      <w:lang w:eastAsia="ar-SA"/>
    </w:rPr>
  </w:style>
  <w:style w:type="character" w:styleId="12" w:customStyle="1">
    <w:name w:val="Верхний колонтитул Знак1"/>
    <w:qFormat/>
    <w:rPr>
      <w:rFonts w:ascii="Times New Roman" w:hAnsi="Times New Roman" w:eastAsia="Times New Roman" w:cs="Times New Roman"/>
      <w:sz w:val="20"/>
      <w:szCs w:val="20"/>
      <w:lang w:eastAsia="ru-RU"/>
    </w:rPr>
  </w:style>
  <w:style w:type="character" w:styleId="Style16" w:customStyle="1">
    <w:name w:val="Текст Знак"/>
    <w:basedOn w:val="DefaultParagraphFont"/>
    <w:uiPriority w:val="99"/>
    <w:semiHidden/>
    <w:qFormat/>
    <w:rPr>
      <w:rFonts w:ascii="Consolas" w:hAnsi="Consolas" w:eastAsia="Times New Roman" w:cs="Times New Roman"/>
      <w:sz w:val="21"/>
      <w:szCs w:val="21"/>
      <w:lang w:eastAsia="ar-SA"/>
    </w:rPr>
  </w:style>
  <w:style w:type="character" w:styleId="Style17">
    <w:name w:val="Маркеры"/>
    <w:qFormat/>
    <w:rPr>
      <w:rFonts w:ascii="OpenSymbol" w:hAnsi="OpenSymbol" w:eastAsia="OpenSymbol" w:cs="OpenSymbol"/>
    </w:rPr>
  </w:style>
  <w:style w:type="character" w:styleId="Strong">
    <w:name w:val="Strong"/>
    <w:qFormat/>
    <w:rPr>
      <w:b/>
      <w:bCs/>
    </w:rPr>
  </w:style>
  <w:style w:type="paragraph" w:styleId="Style18">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widowControl/>
      <w:spacing w:before="0" w:after="120"/>
      <w:ind w:hanging="0"/>
      <w:jc w:val="left"/>
    </w:pPr>
    <w:rPr>
      <w:sz w:val="20"/>
      <w:lang w:eastAsia="ru-RU"/>
    </w:rPr>
  </w:style>
  <w:style w:type="paragraph" w:styleId="List">
    <w:name w:val="List"/>
    <w:basedOn w:val="BodyText"/>
    <w:pPr/>
    <w:rPr>
      <w:rFonts w:ascii="PT Astra Serif" w:hAnsi="PT Astra Serif" w:cs="Noto Sans Devanagari"/>
    </w:rPr>
  </w:style>
  <w:style w:type="paragraph" w:styleId="Caption">
    <w:name w:val="caption"/>
    <w:basedOn w:val="Normal"/>
    <w:uiPriority w:val="35"/>
    <w:semiHidden/>
    <w:unhideWhenUsed/>
    <w:qFormat/>
    <w:pPr>
      <w:spacing w:lineRule="auto" w:line="276"/>
    </w:pPr>
    <w:rPr>
      <w:b/>
      <w:bCs/>
      <w:color w:themeColor="accent1" w:val="4F81BD"/>
      <w:sz w:val="18"/>
      <w:szCs w:val="18"/>
    </w:rPr>
  </w:style>
  <w:style w:type="paragraph" w:styleId="Style19">
    <w:name w:val="Указатель"/>
    <w:basedOn w:val="Normal"/>
    <w:qFormat/>
    <w:pPr>
      <w:suppressLineNumbers/>
    </w:pPr>
    <w:rPr>
      <w:rFonts w:ascii="PT Astra Serif" w:hAnsi="PT Astra Serif" w:cs="Noto Sans Devanagari"/>
    </w:rPr>
  </w:style>
  <w:style w:type="paragraph" w:styleId="user2">
    <w:name w:val="Заголовок (user)"/>
    <w:basedOn w:val="Normal"/>
    <w:next w:val="BodyText"/>
    <w:qFormat/>
    <w:pPr>
      <w:keepNext w:val="true"/>
      <w:spacing w:before="240" w:after="120"/>
    </w:pPr>
    <w:rPr>
      <w:rFonts w:ascii="PT Astra Serif" w:hAnsi="PT Astra Serif" w:eastAsia="Tahoma" w:cs="Noto Sans Devanagari"/>
      <w:sz w:val="28"/>
      <w:szCs w:val="28"/>
    </w:rPr>
  </w:style>
  <w:style w:type="paragraph" w:styleId="user3">
    <w:name w:val="Указатель (user)"/>
    <w:basedOn w:val="Normal"/>
    <w:qFormat/>
    <w:pPr>
      <w:suppressLineNumbers/>
    </w:pPr>
    <w:rPr>
      <w:rFonts w:ascii="PT Astra Serif" w:hAnsi="PT Astra Serif" w:cs="Noto Sans Devanagari"/>
    </w:rPr>
  </w:style>
  <w:style w:type="paragraph" w:styleId="NoSpacing">
    <w:name w:val="No Spacing"/>
    <w:uiPriority w:val="1"/>
    <w:qFormat/>
    <w:pPr>
      <w:widowControl/>
      <w:suppressAutoHyphens w:val="true"/>
      <w:bidi w:val="0"/>
      <w:spacing w:lineRule="auto" w:line="240" w:beforeAutospacing="0" w:before="0" w:afterAutospacing="0" w:after="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Subtitle">
    <w:name w:val="Subtitle"/>
    <w:basedOn w:val="Normal"/>
    <w:uiPriority w:val="11"/>
    <w:qFormat/>
    <w:pPr>
      <w:spacing w:before="200" w:after="200"/>
    </w:pPr>
    <w:rPr>
      <w:sz w:val="24"/>
      <w:szCs w:val="24"/>
    </w:rPr>
  </w:style>
  <w:style w:type="paragraph" w:styleId="Quote">
    <w:name w:val="Quote"/>
    <w:basedOn w:val="Normal"/>
    <w:uiPriority w:val="29"/>
    <w:qFormat/>
    <w:pPr>
      <w:ind w:left="720" w:right="72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200"/>
      <w:ind w:left="720" w:right="720"/>
    </w:pPr>
    <w:rPr>
      <w:i/>
    </w:rPr>
  </w:style>
  <w:style w:type="paragraph" w:styleId="Style20">
    <w:name w:val="Колонтитулы"/>
    <w:basedOn w:val="Normal"/>
    <w:qFormat/>
    <w:pPr/>
    <w:rPr/>
  </w:style>
  <w:style w:type="paragraph" w:styleId="user4">
    <w:name w:val="Колонтитулы (user)"/>
    <w:basedOn w:val="Normal"/>
    <w:qFormat/>
    <w:pPr/>
    <w:rPr/>
  </w:style>
  <w:style w:type="paragraph" w:styleId="Footer">
    <w:name w:val="footer"/>
    <w:basedOn w:val="Normal"/>
    <w:uiPriority w:val="99"/>
    <w:unhideWhenUsed/>
    <w:pPr>
      <w:tabs>
        <w:tab w:val="clear" w:pos="708"/>
        <w:tab w:val="center" w:pos="7143" w:leader="none"/>
        <w:tab w:val="right" w:pos="14287" w:leader="none"/>
      </w:tabs>
      <w:spacing w:lineRule="auto" w:line="240" w:before="0" w:after="0"/>
    </w:pPr>
    <w:rPr/>
  </w:style>
  <w:style w:type="paragraph" w:styleId="FootnoteText">
    <w:name w:val="footnote text"/>
    <w:basedOn w:val="Normal"/>
    <w:uiPriority w:val="99"/>
    <w:semiHidden/>
    <w:unhideWhenUsed/>
    <w:pPr>
      <w:spacing w:lineRule="auto" w:line="240" w:before="0" w:after="40"/>
    </w:pPr>
    <w:rPr>
      <w:sz w:val="18"/>
    </w:rPr>
  </w:style>
  <w:style w:type="paragraph" w:styleId="EndnoteText">
    <w:name w:val="endnote text"/>
    <w:basedOn w:val="Normal"/>
    <w:uiPriority w:val="99"/>
    <w:semiHidden/>
    <w:unhideWhenUsed/>
    <w:pPr>
      <w:spacing w:lineRule="auto" w:line="240" w:before="0" w:after="0"/>
    </w:pPr>
    <w:rPr>
      <w:sz w:val="20"/>
    </w:rPr>
  </w:style>
  <w:style w:type="paragraph" w:styleId="TOC1">
    <w:name w:val="toc 1"/>
    <w:basedOn w:val="Normal"/>
    <w:uiPriority w:val="39"/>
    <w:unhideWhenUsed/>
    <w:pPr>
      <w:spacing w:before="0" w:after="57"/>
      <w:ind w:hanging="0" w:left="0" w:right="0"/>
    </w:pPr>
    <w:rPr/>
  </w:style>
  <w:style w:type="paragraph" w:styleId="TOC2">
    <w:name w:val="toc 2"/>
    <w:basedOn w:val="Normal"/>
    <w:uiPriority w:val="39"/>
    <w:unhideWhenUsed/>
    <w:pPr>
      <w:spacing w:before="0" w:after="57"/>
      <w:ind w:hanging="0" w:left="283" w:right="0"/>
    </w:pPr>
    <w:rPr/>
  </w:style>
  <w:style w:type="paragraph" w:styleId="TOC3">
    <w:name w:val="toc 3"/>
    <w:basedOn w:val="Normal"/>
    <w:uiPriority w:val="39"/>
    <w:unhideWhenUsed/>
    <w:pPr>
      <w:spacing w:before="0" w:after="57"/>
      <w:ind w:hanging="0" w:left="567" w:right="0"/>
    </w:pPr>
    <w:rPr/>
  </w:style>
  <w:style w:type="paragraph" w:styleId="TOC4">
    <w:name w:val="toc 4"/>
    <w:basedOn w:val="Normal"/>
    <w:uiPriority w:val="39"/>
    <w:unhideWhenUsed/>
    <w:pPr>
      <w:spacing w:before="0" w:after="57"/>
      <w:ind w:hanging="0" w:left="850" w:right="0"/>
    </w:pPr>
    <w:rPr/>
  </w:style>
  <w:style w:type="paragraph" w:styleId="TOC5">
    <w:name w:val="toc 5"/>
    <w:basedOn w:val="Normal"/>
    <w:uiPriority w:val="39"/>
    <w:unhideWhenUsed/>
    <w:pPr>
      <w:spacing w:before="0" w:after="57"/>
      <w:ind w:hanging="0" w:left="1134" w:right="0"/>
    </w:pPr>
    <w:rPr/>
  </w:style>
  <w:style w:type="paragraph" w:styleId="TOC6">
    <w:name w:val="toc 6"/>
    <w:basedOn w:val="Normal"/>
    <w:uiPriority w:val="39"/>
    <w:unhideWhenUsed/>
    <w:pPr>
      <w:spacing w:before="0" w:after="57"/>
      <w:ind w:hanging="0" w:left="1417" w:right="0"/>
    </w:pPr>
    <w:rPr/>
  </w:style>
  <w:style w:type="paragraph" w:styleId="TOC7">
    <w:name w:val="toc 7"/>
    <w:basedOn w:val="Normal"/>
    <w:uiPriority w:val="39"/>
    <w:unhideWhenUsed/>
    <w:pPr>
      <w:spacing w:before="0" w:after="57"/>
      <w:ind w:hanging="0" w:left="1701" w:right="0"/>
    </w:pPr>
    <w:rPr/>
  </w:style>
  <w:style w:type="paragraph" w:styleId="TOC8">
    <w:name w:val="toc 8"/>
    <w:basedOn w:val="Normal"/>
    <w:uiPriority w:val="39"/>
    <w:unhideWhenUsed/>
    <w:pPr>
      <w:spacing w:before="0" w:after="57"/>
      <w:ind w:hanging="0" w:left="1984" w:right="0"/>
    </w:pPr>
    <w:rPr/>
  </w:style>
  <w:style w:type="paragraph" w:styleId="TOC9">
    <w:name w:val="toc 9"/>
    <w:basedOn w:val="Normal"/>
    <w:uiPriority w:val="39"/>
    <w:unhideWhenUsed/>
    <w:pPr>
      <w:spacing w:before="0" w:after="57"/>
      <w:ind w:hanging="0" w:left="2268" w:right="0"/>
    </w:pPr>
    <w:rPr/>
  </w:style>
  <w:style w:type="paragraph" w:styleId="IndexHeading">
    <w:name w:val="index heading"/>
    <w:basedOn w:val="Style18"/>
    <w:pPr/>
    <w:rPr/>
  </w:style>
  <w:style w:type="paragraph" w:styleId="TOCHeading">
    <w:name w:val="TOC Heading"/>
    <w:uiPriority w:val="39"/>
    <w:unhideWhenUsed/>
    <w:qFormat/>
    <w:pPr>
      <w:widowControl/>
      <w:suppressAutoHyphens w:val="true"/>
      <w:bidi w:val="0"/>
      <w:spacing w:lineRule="auto" w:line="276" w:beforeAutospacing="0" w:before="0" w:afterAutospacing="0" w:after="20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TableofFigures">
    <w:name w:val="table of figures"/>
    <w:basedOn w:val="Normal"/>
    <w:uiPriority w:val="99"/>
    <w:unhideWhenUsed/>
    <w:pPr>
      <w:spacing w:before="0" w:afterAutospacing="0" w:after="0"/>
    </w:pPr>
    <w:rPr/>
  </w:style>
  <w:style w:type="paragraph" w:styleId="Title">
    <w:name w:val="Title"/>
    <w:basedOn w:val="Normal"/>
    <w:qFormat/>
    <w:pPr>
      <w:shd w:val="clear" w:color="auto" w:fill="FFFFFF"/>
      <w:spacing w:before="0" w:after="0"/>
      <w:ind w:hanging="0" w:left="72"/>
      <w:jc w:val="center"/>
    </w:pPr>
    <w:rPr>
      <w:bCs/>
      <w:color w:val="000000"/>
      <w:spacing w:val="13"/>
      <w:szCs w:val="22"/>
      <w:lang w:eastAsia="ru-RU"/>
    </w:rPr>
  </w:style>
  <w:style w:type="paragraph" w:styleId="Style21" w:customStyle="1">
    <w:name w:val="Îñíîâí"/>
    <w:basedOn w:val="Normal"/>
    <w:qFormat/>
    <w:pPr>
      <w:spacing w:before="0" w:after="0"/>
      <w:ind w:hanging="0"/>
    </w:pPr>
    <w:rPr>
      <w:rFonts w:ascii="Arial" w:hAnsi="Arial" w:cs="Arial"/>
      <w:sz w:val="22"/>
      <w:lang w:eastAsia="ru-RU"/>
    </w:rPr>
  </w:style>
  <w:style w:type="paragraph" w:styleId="BodyTextIndent3">
    <w:name w:val="Body Text Indent 3"/>
    <w:basedOn w:val="Normal"/>
    <w:qFormat/>
    <w:pPr>
      <w:widowControl/>
      <w:spacing w:before="0" w:after="120"/>
      <w:ind w:hanging="0" w:left="283"/>
      <w:jc w:val="left"/>
    </w:pPr>
    <w:rPr>
      <w:sz w:val="16"/>
      <w:szCs w:val="16"/>
      <w:lang w:eastAsia="ru-RU"/>
    </w:rPr>
  </w:style>
  <w:style w:type="paragraph" w:styleId="BodyTextIndent">
    <w:name w:val="Body Text Indent"/>
    <w:basedOn w:val="Normal"/>
    <w:pPr>
      <w:widowControl/>
      <w:spacing w:before="0" w:after="120"/>
      <w:ind w:hanging="0" w:left="283"/>
      <w:jc w:val="left"/>
    </w:pPr>
    <w:rPr>
      <w:sz w:val="20"/>
      <w:lang w:eastAsia="ru-RU"/>
    </w:rPr>
  </w:style>
  <w:style w:type="paragraph" w:styleId="13" w:customStyle="1">
    <w:name w:val="Абзац списка1"/>
    <w:basedOn w:val="Normal"/>
    <w:qFormat/>
    <w:pPr>
      <w:widowControl/>
      <w:spacing w:before="0" w:after="0"/>
      <w:ind w:hanging="0" w:left="720"/>
      <w:contextualSpacing/>
      <w:jc w:val="left"/>
    </w:pPr>
    <w:rPr>
      <w:sz w:val="20"/>
      <w:lang w:eastAsia="ru-RU"/>
    </w:rPr>
  </w:style>
  <w:style w:type="paragraph" w:styleId="BalloonText">
    <w:name w:val="Balloon Text"/>
    <w:basedOn w:val="Normal"/>
    <w:uiPriority w:val="99"/>
    <w:semiHidden/>
    <w:unhideWhenUsed/>
    <w:qFormat/>
    <w:pPr>
      <w:spacing w:before="0" w:after="0"/>
    </w:pPr>
    <w:rPr>
      <w:rFonts w:ascii="Tahoma" w:hAnsi="Tahoma" w:cs="Tahoma"/>
      <w:sz w:val="16"/>
      <w:szCs w:val="16"/>
    </w:rPr>
  </w:style>
  <w:style w:type="paragraph" w:styleId="ListParagraph">
    <w:name w:val="List Paragraph"/>
    <w:basedOn w:val="Normal"/>
    <w:uiPriority w:val="34"/>
    <w:qFormat/>
    <w:pPr>
      <w:spacing w:before="20" w:after="0"/>
      <w:ind w:left="720"/>
      <w:contextualSpacing/>
    </w:pPr>
    <w:rPr/>
  </w:style>
  <w:style w:type="paragraph" w:styleId="redzag2" w:customStyle="1">
    <w:name w:val="red_zag2"/>
    <w:basedOn w:val="Normal"/>
    <w:qFormat/>
    <w:pPr>
      <w:widowControl/>
      <w:spacing w:beforeAutospacing="1" w:afterAutospacing="1"/>
      <w:ind w:hanging="0"/>
      <w:jc w:val="left"/>
    </w:pPr>
    <w:rPr>
      <w:szCs w:val="24"/>
      <w:lang w:eastAsia="ru-RU"/>
    </w:rPr>
  </w:style>
  <w:style w:type="paragraph" w:styleId="ConsPlusNormal" w:customStyle="1">
    <w:name w:val="ConsPlusNormal"/>
    <w:qFormat/>
    <w:pPr>
      <w:widowControl w:val="false"/>
      <w:suppressAutoHyphens w:val="true"/>
      <w:bidi w:val="0"/>
      <w:spacing w:lineRule="auto" w:line="240" w:beforeAutospacing="0" w:before="0" w:afterAutospacing="0" w:after="0"/>
      <w:jc w:val="left"/>
    </w:pPr>
    <w:rPr>
      <w:rFonts w:ascii="Calibri" w:hAnsi="Calibri" w:eastAsia="Times New Roman" w:cs="Calibri" w:asciiTheme="minorHAnsi" w:hAnsiTheme="minorHAnsi"/>
      <w:color w:val="auto"/>
      <w:kern w:val="0"/>
      <w:sz w:val="22"/>
      <w:szCs w:val="20"/>
      <w:lang w:val="ru-RU" w:eastAsia="ru-RU" w:bidi="ar-SA"/>
    </w:rPr>
  </w:style>
  <w:style w:type="paragraph" w:styleId="ConsPlusCell" w:customStyle="1">
    <w:name w:val="ConsPlusCell"/>
    <w:qFormat/>
    <w:pPr>
      <w:widowControl w:val="false"/>
      <w:suppressAutoHyphens w:val="true"/>
      <w:bidi w:val="0"/>
      <w:spacing w:lineRule="auto" w:line="240" w:beforeAutospacing="0" w:before="0" w:afterAutospacing="0" w:after="0"/>
      <w:jc w:val="left"/>
    </w:pPr>
    <w:rPr>
      <w:rFonts w:ascii="Courier New" w:hAnsi="Courier New" w:eastAsia="Times New Roman" w:cs="Courier New"/>
      <w:color w:val="auto"/>
      <w:kern w:val="0"/>
      <w:sz w:val="20"/>
      <w:szCs w:val="20"/>
      <w:lang w:val="ru-RU" w:eastAsia="ru-RU" w:bidi="ar-SA"/>
    </w:rPr>
  </w:style>
  <w:style w:type="paragraph" w:styleId="CommentText">
    <w:name w:val="annotation text"/>
    <w:basedOn w:val="Normal"/>
    <w:uiPriority w:val="99"/>
    <w:semiHidden/>
    <w:unhideWhenUsed/>
    <w:pPr/>
    <w:rPr>
      <w:sz w:val="20"/>
    </w:rPr>
  </w:style>
  <w:style w:type="paragraph" w:styleId="annotationsubject">
    <w:name w:val="annotation subject"/>
    <w:basedOn w:val="CommentText"/>
    <w:uiPriority w:val="99"/>
    <w:semiHidden/>
    <w:unhideWhenUsed/>
    <w:qFormat/>
    <w:pPr/>
    <w:rPr>
      <w:b/>
      <w:bCs/>
    </w:rPr>
  </w:style>
  <w:style w:type="paragraph" w:styleId="ConsDTNormal" w:customStyle="1">
    <w:name w:val="ConsDTNormal"/>
    <w:qFormat/>
    <w:pPr>
      <w:widowControl/>
      <w:suppressAutoHyphens w:val="true"/>
      <w:bidi w:val="0"/>
      <w:spacing w:lineRule="auto" w:line="240" w:beforeAutospacing="0" w:before="0" w:afterAutospacing="0" w:after="0"/>
      <w:jc w:val="both"/>
    </w:pPr>
    <w:rPr>
      <w:rFonts w:ascii="Times New Roman" w:hAnsi="Times New Roman" w:eastAsia="Arial" w:cs="Times New Roman" w:eastAsiaTheme="minorEastAsia"/>
      <w:color w:val="auto"/>
      <w:kern w:val="0"/>
      <w:sz w:val="24"/>
      <w:szCs w:val="24"/>
      <w:lang w:val="ru-RU" w:eastAsia="ru-RU" w:bidi="ar-SA"/>
    </w:rPr>
  </w:style>
  <w:style w:type="paragraph" w:styleId="ConsNormal" w:customStyle="1">
    <w:name w:val="ConsNormal"/>
    <w:qFormat/>
    <w:pPr>
      <w:widowControl/>
      <w:suppressAutoHyphens w:val="true"/>
      <w:bidi w:val="0"/>
      <w:spacing w:lineRule="auto" w:line="240" w:beforeAutospacing="0" w:before="0" w:afterAutospacing="0" w:after="0"/>
      <w:ind w:firstLine="540" w:right="19772"/>
      <w:jc w:val="both"/>
    </w:pPr>
    <w:rPr>
      <w:rFonts w:ascii="Courier New" w:hAnsi="Courier New" w:eastAsia="Arial" w:cs="Courier New" w:eastAsiaTheme="minorEastAsia"/>
      <w:color w:val="auto"/>
      <w:kern w:val="0"/>
      <w:sz w:val="20"/>
      <w:szCs w:val="20"/>
      <w:lang w:val="ru-RU" w:eastAsia="ru-RU" w:bidi="ar-SA"/>
    </w:rPr>
  </w:style>
  <w:style w:type="paragraph" w:styleId="Style31" w:customStyle="1">
    <w:name w:val="Style3"/>
    <w:basedOn w:val="Normal"/>
    <w:uiPriority w:val="99"/>
    <w:qFormat/>
    <w:pPr>
      <w:spacing w:before="0" w:after="0"/>
      <w:ind w:hanging="0"/>
    </w:pPr>
    <w:rPr>
      <w:szCs w:val="24"/>
      <w:lang w:eastAsia="ru-RU"/>
    </w:rPr>
  </w:style>
  <w:style w:type="paragraph" w:styleId="Header">
    <w:name w:val="header"/>
    <w:basedOn w:val="Normal"/>
    <w:pPr>
      <w:widowControl/>
      <w:tabs>
        <w:tab w:val="clear" w:pos="708"/>
        <w:tab w:val="center" w:pos="4677" w:leader="none"/>
        <w:tab w:val="right" w:pos="9355" w:leader="none"/>
      </w:tabs>
      <w:spacing w:before="0" w:after="0"/>
      <w:ind w:hanging="0"/>
      <w:jc w:val="left"/>
    </w:pPr>
    <w:rPr>
      <w:sz w:val="20"/>
      <w:lang w:eastAsia="ru-RU"/>
    </w:rPr>
  </w:style>
  <w:style w:type="numbering" w:styleId="Style22" w:default="1">
    <w:name w:val="Без списка"/>
    <w:uiPriority w:val="99"/>
    <w:semiHidden/>
    <w:unhideWhenUsed/>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to@r37.rosreestr.ru"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ED01F-8235-4DB1-A51F-A7527431A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Application>LibreOffice/25.2.6.2$Linux_X86_64 LibreOffice_project/520$Build-2</Application>
  <AppVersion>15.0000</AppVersion>
  <Pages>7</Pages>
  <Words>2163</Words>
  <Characters>14878</Characters>
  <CharactersWithSpaces>16923</CharactersWithSpaces>
  <Paragraphs>256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2023-02-28T12:45:00Z</dcterms:created>
  <dc:creator>Бобров А.В</dc:creator>
  <dc:description/>
  <dc:language>ru-RU</dc:language>
  <cp:lastModifiedBy/>
  <cp:lastPrinted>2026-07-09T16:27:04Z</cp:lastPrinted>
  <dcterms:modified xsi:type="dcterms:W3CDTF">2026-07-28T10:29:51Z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file>