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024" w:type="dxa"/>
        <w:jc w:val="center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012"/>
        <w:gridCol w:w="5012"/>
      </w:tblGrid>
      <w:tr>
        <w:tblPrEx/>
        <w:trPr>
          <w:trHeight w:val="1797"/>
        </w:trPr>
        <w:tc>
          <w:tcPr>
            <w:tcW w:w="5012" w:type="dxa"/>
            <w:textDirection w:val="lrTb"/>
            <w:noWrap w:val="false"/>
          </w:tcPr>
          <w:p>
            <w:pPr>
              <w:pStyle w:val="833"/>
              <w:jc w:val="center"/>
            </w:pPr>
            <w:r/>
            <w:r/>
          </w:p>
        </w:tc>
        <w:tc>
          <w:tcPr>
            <w:tcW w:w="5012" w:type="dxa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Заместителю руководителя</w:t>
            </w:r>
            <w:r/>
          </w:p>
          <w:p>
            <w:pPr>
              <w:pStyle w:val="833"/>
              <w:jc w:val="center"/>
            </w:pPr>
            <w:r>
              <w:t xml:space="preserve">Управления Федеральной службы</w:t>
            </w:r>
            <w:r/>
          </w:p>
          <w:p>
            <w:pPr>
              <w:pStyle w:val="833"/>
              <w:jc w:val="center"/>
            </w:pPr>
            <w:r>
              <w:t xml:space="preserve">государственной регистрации, </w:t>
            </w:r>
            <w:r/>
          </w:p>
          <w:p>
            <w:pPr>
              <w:pStyle w:val="833"/>
              <w:jc w:val="center"/>
            </w:pPr>
            <w:r>
              <w:t xml:space="preserve">кадастра и картографии</w:t>
            </w:r>
            <w:r/>
          </w:p>
          <w:p>
            <w:pPr>
              <w:pStyle w:val="833"/>
              <w:jc w:val="center"/>
            </w:pPr>
            <w:r>
              <w:t xml:space="preserve">по Краснодарскому краю</w:t>
            </w:r>
            <w:r/>
          </w:p>
          <w:p>
            <w:pPr>
              <w:pStyle w:val="833"/>
              <w:jc w:val="center"/>
            </w:pPr>
            <w:r>
              <w:t xml:space="preserve">Кучман О.В.</w:t>
            </w:r>
            <w:r/>
          </w:p>
        </w:tc>
      </w:tr>
    </w:tbl>
    <w:p>
      <w:pPr>
        <w:pStyle w:val="833"/>
      </w:pPr>
      <w:r>
        <w:t xml:space="preserve">СЛУЖЕБНАЯ ЗАПИСКА</w:t>
      </w:r>
      <w:r/>
    </w:p>
    <w:p>
      <w:pPr>
        <w:pStyle w:val="833"/>
      </w:pPr>
      <w:r>
        <w:t xml:space="preserve">___________№_________</w:t>
      </w:r>
      <w:r/>
    </w:p>
    <w:p>
      <w:pPr>
        <w:pStyle w:val="833"/>
        <w:rPr>
          <w:sz w:val="20"/>
          <w:szCs w:val="20"/>
        </w:rPr>
      </w:pPr>
      <w:r>
        <w:rPr>
          <w:sz w:val="20"/>
          <w:szCs w:val="20"/>
        </w:rPr>
        <w:t xml:space="preserve">О согласовании цены договора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33"/>
        <w:ind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5"/>
        <w:ind w:right="0" w:firstLine="709"/>
        <w:jc w:val="both"/>
        <w:spacing w:line="0" w:lineRule="atLeas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Прошу Вас согласовать </w:t>
      </w:r>
      <w:r>
        <w:rPr>
          <w:rFonts w:ascii="Times New Roman" w:hAnsi="Times New Roman" w:cs="Times New Roman"/>
          <w:sz w:val="24"/>
          <w:szCs w:val="24"/>
        </w:rPr>
        <w:t xml:space="preserve">заключение договора </w:t>
      </w:r>
      <w:r>
        <w:rPr>
          <w:rFonts w:ascii="Times New Roman" w:hAnsi="Times New Roman" w:cs="Times New Roman"/>
          <w:b/>
          <w:sz w:val="24"/>
          <w:szCs w:val="24"/>
        </w:rPr>
        <w:t xml:space="preserve">на оказание услуг по техническому обслуживанию газопровода и газового оборудования (СИКЗ) для нужд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Управления Федеральной службы государственной регистрации, кадастра и картографии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(г. Курганинск, ул. Серова, д. 3/1</w:t>
      </w:r>
      <w:r>
        <w:rPr>
          <w:rStyle w:val="846"/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 основании п.4 ч.1 ст.93 Федерального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закона "О контрактной системе в сфере закупок товаров, работ, услуг для обеспечения государственных и муниципальных нужд" от 05.04.2013 N 44-ФЗ (Далее-ФЗ-44) - осуществление закупки товара, работы или услуги на сумму, не превышающую шестьсот тысяч рублей.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833"/>
        <w:ind w:right="0" w:firstLine="708"/>
        <w:jc w:val="both"/>
        <w:spacing w:line="0" w:lineRule="atLeast"/>
      </w:pPr>
      <w:r>
        <w:t xml:space="preserve">Начальная (максимальная) цена дог</w:t>
      </w:r>
      <w:r>
        <w:t xml:space="preserve">овора рассчитана посредством применения метода сопоставимых рыночных цен (анализа рынка)  в соответствии с ч.1-6 ст. 22 Федерального закона от 05.04.2013 № 44-ФЗ «О контрактной системе в сфере закупок товаров, работ, услуг для обеспечения государственных и</w:t>
      </w:r>
      <w:r>
        <w:t xml:space="preserve"> муниципальных нужд», приказом Минэкономразвития России от 02.10.2013 №567 «Об утверждении Методических рекомендация по применению методов определения начальной (максимальной), Приложением № 166 к Приложению к Приказу Росреестра от 29.12.2014 № П/651 «Об у</w:t>
      </w:r>
      <w:r>
        <w:t xml:space="preserve">тверждении расчетно-нормативных затрат на обеспечение деятельности территориальных органов Федеральной службы государственной регистрации, кадастра и картографии» (</w:t>
      </w:r>
      <w:r>
        <w:rPr>
          <w:sz w:val="24"/>
          <w:szCs w:val="24"/>
        </w:rPr>
        <w:t xml:space="preserve">с последними изменениями и дополнениями</w:t>
      </w:r>
      <w:r>
        <w:t xml:space="preserve">).</w:t>
      </w:r>
      <w:r/>
    </w:p>
    <w:p>
      <w:pPr>
        <w:pStyle w:val="833"/>
        <w:ind w:right="0" w:firstLine="708"/>
        <w:jc w:val="both"/>
      </w:pPr>
      <w:r>
        <w:t xml:space="preserve">Согласно ч.5 ст.22 Федерального закона от 05.04.2013 № 44-ФЗ «О контрактной системе в сфере закупок товаров, работ, услуг для</w:t>
      </w:r>
      <w:r>
        <w:t xml:space="preserve"> обеспечения государственных и муниципальных нужд» и Приказа Минэкономразвития РФ от 02.10.2013 №567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</w:t>
      </w:r>
      <w:r>
        <w:t xml:space="preserve">енным поставщиком (подрядчиком, исполнителем)» СПУ-Заказчиком была изучена информация о стоимости закупаемых услуг в сети Интернет, направлены запросы о предоставлении ценовой информации исполнителям, обладающим опытом оказания планируемых к закупке услуг.</w:t>
      </w:r>
      <w:r/>
    </w:p>
    <w:p>
      <w:pPr>
        <w:pStyle w:val="833"/>
        <w:ind w:right="0" w:firstLine="708"/>
        <w:jc w:val="both"/>
        <w:spacing w:line="0" w:lineRule="atLeast"/>
      </w:pPr>
      <w:r>
        <w:t xml:space="preserve">При осуществлении мониторинга цен на оказание услуг были использованы следующие источники:</w:t>
      </w:r>
      <w:r/>
    </w:p>
    <w:p>
      <w:pPr>
        <w:pStyle w:val="833"/>
        <w:numPr>
          <w:ilvl w:val="0"/>
          <w:numId w:val="2"/>
        </w:numPr>
        <w:spacing w:line="0" w:lineRule="atLeast"/>
      </w:pPr>
      <w:r>
        <w:t xml:space="preserve">Исполнитель №1 – Коммерческие предложения вх. № 65161/26 от 05.08.2026г.;</w:t>
      </w:r>
      <w:r/>
    </w:p>
    <w:p>
      <w:pPr>
        <w:pStyle w:val="833"/>
        <w:numPr>
          <w:ilvl w:val="0"/>
          <w:numId w:val="2"/>
        </w:numPr>
        <w:spacing w:line="0" w:lineRule="atLeast"/>
      </w:pPr>
      <w:r>
        <w:t xml:space="preserve">Исполнитель №2 – Коммерческие предложения вх. № 65163/26 от 05.08.2026г.;</w:t>
      </w:r>
      <w:r/>
    </w:p>
    <w:p>
      <w:pPr>
        <w:pStyle w:val="833"/>
        <w:numPr>
          <w:ilvl w:val="0"/>
          <w:numId w:val="2"/>
        </w:numPr>
        <w:spacing w:line="0" w:lineRule="atLeast"/>
      </w:pPr>
      <w:r>
        <w:t xml:space="preserve">Исполнитель №3 – Коммерческое предложение вх. № 65164/26 от 05.08.2026г.</w:t>
      </w:r>
      <w:r/>
    </w:p>
    <w:p>
      <w:pPr>
        <w:pStyle w:val="833"/>
        <w:jc w:val="center"/>
        <w:spacing w:line="0" w:lineRule="atLeast"/>
      </w:pPr>
      <w:r/>
      <w:r/>
    </w:p>
    <w:p>
      <w:pPr>
        <w:pStyle w:val="833"/>
        <w:jc w:val="center"/>
        <w:spacing w:line="0" w:lineRule="atLeast"/>
      </w:pPr>
      <w:r>
        <w:t xml:space="preserve">Таблица.</w:t>
      </w:r>
      <w:r>
        <w:rPr>
          <w:sz w:val="23"/>
          <w:szCs w:val="23"/>
        </w:rPr>
        <w:t xml:space="preserve"> Расчет начальной максимальной цены контракта</w:t>
      </w:r>
      <w:r/>
    </w:p>
    <w:tbl>
      <w:tblPr>
        <w:tblW w:w="9889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7"/>
        <w:gridCol w:w="1808"/>
        <w:gridCol w:w="992"/>
        <w:gridCol w:w="992"/>
        <w:gridCol w:w="992"/>
        <w:gridCol w:w="993"/>
        <w:gridCol w:w="1134"/>
        <w:gridCol w:w="992"/>
        <w:gridCol w:w="1559"/>
      </w:tblGrid>
      <w:tr>
        <w:tblPrEx/>
        <w:trPr>
          <w:trHeight w:val="21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№ 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п/п</w:t>
            </w:r>
            <w:r>
              <w:rPr>
                <w:b/>
                <w:bCs/>
                <w:color w:val="000000"/>
                <w:sz w:val="16"/>
                <w:szCs w:val="16"/>
              </w:rPr>
            </w: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8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Наименование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btLr"/>
            <w:noWrap w:val="false"/>
          </w:tcPr>
          <w:p>
            <w:pPr>
              <w:pStyle w:val="833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Исполнитель № 1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btLr"/>
            <w:noWrap w:val="false"/>
          </w:tcPr>
          <w:p>
            <w:pPr>
              <w:pStyle w:val="833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Исполнитель № 2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btLr"/>
            <w:noWrap w:val="false"/>
          </w:tcPr>
          <w:p>
            <w:pPr>
              <w:pStyle w:val="833"/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Исполнитель № 3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Средняя цена за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  <w:p>
            <w:pPr>
              <w:pStyle w:val="833"/>
              <w:jc w:val="center"/>
              <w:rPr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шт., руб.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</w:pPr>
            <w:r>
              <w:rPr>
                <w:b/>
                <w:color w:val="000000"/>
                <w:sz w:val="16"/>
                <w:szCs w:val="16"/>
              </w:rPr>
              <w:t xml:space="preserve">Среднее квадратич-ное отклонение</w:t>
              <w:br/>
              <w:t xml:space="preserve">Q</w:t>
            </w:r>
            <w:r/>
          </w:p>
          <w:p>
            <w:pPr>
              <w:pStyle w:val="833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485140" cy="230505"/>
                      <wp:effectExtent l="0" t="0" r="0" b="0"/>
                      <wp:docPr id="1" name="Picture 2" descr="" titl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2" descr="" titl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>
                                <a:extLst>
                                  <a:ext uri="{96DAC541-7B7A-43D3-8B79-37D633B846F1}">
                                    <asvg:svgBlip xmlns:asvg="http://schemas.microsoft.com/office/drawing/2016/SVG/main" r:embed="rId10"/>
                                  </a:ext>
                                </a:extLst>
                              </a:blip>
                              <a:srcRect l="-23" t="-66" r="-22" b="-6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5140" cy="23050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38.20pt;height:18.15pt;mso-wrap-distance-left:0.00pt;mso-wrap-distance-top:0.00pt;mso-wrap-distance-right:0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b/>
                <w:bCs/>
                <w:color w:val="000000"/>
                <w:sz w:val="16"/>
                <w:szCs w:val="16"/>
              </w:rPr>
            </w: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Коэффициент вариации цен V (%)  (не должен превышать 33%)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  <w:p>
            <w:pPr>
              <w:pStyle w:val="83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24510" cy="258445"/>
                      <wp:effectExtent l="0" t="0" r="0" b="0"/>
                      <wp:docPr id="2" name="Picture 1" descr="" titl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Picture 1" descr="" titl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1">
                                <a:extLst>
                                  <a:ext uri="{96DAC541-7B7A-43D3-8B79-37D633B846F1}">
                                    <asvg:svgBlip xmlns:asvg="http://schemas.microsoft.com/office/drawing/2016/SVG/main" r:embed="rId12"/>
                                  </a:ext>
                                </a:extLst>
                              </a:blip>
                              <a:srcRect l="-30" t="-86" r="-30" b="-8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24510" cy="25844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41.30pt;height:20.35pt;mso-wrap-distance-left:0.00pt;mso-wrap-distance-top:0.00pt;mso-wrap-distance-right:0.00pt;mso-wrap-distance-bottom:0.00pt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Расчет Н(М)ЦК по формуле</w: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  <w:p>
            <w:pPr>
              <w:pStyle w:val="833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43280" cy="254635"/>
                      <wp:effectExtent l="0" t="0" r="0" b="0"/>
                      <wp:docPr id="3" name="Picture 5" descr="" titl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Picture 5" descr="" titl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3">
                                <a:extLst>
                                  <a:ext uri="{96DAC541-7B7A-43D3-8B79-37D633B846F1}">
                                    <asvg:svgBlip xmlns:asvg="http://schemas.microsoft.com/office/drawing/2016/SVG/main" r:embed="rId14"/>
                                  </a:ext>
                                </a:extLst>
                              </a:blip>
                              <a:srcRect l="-22" t="-91" r="-22" b="-9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43280" cy="25463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66.40pt;height:20.05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b/>
                <w:color w:val="000000"/>
                <w:sz w:val="16"/>
                <w:szCs w:val="16"/>
              </w:rPr>
            </w:r>
            <w:r>
              <w:rPr>
                <w:b/>
                <w:color w:val="000000"/>
                <w:sz w:val="16"/>
                <w:szCs w:val="16"/>
              </w:rPr>
            </w:r>
          </w:p>
        </w:tc>
      </w:tr>
      <w:tr>
        <w:tblPrEx/>
        <w:trPr>
          <w:trHeight w:val="3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7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1</w:t>
            </w:r>
            <w:r>
              <w:rPr>
                <w:bCs/>
                <w:color w:val="000000"/>
                <w:sz w:val="16"/>
                <w:szCs w:val="16"/>
              </w:rPr>
            </w:r>
            <w:r>
              <w:rPr>
                <w:bCs/>
                <w:color w:val="000000"/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0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  <w14:ligatures w14:val="none"/>
              </w:rPr>
            </w:pPr>
            <w:r>
              <w:rPr>
                <w:sz w:val="16"/>
                <w:szCs w:val="16"/>
              </w:rPr>
              <w:t xml:space="preserve">Оказание услуг по техническому </w:t>
            </w:r>
            <w:r>
              <w:rPr>
                <w:sz w:val="16"/>
                <w:szCs w:val="16"/>
              </w:rPr>
              <w:t xml:space="preserve">обслуживанию газопровода и газового оборудо</w:t>
            </w:r>
            <w:r>
              <w:rPr>
                <w:sz w:val="16"/>
                <w:szCs w:val="16"/>
              </w:rPr>
              <w:t xml:space="preserve">вания (СИКЗ) (</w:t>
            </w:r>
            <w:r>
              <w:rPr>
                <w:sz w:val="16"/>
                <w:szCs w:val="16"/>
              </w:rPr>
              <w:t xml:space="preserve">г. Курганинск, ул. Серова, д. 3/1</w:t>
            </w:r>
            <w:r>
              <w:rPr>
                <w:sz w:val="16"/>
                <w:szCs w:val="16"/>
              </w:rPr>
              <w:t xml:space="preserve">)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4 350,00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4 880,00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4 700,00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4 643,33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269,51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5,80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16"/>
                <w:u w:val="none"/>
                <w:vertAlign w:val="baseline"/>
              </w:rPr>
              <w:t xml:space="preserve">4 643,33</w:t>
            </w:r>
            <w:r/>
            <w:r/>
          </w:p>
        </w:tc>
      </w:tr>
    </w:tbl>
    <w:p>
      <w:pPr>
        <w:pStyle w:val="833"/>
        <w:ind w:right="0" w:firstLine="708"/>
        <w:jc w:val="both"/>
        <w:spacing w:line="0" w:lineRule="atLeast"/>
      </w:pPr>
      <w:r/>
      <w:r/>
    </w:p>
    <w:p>
      <w:pPr>
        <w:pStyle w:val="833"/>
        <w:ind w:right="0" w:firstLine="708"/>
        <w:jc w:val="both"/>
        <w:spacing w:line="0" w:lineRule="atLeast"/>
      </w:pPr>
      <w:r>
        <w:t xml:space="preserve">В соответствии с Распоряжение Правительства РФ от 28 апреля 2018 г. № 824-р «О соз</w:t>
      </w:r>
      <w:r>
        <w:t xml:space="preserve">дании единого агрегатора торговли, с использованием которого заказчики вправе осуществлять закупки для обеспечения государственных и муниципальных нужд» договор будет заключен путем проведения закупочной сессии с использованием единого агрегатора торговли.</w:t>
      </w:r>
      <w:r/>
    </w:p>
    <w:p>
      <w:pPr>
        <w:pStyle w:val="833"/>
        <w:ind w:right="0" w:firstLine="708"/>
        <w:jc w:val="both"/>
        <w:spacing w:line="0" w:lineRule="atLeast"/>
        <w:rPr>
          <w:b/>
        </w:rPr>
      </w:pPr>
      <w:r>
        <w:rPr>
          <w:b/>
        </w:rPr>
        <w:t xml:space="preserve">В целях экономии средств федерального бюджета, стартовая цена договора для объявления закупочной сессии составит 4 350 (Четыре тысячи триста пятьдесят) рублей 00 копеек.</w:t>
      </w:r>
      <w:r>
        <w:rPr>
          <w:b/>
        </w:rPr>
      </w:r>
      <w:r>
        <w:rPr>
          <w:b/>
        </w:rPr>
      </w:r>
    </w:p>
    <w:tbl>
      <w:tblPr>
        <w:tblW w:w="9905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196"/>
        <w:gridCol w:w="2709"/>
      </w:tblGrid>
      <w:tr>
        <w:tblPrEx/>
        <w:trPr/>
        <w:tc>
          <w:tcPr>
            <w:tcW w:w="7196" w:type="dxa"/>
            <w:textDirection w:val="lrTb"/>
            <w:noWrap w:val="false"/>
          </w:tcPr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</w:pPr>
            <w:r>
              <w:rPr>
                <w:sz w:val="22"/>
                <w:szCs w:val="22"/>
              </w:rPr>
              <w:t xml:space="preserve">Начальник отдела</w:t>
            </w:r>
            <w:r/>
          </w:p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государственных закупок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709" w:type="dxa"/>
            <w:vAlign w:val="bottom"/>
            <w:textDirection w:val="lrTb"/>
            <w:noWrap w:val="false"/>
          </w:tcPr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  <w:r>
              <w:rPr>
                <w:sz w:val="22"/>
                <w:szCs w:val="22"/>
              </w:rPr>
              <w:t xml:space="preserve">О.В. Власенко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7196" w:type="dxa"/>
            <w:textDirection w:val="lrTb"/>
            <w:noWrap w:val="false"/>
          </w:tcPr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</w:pPr>
            <w:r>
              <w:rPr>
                <w:sz w:val="22"/>
                <w:szCs w:val="22"/>
              </w:rPr>
              <w:t xml:space="preserve">Начальник отдела</w:t>
            </w:r>
            <w:r/>
          </w:p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материально-технического обеспечения</w:t>
              <w:tab/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709" w:type="dxa"/>
            <w:vAlign w:val="bottom"/>
            <w:textDirection w:val="lrTb"/>
            <w:noWrap w:val="false"/>
          </w:tcPr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</w:t>
            </w:r>
            <w:r>
              <w:rPr>
                <w:sz w:val="22"/>
                <w:szCs w:val="22"/>
              </w:rPr>
              <w:t xml:space="preserve">К.С. Соболев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623"/>
        </w:trPr>
        <w:tc>
          <w:tcPr>
            <w:tcW w:w="7196" w:type="dxa"/>
            <w:textDirection w:val="lrTb"/>
            <w:noWrap w:val="false"/>
          </w:tcPr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Согласовано: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709" w:type="dxa"/>
            <w:vAlign w:val="bottom"/>
            <w:textDirection w:val="lrTb"/>
            <w:noWrap w:val="false"/>
          </w:tcPr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7196" w:type="dxa"/>
            <w:textDirection w:val="lrTb"/>
            <w:noWrap w:val="false"/>
          </w:tcPr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руководителя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709" w:type="dxa"/>
            <w:vAlign w:val="bottom"/>
            <w:textDirection w:val="lrTb"/>
            <w:noWrap w:val="false"/>
          </w:tcPr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</w:t>
            </w:r>
            <w:r>
              <w:rPr>
                <w:sz w:val="22"/>
                <w:szCs w:val="22"/>
              </w:rPr>
              <w:t xml:space="preserve">К.Д. Байбутлов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7196" w:type="dxa"/>
            <w:textDirection w:val="lrTb"/>
            <w:noWrap w:val="false"/>
          </w:tcPr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Начальник финансово-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экономического отдела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709" w:type="dxa"/>
            <w:vAlign w:val="bottom"/>
            <w:textDirection w:val="lrTb"/>
            <w:noWrap w:val="false"/>
          </w:tcPr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  <w:r>
              <w:rPr>
                <w:sz w:val="22"/>
                <w:szCs w:val="22"/>
              </w:rPr>
              <w:t xml:space="preserve">Е.В. Сутормина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7196" w:type="dxa"/>
            <w:textDirection w:val="lrTb"/>
            <w:noWrap w:val="false"/>
          </w:tcPr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Зам. начальника финансово-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экономического отдела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2709" w:type="dxa"/>
            <w:vAlign w:val="bottom"/>
            <w:textDirection w:val="lrTb"/>
            <w:noWrap w:val="false"/>
          </w:tcPr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Д.А. Пчелкина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833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3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3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3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3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3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3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3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3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3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3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Style w:val="833"/>
      </w:pPr>
      <w:r>
        <w:rPr>
          <w:sz w:val="18"/>
          <w:szCs w:val="18"/>
        </w:rPr>
        <w:t xml:space="preserve">Исп. Надточий А.В., доб. 3615</w:t>
      </w:r>
      <w:r/>
    </w:p>
    <w:sectPr>
      <w:footnotePr/>
      <w:endnotePr/>
      <w:type w:val="nextPage"/>
      <w:pgSz w:w="11906" w:h="16838" w:orient="portrait"/>
      <w:pgMar w:top="851" w:right="680" w:bottom="993" w:left="1418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Gelvetsky 12pt;Times New Roman">
    <w:panose1 w:val="02000603000000000000"/>
  </w:font>
  <w:font w:name="Wingdings">
    <w:panose1 w:val="05010000000000000000"/>
  </w:font>
  <w:font w:name="Liberation Sans">
    <w:panose1 w:val="020B0604020202020204"/>
  </w:font>
  <w:font w:name="Tahoma">
    <w:panose1 w:val="020B0604030504040204"/>
  </w:font>
  <w:font w:name="Noto Sans Devanagari">
    <w:panose1 w:val="020B0502040504020204"/>
  </w:font>
  <w:font w:name="Calibri Light">
    <w:panose1 w:val="020F0502020204030204"/>
  </w:font>
  <w:font w:name="Liberation Serif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834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pStyle w:val="835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Tahoma" w:cs="Noto Sans Devanagari"/>
        <w:sz w:val="24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9">
    <w:name w:val="Heading 1 Char"/>
    <w:link w:val="83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60">
    <w:name w:val="Heading 2 Char"/>
    <w:link w:val="835"/>
    <w:uiPriority w:val="9"/>
    <w:rPr>
      <w:rFonts w:ascii="Liberation Sans" w:hAnsi="Liberation Sans" w:eastAsia="Liberation Sans" w:cs="Liberation Sans"/>
      <w:sz w:val="34"/>
    </w:rPr>
  </w:style>
  <w:style w:type="paragraph" w:styleId="661">
    <w:name w:val="Heading 3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2">
    <w:name w:val="Heading 3 Char"/>
    <w:link w:val="66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3">
    <w:name w:val="Heading 4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4">
    <w:name w:val="Heading 4 Char"/>
    <w:link w:val="66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5">
    <w:name w:val="Heading 5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6">
    <w:name w:val="Heading 5 Char"/>
    <w:link w:val="66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7">
    <w:name w:val="Heading 6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8">
    <w:name w:val="Heading 6 Char"/>
    <w:link w:val="66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9">
    <w:name w:val="Heading 7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0">
    <w:name w:val="Heading 7 Char"/>
    <w:link w:val="66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1">
    <w:name w:val="Heading 8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2">
    <w:name w:val="Heading 8 Char"/>
    <w:link w:val="67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3">
    <w:name w:val="Heading 9"/>
    <w:basedOn w:val="833"/>
    <w:next w:val="833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4">
    <w:name w:val="Heading 9 Char"/>
    <w:link w:val="67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5">
    <w:name w:val="List Paragraph"/>
    <w:basedOn w:val="833"/>
    <w:uiPriority w:val="34"/>
    <w:qFormat/>
    <w:pPr>
      <w:contextualSpacing/>
      <w:ind w:left="720"/>
    </w:pPr>
  </w:style>
  <w:style w:type="paragraph" w:styleId="676">
    <w:name w:val="No Spacing"/>
    <w:uiPriority w:val="1"/>
    <w:qFormat/>
    <w:pPr>
      <w:spacing w:before="0" w:after="0" w:line="240" w:lineRule="auto"/>
    </w:pPr>
  </w:style>
  <w:style w:type="paragraph" w:styleId="677">
    <w:name w:val="Title"/>
    <w:basedOn w:val="833"/>
    <w:next w:val="833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link w:val="677"/>
    <w:uiPriority w:val="10"/>
    <w:rPr>
      <w:sz w:val="48"/>
      <w:szCs w:val="48"/>
    </w:rPr>
  </w:style>
  <w:style w:type="paragraph" w:styleId="679">
    <w:name w:val="Subtitle"/>
    <w:basedOn w:val="833"/>
    <w:next w:val="833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link w:val="679"/>
    <w:uiPriority w:val="11"/>
    <w:rPr>
      <w:sz w:val="24"/>
      <w:szCs w:val="24"/>
    </w:rPr>
  </w:style>
  <w:style w:type="paragraph" w:styleId="681">
    <w:name w:val="Quote"/>
    <w:basedOn w:val="833"/>
    <w:next w:val="833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3"/>
    <w:next w:val="833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paragraph" w:styleId="685">
    <w:name w:val="Head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Header Char"/>
    <w:link w:val="685"/>
    <w:uiPriority w:val="99"/>
  </w:style>
  <w:style w:type="paragraph" w:styleId="687">
    <w:name w:val="Footer"/>
    <w:basedOn w:val="833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Footer Char"/>
    <w:link w:val="687"/>
    <w:uiPriority w:val="99"/>
  </w:style>
  <w:style w:type="character" w:styleId="689">
    <w:name w:val="Caption Char"/>
    <w:link w:val="850"/>
    <w:uiPriority w:val="35"/>
    <w:rPr>
      <w:b/>
      <w:bCs/>
      <w:color w:val="4f81bd" w:themeColor="accent1"/>
      <w:sz w:val="18"/>
      <w:szCs w:val="18"/>
    </w:rPr>
  </w:style>
  <w:style w:type="table" w:styleId="69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1ebe03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43c0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3fdba" w:themeFill="accent1" w:themeFillTint="34"/>
    </w:tblPr>
    <w:tblStylePr w:type="band1Horz">
      <w:tcPr>
        <w:shd w:val="clear" w:color="ffffff" w:themeColor="accent1" w:themeTint="75" w:fill="79fb64" w:themeFill="accent1" w:themeFillTint="75"/>
      </w:tcPr>
    </w:tblStylePr>
    <w:tblStylePr w:type="band1Vert">
      <w:tcPr>
        <w:shd w:val="clear" w:color="ffffff" w:themeColor="accent1" w:themeTint="75" w:fill="79fb64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bce7fd" w:themeFill="accent2" w:themeFillTint="32"/>
    </w:tblPr>
    <w:tblStylePr w:type="band1Horz">
      <w:tcPr>
        <w:shd w:val="clear" w:color="ffffff" w:themeColor="accent2" w:themeTint="75" w:fill="64c8fb" w:themeFill="accent2" w:themeFillTint="75"/>
      </w:tcPr>
    </w:tblStylePr>
    <w:tblStylePr w:type="band1Vert">
      <w:tcPr>
        <w:shd w:val="clear" w:color="ffffff" w:themeColor="accent2" w:themeTint="75" w:fill="64c8fb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dd2ba" w:themeFill="accent3" w:themeFillTint="34"/>
    </w:tblPr>
    <w:tblStylePr w:type="band1Horz">
      <w:tcPr>
        <w:shd w:val="clear" w:color="ffffff" w:themeColor="accent3" w:themeTint="75" w:fill="fb9964" w:themeFill="accent3" w:themeFillTint="75"/>
      </w:tcPr>
    </w:tblStylePr>
    <w:tblStylePr w:type="band1Vert">
      <w:tcPr>
        <w:shd w:val="clear" w:color="ffffff" w:themeColor="accent3" w:themeTint="75" w:fill="fb9964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3bafd" w:themeFill="accent4" w:themeFillTint="34"/>
    </w:tblPr>
    <w:tblStylePr w:type="band1Horz">
      <w:tcPr>
        <w:shd w:val="clear" w:color="ffffff" w:themeColor="accent4" w:themeTint="75" w:fill="e464fb" w:themeFill="accent4" w:themeFillTint="75"/>
      </w:tcPr>
    </w:tblStylePr>
    <w:tblStylePr w:type="band1Vert">
      <w:tcPr>
        <w:shd w:val="clear" w:color="ffffff" w:themeColor="accent4" w:themeTint="75" w:fill="e464fb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fefbf" w:themeFill="accent5" w:themeFillTint="34"/>
    </w:tblPr>
    <w:tblStylePr w:type="band1Horz">
      <w:tcPr>
        <w:shd w:val="clear" w:color="ffffff" w:themeColor="accent5" w:themeTint="75" w:fill="ffdb71" w:themeFill="accent5" w:themeFillTint="75"/>
      </w:tcPr>
    </w:tblStylePr>
    <w:tblStylePr w:type="band1Vert">
      <w:tcPr>
        <w:shd w:val="clear" w:color="ffffff" w:themeColor="accent5" w:themeTint="75" w:fill="ffdb71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7cccc" w:themeFill="accent6" w:themeFillTint="34"/>
    </w:tblPr>
    <w:tblStylePr w:type="band1Horz">
      <w:tcPr>
        <w:shd w:val="clear" w:color="ffffff" w:themeColor="accent6" w:themeTint="75" w:fill="ee8f8f" w:themeFill="accent6" w:themeFillTint="75"/>
      </w:tcPr>
    </w:tblStylePr>
    <w:tblStylePr w:type="band1Vert">
      <w:tcPr>
        <w:shd w:val="clear" w:color="ffffff" w:themeColor="accent6" w:themeTint="75" w:fill="ee8f8f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1ebf04" w:themeColor="accent1" w:themeTint="80" w:themeShade="95"/>
      </w:rPr>
    </w:tblStylePr>
    <w:tblStylePr w:type="firstRow">
      <w:rPr>
        <w:b/>
        <w:color w:val="1ebf0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ebf04" w:themeColor="accent1" w:themeTint="80" w:themeShade="95"/>
      </w:rPr>
    </w:tblStylePr>
    <w:tblStylePr w:type="lastRow">
      <w:rPr>
        <w:b/>
        <w:color w:val="1ebf04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e2201" w:themeColor="accent3" w:themeTint="FE" w:themeShade="95"/>
      </w:rPr>
    </w:tblStylePr>
    <w:tblStylePr w:type="firstRow">
      <w:rPr>
        <w:b/>
        <w:color w:val="5e2201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e2201" w:themeColor="accent3" w:themeTint="FE" w:themeShade="95"/>
      </w:rPr>
    </w:tblStylePr>
    <w:tblStylePr w:type="lastRow">
      <w:rPr>
        <w:b/>
        <w:color w:val="5e2201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1ebf04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Liberation Sans" w:hAnsi="Liberation Sans"/>
        <w:color w:val="1ebf04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1ebf04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1ebf04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0378ae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Liberation Sans" w:hAnsi="Liberation Sans"/>
        <w:color w:val="0378ae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0378ae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e2201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Liberation Sans" w:hAnsi="Liberation Sans"/>
        <w:color w:val="5e2201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e2201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e2201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9104ab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Liberation Sans" w:hAnsi="Liberation Sans"/>
        <w:color w:val="9104ab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9104ab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74570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Liberation Sans" w:hAnsi="Liberation Sans"/>
        <w:color w:val="745700" w:themeColor="accent5" w:themeShade="95"/>
        <w:sz w:val="22"/>
      </w:rPr>
    </w:tblStylePr>
    <w:tblStylePr w:type="firstCol">
      <w:rPr>
        <w:rFonts w:ascii="Liberation Sans" w:hAnsi="Liberation Sans"/>
        <w:i/>
        <w:color w:val="745700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45700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741111" w:themeColor="accent6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Liberation Sans" w:hAnsi="Liberation Sans"/>
        <w:color w:val="741111" w:themeColor="accent6" w:themeShade="95"/>
        <w:sz w:val="22"/>
      </w:rPr>
    </w:tblStylePr>
    <w:tblStylePr w:type="firstCol">
      <w:rPr>
        <w:rFonts w:ascii="Liberation Sans" w:hAnsi="Liberation Sans"/>
        <w:i/>
        <w:color w:val="741111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41111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fa7a35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ffd042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e96e6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8a303" w:themeFill="accent1"/>
    </w:tblPr>
    <w:tblStylePr w:type="band1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8a303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18a303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36b8fb" w:themeFill="accent2" w:themeFillTint="97"/>
    </w:tblPr>
    <w:tblStylePr w:type="band1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36b8fb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a7a35" w:themeFill="accent3" w:themeFillTint="98"/>
    </w:tblPr>
    <w:tblStylePr w:type="band1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fa7a35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fa7a35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dc33fa" w:themeFill="accent4" w:themeFillTint="9A"/>
    </w:tblPr>
    <w:tblStylePr w:type="band1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dc33fa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fd042" w:themeFill="accent5" w:themeFillTint="9A"/>
    </w:tblPr>
    <w:tblStylePr w:type="band1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ffd042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ffd042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96e6e" w:themeFill="accent6" w:themeFillTint="98"/>
    </w:tblPr>
    <w:tblStylePr w:type="band1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e96e6e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e96e6e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0e5e01" w:themeColor="accent1" w:themeShade="95"/>
      </w:rPr>
    </w:tblStylePr>
    <w:tblStylePr w:type="firstRow">
      <w:rPr>
        <w:b/>
        <w:color w:val="0e5e0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e5e01" w:themeColor="accent1" w:themeShade="95"/>
      </w:rPr>
    </w:tblStylePr>
    <w:tblStylePr w:type="lastRow">
      <w:rPr>
        <w:b/>
        <w:color w:val="0e5e0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ab3b04" w:themeColor="accent3" w:themeTint="98" w:themeShade="95"/>
      </w:rPr>
    </w:tblStylePr>
    <w:tblStylePr w:type="firstRow">
      <w:rPr>
        <w:b/>
        <w:color w:val="ab3b04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ab3b04" w:themeColor="accent3" w:themeTint="98" w:themeShade="95"/>
      </w:rPr>
    </w:tblStylePr>
    <w:tblStylePr w:type="lastRow">
      <w:rPr>
        <w:b/>
        <w:color w:val="ab3b04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ba8700" w:themeColor="accent5" w:themeTint="9A" w:themeShade="95"/>
      </w:rPr>
    </w:tblStylePr>
    <w:tblStylePr w:type="firstRow">
      <w:rPr>
        <w:b/>
        <w:color w:val="ba870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ba8700" w:themeColor="accent5" w:themeTint="9A" w:themeShade="95"/>
      </w:rPr>
    </w:tblStylePr>
    <w:tblStylePr w:type="lastRow">
      <w:rPr>
        <w:b/>
        <w:color w:val="ba870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ad1a1a" w:themeColor="accent6" w:themeTint="98" w:themeShade="95"/>
      </w:rPr>
    </w:tblStylePr>
    <w:tblStylePr w:type="firstRow">
      <w:rPr>
        <w:b/>
        <w:color w:val="ad1a1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ad1a1a" w:themeColor="accent6" w:themeTint="98" w:themeShade="95"/>
      </w:rPr>
    </w:tblStylePr>
    <w:tblStylePr w:type="lastRow">
      <w:rPr>
        <w:b/>
        <w:color w:val="ad1a1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0e5e01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Liberation Sans" w:hAnsi="Liberation Sans"/>
        <w:color w:val="0e5e01" w:themeColor="accent1" w:themeShade="95"/>
        <w:sz w:val="22"/>
      </w:rPr>
    </w:tblStylePr>
    <w:tblStylePr w:type="firstCol">
      <w:rPr>
        <w:rFonts w:ascii="Liberation Sans" w:hAnsi="Liberation Sans"/>
        <w:i/>
        <w:color w:val="0e5e0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0e5e0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0e5e01" w:themeColor="accent1" w:themeShade="95"/>
        <w:sz w:val="22"/>
      </w:rPr>
    </w:tblStylePr>
  </w:style>
  <w:style w:type="table" w:styleId="79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0378ae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Liberation Sans" w:hAnsi="Liberation Sans"/>
        <w:color w:val="0378ae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0378ae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0378ae" w:themeColor="accent2" w:themeTint="97" w:themeShade="95"/>
        <w:sz w:val="22"/>
      </w:rPr>
    </w:tblStylePr>
  </w:style>
  <w:style w:type="table" w:styleId="79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ab3b04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Liberation Sans" w:hAnsi="Liberation Sans"/>
        <w:color w:val="ab3b04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ab3b04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b3b04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ab3b04" w:themeColor="accent3" w:themeTint="98" w:themeShade="95"/>
        <w:sz w:val="22"/>
      </w:rPr>
    </w:tblStylePr>
  </w:style>
  <w:style w:type="table" w:styleId="79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9104ab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Liberation Sans" w:hAnsi="Liberation Sans"/>
        <w:color w:val="9104ab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9104ab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104ab" w:themeColor="accent4" w:themeTint="9A" w:themeShade="95"/>
        <w:sz w:val="22"/>
      </w:rPr>
    </w:tblStylePr>
  </w:style>
  <w:style w:type="table" w:styleId="79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ba870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Liberation Sans" w:hAnsi="Liberation Sans"/>
        <w:color w:val="ba870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ba870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a870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ba8700" w:themeColor="accent5" w:themeTint="9A" w:themeShade="95"/>
        <w:sz w:val="22"/>
      </w:rPr>
    </w:tblStylePr>
  </w:style>
  <w:style w:type="table" w:styleId="79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ad1a1a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Liberation Sans" w:hAnsi="Liberation Sans"/>
        <w:color w:val="ad1a1a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d1a1a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d1a1a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ad1a1a" w:themeColor="accent6" w:themeTint="98" w:themeShade="95"/>
        <w:sz w:val="22"/>
      </w:rPr>
    </w:tblStylePr>
  </w:style>
  <w:style w:type="table" w:styleId="79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79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79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79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80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80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80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80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80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80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80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80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80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  <w:pPr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834">
    <w:name w:val="Heading 1"/>
    <w:basedOn w:val="833"/>
    <w:next w:val="833"/>
    <w:qFormat/>
    <w:pPr>
      <w:numPr>
        <w:ilvl w:val="0"/>
        <w:numId w:val="1"/>
      </w:numPr>
      <w:jc w:val="center"/>
      <w:keepNext/>
      <w:tabs>
        <w:tab w:val="left" w:pos="0" w:leader="none"/>
        <w:tab w:val="clear" w:pos="708" w:leader="none"/>
      </w:tabs>
      <w:outlineLvl w:val="0"/>
    </w:pPr>
    <w:rPr>
      <w:b/>
      <w:sz w:val="20"/>
      <w:szCs w:val="20"/>
      <w:lang w:val="ru-RU"/>
    </w:rPr>
  </w:style>
  <w:style w:type="paragraph" w:styleId="835">
    <w:name w:val="Heading 2"/>
    <w:basedOn w:val="833"/>
    <w:next w:val="833"/>
    <w:qFormat/>
    <w:pPr>
      <w:numPr>
        <w:ilvl w:val="1"/>
        <w:numId w:val="1"/>
      </w:numPr>
      <w:keepNext/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  <w:lang w:val="ru-RU"/>
    </w:rPr>
  </w:style>
  <w:style w:type="character" w:styleId="836">
    <w:name w:val="WW8Num4z0"/>
    <w:qFormat/>
    <w:rPr>
      <w:rFonts w:ascii="Symbol" w:hAnsi="Symbol" w:eastAsia="Times New Roman" w:cs="Times New Roman"/>
    </w:rPr>
  </w:style>
  <w:style w:type="character" w:styleId="837">
    <w:name w:val="WW8Num4z1"/>
    <w:qFormat/>
    <w:rPr>
      <w:rFonts w:ascii="Courier New" w:hAnsi="Courier New" w:cs="Courier New"/>
    </w:rPr>
  </w:style>
  <w:style w:type="character" w:styleId="838">
    <w:name w:val="WW8Num4z2"/>
    <w:qFormat/>
    <w:rPr>
      <w:rFonts w:ascii="Wingdings" w:hAnsi="Wingdings" w:cs="Wingdings"/>
    </w:rPr>
  </w:style>
  <w:style w:type="character" w:styleId="839">
    <w:name w:val="WW8Num4z3"/>
    <w:qFormat/>
    <w:rPr>
      <w:rFonts w:ascii="Symbol" w:hAnsi="Symbol" w:cs="Symbol"/>
    </w:rPr>
  </w:style>
  <w:style w:type="character" w:styleId="840">
    <w:name w:val="Основной шрифт абзаца"/>
    <w:qFormat/>
  </w:style>
  <w:style w:type="character" w:styleId="841">
    <w:name w:val="Hyperlink"/>
    <w:rPr>
      <w:color w:val="0000ff"/>
      <w:u w:val="single"/>
    </w:rPr>
  </w:style>
  <w:style w:type="character" w:styleId="842">
    <w:name w:val="Заголовок 1 Знак"/>
    <w:qFormat/>
    <w:rPr>
      <w:b/>
    </w:rPr>
  </w:style>
  <w:style w:type="character" w:styleId="843">
    <w:name w:val="Font Style11"/>
    <w:qFormat/>
    <w:rPr>
      <w:rFonts w:ascii="Times New Roman" w:hAnsi="Times New Roman" w:cs="Times New Roman"/>
      <w:sz w:val="18"/>
      <w:szCs w:val="18"/>
    </w:rPr>
  </w:style>
  <w:style w:type="character" w:styleId="844">
    <w:name w:val="blk"/>
    <w:qFormat/>
  </w:style>
  <w:style w:type="character" w:styleId="845">
    <w:name w:val="Заголовок 2 Знак"/>
    <w:qFormat/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846">
    <w:name w:val="Font Style12"/>
    <w:qFormat/>
    <w:rPr>
      <w:rFonts w:ascii="Calibri" w:hAnsi="Calibri" w:cs="Calibri"/>
      <w:sz w:val="26"/>
      <w:szCs w:val="26"/>
    </w:rPr>
  </w:style>
  <w:style w:type="paragraph" w:styleId="847">
    <w:name w:val="Заголовок"/>
    <w:basedOn w:val="833"/>
    <w:next w:val="848"/>
    <w:qFormat/>
    <w:pPr>
      <w:keepNext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848">
    <w:name w:val="Body Text"/>
    <w:basedOn w:val="833"/>
    <w:pPr>
      <w:spacing w:before="0" w:after="140" w:line="276" w:lineRule="auto"/>
    </w:pPr>
  </w:style>
  <w:style w:type="paragraph" w:styleId="849">
    <w:name w:val="List"/>
    <w:basedOn w:val="848"/>
    <w:rPr>
      <w:rFonts w:cs="Noto Sans Devanagari"/>
    </w:rPr>
  </w:style>
  <w:style w:type="paragraph" w:styleId="850">
    <w:name w:val="Caption"/>
    <w:basedOn w:val="833"/>
    <w:link w:val="689"/>
    <w:qFormat/>
    <w:pPr>
      <w:spacing w:before="120" w:after="120"/>
      <w:suppressLineNumbers/>
    </w:pPr>
    <w:rPr>
      <w:rFonts w:cs="Noto Sans Devanagari"/>
      <w:i/>
      <w:iCs/>
      <w:sz w:val="24"/>
      <w:szCs w:val="24"/>
    </w:rPr>
  </w:style>
  <w:style w:type="paragraph" w:styleId="851">
    <w:name w:val="Указатель"/>
    <w:basedOn w:val="833"/>
    <w:qFormat/>
    <w:pPr>
      <w:suppressLineNumbers/>
    </w:pPr>
    <w:rPr>
      <w:rFonts w:cs="Noto Sans Devanagari"/>
    </w:rPr>
  </w:style>
  <w:style w:type="paragraph" w:styleId="852">
    <w:name w:val="Текст выноски"/>
    <w:basedOn w:val="833"/>
    <w:qFormat/>
    <w:rPr>
      <w:rFonts w:ascii="Tahoma" w:hAnsi="Tahoma" w:cs="Tahoma"/>
      <w:sz w:val="16"/>
      <w:szCs w:val="16"/>
    </w:rPr>
  </w:style>
  <w:style w:type="paragraph" w:styleId="853">
    <w:name w:val="ConsPlusNormal"/>
    <w:qFormat/>
    <w:pPr>
      <w:widowControl/>
    </w:pPr>
    <w:rPr>
      <w:rFonts w:ascii="Arial" w:hAnsi="Arial" w:eastAsia="Calibri" w:cs="Arial"/>
      <w:color w:val="auto"/>
      <w:sz w:val="20"/>
      <w:szCs w:val="20"/>
      <w:lang w:val="ru-RU" w:eastAsia="zh-CN" w:bidi="ar-SA"/>
    </w:rPr>
  </w:style>
  <w:style w:type="paragraph" w:styleId="854">
    <w:name w:val="текст сноски"/>
    <w:basedOn w:val="833"/>
    <w:qFormat/>
    <w:pPr>
      <w:widowControl w:val="off"/>
    </w:pPr>
    <w:rPr>
      <w:rFonts w:ascii="Gelvetsky 12pt;Times New Roman" w:hAnsi="Gelvetsky 12pt;Times New Roman" w:cs="Gelvetsky 12pt;Times New Roman"/>
      <w:szCs w:val="20"/>
      <w:lang w:val="en-US"/>
    </w:rPr>
  </w:style>
  <w:style w:type="paragraph" w:styleId="855">
    <w:name w:val="Без интервала"/>
    <w:qFormat/>
    <w:pPr>
      <w:widowControl/>
    </w:pPr>
    <w:rPr>
      <w:rFonts w:ascii="Calibri" w:hAnsi="Calibri" w:eastAsia="Calibri" w:cs="Calibri"/>
      <w:color w:val="auto"/>
      <w:sz w:val="22"/>
      <w:szCs w:val="22"/>
      <w:lang w:val="ru-RU" w:eastAsia="zh-CN" w:bidi="ar-SA"/>
    </w:rPr>
  </w:style>
  <w:style w:type="paragraph" w:styleId="856">
    <w:name w:val="Содержимое таблицы"/>
    <w:basedOn w:val="833"/>
    <w:qFormat/>
    <w:pPr>
      <w:widowControl w:val="off"/>
      <w:suppressLineNumbers/>
    </w:pPr>
  </w:style>
  <w:style w:type="paragraph" w:styleId="857">
    <w:name w:val="Заголовок таблицы"/>
    <w:basedOn w:val="856"/>
    <w:qFormat/>
    <w:pPr>
      <w:jc w:val="center"/>
      <w:suppressLineNumbers/>
    </w:pPr>
    <w:rPr>
      <w:b/>
      <w:bCs/>
    </w:rPr>
  </w:style>
  <w:style w:type="numbering" w:styleId="858">
    <w:name w:val="WW8Num1"/>
    <w:qFormat/>
  </w:style>
  <w:style w:type="numbering" w:styleId="859">
    <w:name w:val="WW8Num2"/>
    <w:qFormat/>
  </w:style>
  <w:style w:type="numbering" w:styleId="860">
    <w:name w:val="WW8Num3"/>
    <w:qFormat/>
  </w:style>
  <w:style w:type="numbering" w:styleId="861">
    <w:name w:val="WW8Num4"/>
    <w:qFormat/>
  </w:style>
  <w:style w:type="numbering" w:styleId="862">
    <w:name w:val="WW8Num5"/>
    <w:qFormat/>
  </w:style>
  <w:style w:type="numbering" w:styleId="863">
    <w:name w:val="WW8Num6"/>
    <w:qFormat/>
  </w:style>
  <w:style w:type="numbering" w:styleId="864">
    <w:name w:val="WW8Num7"/>
    <w:qFormat/>
  </w:style>
  <w:style w:type="numbering" w:styleId="865">
    <w:name w:val="WW8Num8"/>
    <w:qFormat/>
  </w:style>
  <w:style w:type="numbering" w:styleId="866">
    <w:name w:val="WW8Num9"/>
    <w:qFormat/>
  </w:style>
  <w:style w:type="numbering" w:styleId="867">
    <w:name w:val="WW8Num10"/>
    <w:qFormat/>
  </w:style>
  <w:style w:type="numbering" w:styleId="868">
    <w:name w:val="WW8Num11"/>
    <w:qFormat/>
  </w:style>
  <w:style w:type="numbering" w:styleId="869">
    <w:name w:val="WW8Num12"/>
    <w:qFormat/>
  </w:style>
  <w:style w:type="numbering" w:styleId="870">
    <w:name w:val="WW8Num13"/>
    <w:qFormat/>
  </w:style>
  <w:style w:type="numbering" w:styleId="871">
    <w:name w:val="WW8Num14"/>
    <w:qFormat/>
  </w:style>
  <w:style w:type="numbering" w:styleId="872">
    <w:name w:val="WW8Num15"/>
    <w:qFormat/>
  </w:style>
  <w:style w:type="numbering" w:styleId="873">
    <w:name w:val="WW8Num16"/>
    <w:qFormat/>
  </w:style>
  <w:style w:type="character" w:styleId="874" w:default="1">
    <w:name w:val="Default Paragraph Font"/>
    <w:uiPriority w:val="1"/>
    <w:semiHidden/>
    <w:unhideWhenUsed/>
  </w:style>
  <w:style w:type="numbering" w:styleId="875" w:default="1">
    <w:name w:val="No List"/>
    <w:uiPriority w:val="99"/>
    <w:semiHidden/>
    <w:unhideWhenUsed/>
  </w:style>
  <w:style w:type="table" w:styleId="87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media1.svg"/><Relationship Id="rId11" Type="http://schemas.openxmlformats.org/officeDocument/2006/relationships/image" Target="media/image2.png"/><Relationship Id="rId12" Type="http://schemas.openxmlformats.org/officeDocument/2006/relationships/image" Target="media/media2.svg"/><Relationship Id="rId13" Type="http://schemas.openxmlformats.org/officeDocument/2006/relationships/image" Target="media/image3.png"/><Relationship Id="rId14" Type="http://schemas.openxmlformats.org/officeDocument/2006/relationships/image" Target="media/media3.sv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Normal_x0000_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обеспечения деятельности</dc:title>
  <dc:subject/>
  <dc:creator>Олейник АН</dc:creator>
  <cp:keywords/>
  <dc:description/>
  <dc:language>ru-RU</dc:language>
  <cp:lastModifiedBy>a.nadtochij</cp:lastModifiedBy>
  <cp:revision>74</cp:revision>
  <dcterms:created xsi:type="dcterms:W3CDTF">2019-08-29T16:37:00Z</dcterms:created>
  <dcterms:modified xsi:type="dcterms:W3CDTF">2026-08-10T13:27:24Z</dcterms:modified>
</cp:coreProperties>
</file>