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 (НМЦ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К(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ЦК))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Дата подготовки обоснования НМЦК(ЦК)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3</w:t>
      </w:r>
      <w:bookmarkStart w:id="0" w:name="_GoBack"/>
      <w:r/>
      <w:bookmarkEnd w:id="0"/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05</w:t>
      </w:r>
      <w:r>
        <w:rPr>
          <w:rFonts w:ascii="Times New Roman" w:hAnsi="Times New Roman" w:cs="Times New Roman"/>
          <w:sz w:val="28"/>
          <w:szCs w:val="28"/>
        </w:rPr>
        <w:t xml:space="preserve">.2026</w:t>
      </w:r>
      <w:r>
        <w:rPr>
          <w:rFonts w:ascii="Times New Roman" w:hAnsi="Times New Roman" w:cs="Times New Roman"/>
          <w:sz w:val="28"/>
          <w:szCs w:val="28"/>
        </w:rPr>
        <w:t xml:space="preserve">г.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before="20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Предмет контракта</w:t>
      </w:r>
      <w:r>
        <w:rPr>
          <w:rFonts w:ascii="Times New Roman" w:hAnsi="Times New Roman" w:cs="Times New Roman"/>
          <w:b/>
          <w:sz w:val="28"/>
          <w:szCs w:val="28"/>
        </w:rPr>
        <w:t xml:space="preserve"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Оказание услуг по оценке технического состояния объектов основных сре</w:t>
      </w:r>
      <w:r>
        <w:rPr>
          <w:rFonts w:ascii="Times New Roman" w:hAnsi="Times New Roman" w:cs="Times New Roman"/>
          <w:sz w:val="28"/>
          <w:szCs w:val="28"/>
        </w:rPr>
        <w:t xml:space="preserve">дств дл</w:t>
      </w:r>
      <w:r>
        <w:rPr>
          <w:rFonts w:ascii="Times New Roman" w:hAnsi="Times New Roman" w:cs="Times New Roman"/>
          <w:sz w:val="28"/>
          <w:szCs w:val="28"/>
        </w:rPr>
        <w:t xml:space="preserve">я нужд УФК по Республике Адыгея, УФК по Республике Калмыкия, УФК по Краснодарскому краю, УФК по Астраханской области, УФК по Волгоградской области, УФК по Ростовской области и Межрегионального филиала ФКУ «ЦОКР» в г. Ростове-на-Дону (в сфере ИКТ)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before="20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Используемый метод определения НМЦ</w:t>
      </w:r>
      <w:r>
        <w:rPr>
          <w:rFonts w:ascii="Times New Roman" w:hAnsi="Times New Roman" w:cs="Times New Roman"/>
          <w:b/>
          <w:sz w:val="28"/>
          <w:szCs w:val="28"/>
        </w:rPr>
        <w:t xml:space="preserve">К(</w:t>
      </w:r>
      <w:r>
        <w:rPr>
          <w:rFonts w:ascii="Times New Roman" w:hAnsi="Times New Roman" w:cs="Times New Roman"/>
          <w:b/>
          <w:sz w:val="28"/>
          <w:szCs w:val="28"/>
        </w:rPr>
        <w:t xml:space="preserve">ЦК)</w:t>
      </w:r>
      <w:r>
        <w:rPr>
          <w:b/>
          <w:sz w:val="28"/>
          <w:szCs w:val="28"/>
        </w:rPr>
        <w:t xml:space="preserve">: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метод сопоставимых рыночных цен (анализа рынка).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before="20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Реквизиты запросов ценовой информации (в </w:t>
      </w:r>
      <w:r>
        <w:rPr>
          <w:rFonts w:ascii="Times New Roman" w:hAnsi="Times New Roman" w:cs="Times New Roman"/>
          <w:b/>
          <w:sz w:val="28"/>
          <w:szCs w:val="28"/>
        </w:rPr>
        <w:t xml:space="preserve">т.ч</w:t>
      </w:r>
      <w:r>
        <w:rPr>
          <w:rFonts w:ascii="Times New Roman" w:hAnsi="Times New Roman" w:cs="Times New Roman"/>
          <w:b/>
          <w:sz w:val="28"/>
          <w:szCs w:val="28"/>
        </w:rPr>
        <w:t xml:space="preserve">. в ЕИС)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Запрос направлен в 5</w:t>
      </w:r>
      <w:r>
        <w:rPr>
          <w:rFonts w:ascii="Times New Roman" w:hAnsi="Times New Roman" w:cs="Times New Roman"/>
          <w:sz w:val="28"/>
          <w:szCs w:val="28"/>
        </w:rPr>
        <w:t xml:space="preserve"> организаций исх.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12.05</w:t>
      </w:r>
      <w:r>
        <w:rPr>
          <w:rFonts w:ascii="Times New Roman" w:hAnsi="Times New Roman" w:cs="Times New Roman"/>
          <w:sz w:val="28"/>
          <w:szCs w:val="28"/>
        </w:rPr>
        <w:t xml:space="preserve">.2026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6-09-14/2218</w:t>
      </w:r>
      <w:r>
        <w:rPr>
          <w:rFonts w:ascii="Times New Roman" w:hAnsi="Times New Roman" w:cs="Times New Roman"/>
          <w:sz w:val="28"/>
          <w:szCs w:val="28"/>
        </w:rPr>
        <w:t xml:space="preserve">, запрос цен на ЕИС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12.05</w:t>
      </w:r>
      <w:r>
        <w:rPr>
          <w:rFonts w:ascii="Times New Roman" w:hAnsi="Times New Roman" w:cs="Times New Roman"/>
          <w:sz w:val="28"/>
          <w:szCs w:val="28"/>
        </w:rPr>
        <w:t xml:space="preserve">.2026 </w:t>
      </w:r>
      <w:r>
        <w:rPr>
          <w:rFonts w:ascii="Times New Roman" w:hAnsi="Times New Roman" w:cs="Times New Roman"/>
          <w:sz w:val="28"/>
          <w:szCs w:val="28"/>
        </w:rPr>
        <w:t xml:space="preserve"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0858400000126000216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before="20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 получен от 3 орган</w:t>
      </w:r>
      <w:r>
        <w:rPr>
          <w:rFonts w:ascii="Times New Roman" w:hAnsi="Times New Roman" w:cs="Times New Roman"/>
          <w:sz w:val="28"/>
          <w:szCs w:val="28"/>
        </w:rPr>
        <w:t xml:space="preserve">изаций: Источник № 1 – </w:t>
      </w:r>
      <w:r>
        <w:rPr>
          <w:rFonts w:ascii="Times New Roman" w:hAnsi="Times New Roman" w:cs="Times New Roman"/>
          <w:sz w:val="28"/>
          <w:szCs w:val="28"/>
        </w:rPr>
        <w:t xml:space="preserve">вх</w:t>
      </w:r>
      <w:r>
        <w:rPr>
          <w:rFonts w:ascii="Times New Roman" w:hAnsi="Times New Roman" w:cs="Times New Roman"/>
          <w:sz w:val="28"/>
          <w:szCs w:val="28"/>
        </w:rPr>
        <w:t xml:space="preserve">. от 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.05</w:t>
      </w:r>
      <w:r>
        <w:rPr>
          <w:rFonts w:ascii="Times New Roman" w:hAnsi="Times New Roman" w:cs="Times New Roman"/>
          <w:sz w:val="28"/>
          <w:szCs w:val="28"/>
        </w:rPr>
        <w:t xml:space="preserve">.2026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 xml:space="preserve">5212</w:t>
      </w:r>
      <w:r>
        <w:rPr>
          <w:rFonts w:ascii="Times New Roman" w:hAnsi="Times New Roman" w:cs="Times New Roman"/>
          <w:sz w:val="28"/>
          <w:szCs w:val="28"/>
        </w:rPr>
        <w:t xml:space="preserve">, Источник № 2 – </w:t>
      </w:r>
      <w:r>
        <w:rPr>
          <w:rFonts w:ascii="Times New Roman" w:hAnsi="Times New Roman" w:cs="Times New Roman"/>
          <w:sz w:val="28"/>
          <w:szCs w:val="28"/>
        </w:rPr>
        <w:t xml:space="preserve">вх</w:t>
      </w:r>
      <w:r>
        <w:rPr>
          <w:rFonts w:ascii="Times New Roman" w:hAnsi="Times New Roman" w:cs="Times New Roman"/>
          <w:sz w:val="28"/>
          <w:szCs w:val="28"/>
        </w:rPr>
        <w:t xml:space="preserve">. от 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.05</w:t>
      </w:r>
      <w:r>
        <w:rPr>
          <w:rFonts w:ascii="Times New Roman" w:hAnsi="Times New Roman" w:cs="Times New Roman"/>
          <w:sz w:val="28"/>
          <w:szCs w:val="28"/>
        </w:rPr>
        <w:t xml:space="preserve">.2026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 xml:space="preserve">5210</w:t>
      </w:r>
      <w:r>
        <w:rPr>
          <w:rFonts w:ascii="Times New Roman" w:hAnsi="Times New Roman" w:cs="Times New Roman"/>
          <w:sz w:val="28"/>
          <w:szCs w:val="28"/>
        </w:rPr>
        <w:t xml:space="preserve">, Источник № 3 – </w:t>
      </w:r>
      <w:r>
        <w:rPr>
          <w:rFonts w:ascii="Times New Roman" w:hAnsi="Times New Roman" w:cs="Times New Roman"/>
          <w:sz w:val="28"/>
          <w:szCs w:val="28"/>
        </w:rPr>
        <w:t xml:space="preserve">вх</w:t>
      </w:r>
      <w:r>
        <w:rPr>
          <w:rFonts w:ascii="Times New Roman" w:hAnsi="Times New Roman" w:cs="Times New Roman"/>
          <w:sz w:val="28"/>
          <w:szCs w:val="28"/>
        </w:rPr>
        <w:t xml:space="preserve">. от 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.05</w:t>
      </w:r>
      <w:r>
        <w:rPr>
          <w:rFonts w:ascii="Times New Roman" w:hAnsi="Times New Roman" w:cs="Times New Roman"/>
          <w:sz w:val="28"/>
          <w:szCs w:val="28"/>
        </w:rPr>
        <w:t xml:space="preserve">.2026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 xml:space="preserve">5211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before="20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Расчет НМЦК (ЦК) произведен по наименьшему коммерческому предложению Источник № 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before="20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5000" w:type="pct"/>
        <w:tblInd w:w="64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389"/>
        <w:gridCol w:w="602"/>
        <w:gridCol w:w="1984"/>
        <w:gridCol w:w="356"/>
        <w:gridCol w:w="779"/>
        <w:gridCol w:w="614"/>
        <w:gridCol w:w="1384"/>
        <w:gridCol w:w="1387"/>
        <w:gridCol w:w="1393"/>
        <w:gridCol w:w="697"/>
        <w:gridCol w:w="1187"/>
        <w:gridCol w:w="1140"/>
        <w:gridCol w:w="1137"/>
        <w:gridCol w:w="852"/>
        <w:gridCol w:w="794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2" w:type="pct"/>
            <w:vMerge w:val="restart"/>
            <w:textDirection w:val="lrTb"/>
            <w:noWrap w:val="false"/>
          </w:tcPr>
          <w:p>
            <w:pPr>
              <w:jc w:val="center"/>
              <w:spacing w:before="200"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№</w:t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</w:p>
          <w:p>
            <w:pPr>
              <w:jc w:val="center"/>
              <w:spacing w:before="200"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п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/п</w:t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5" w:type="pct"/>
            <w:vMerge w:val="restart"/>
            <w:textDirection w:val="lrTb"/>
            <w:noWrap w:val="false"/>
          </w:tcPr>
          <w:p>
            <w:pPr>
              <w:jc w:val="center"/>
              <w:spacing w:before="200"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Наименование товара, работы, услуги по КТРУ</w:t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5" w:type="pct"/>
            <w:vMerge w:val="restart"/>
            <w:textDirection w:val="lrTb"/>
            <w:noWrap w:val="false"/>
          </w:tcPr>
          <w:p>
            <w:pPr>
              <w:jc w:val="center"/>
              <w:spacing w:before="200"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Наименование товара, работы, услуги согласно описанию объекта закупки</w:t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21" w:type="pct"/>
            <w:vMerge w:val="restart"/>
            <w:textDirection w:val="lrTb"/>
            <w:noWrap w:val="false"/>
          </w:tcPr>
          <w:p>
            <w:pPr>
              <w:jc w:val="center"/>
              <w:spacing w:before="200"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Типовая 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принад-лежность</w:t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5" w:type="pct"/>
            <w:vMerge w:val="restart"/>
            <w:textDirection w:val="lrTb"/>
            <w:noWrap w:val="false"/>
          </w:tcPr>
          <w:p>
            <w:pPr>
              <w:jc w:val="center"/>
              <w:spacing w:before="200"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Единица измерений</w:t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9" w:type="pct"/>
            <w:vMerge w:val="restart"/>
            <w:textDirection w:val="lrTb"/>
            <w:noWrap w:val="false"/>
          </w:tcPr>
          <w:p>
            <w:pPr>
              <w:jc w:val="center"/>
              <w:spacing w:before="200"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Кол-во</w:t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</w:p>
        </w:tc>
        <w:tc>
          <w:tcPr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3" w:type="pct"/>
            <w:textDirection w:val="lrTb"/>
            <w:noWrap w:val="false"/>
          </w:tcPr>
          <w:p>
            <w:pPr>
              <w:jc w:val="center"/>
              <w:spacing w:before="200"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Расчет НМЦ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К(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ЦК)</w:t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90" w:type="pct"/>
            <w:vMerge w:val="restart"/>
            <w:textDirection w:val="lrTb"/>
            <w:noWrap w:val="false"/>
          </w:tcPr>
          <w:p>
            <w:pPr>
              <w:jc w:val="center"/>
              <w:spacing w:before="200"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Итого цена единицы товара (работы, услуги) в том числе с учетом ЛБО (руб.)</w:t>
            </w:r>
            <w:r>
              <w:rPr>
                <w:rFonts w:ascii="Times New Roman" w:hAnsi="Times New Roman" w:cs="Times New Roman"/>
                <w:sz w:val="20"/>
                <w:szCs w:val="28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0" w:type="pct"/>
            <w:vMerge w:val="restart"/>
            <w:textDirection w:val="lrTb"/>
            <w:noWrap w:val="false"/>
          </w:tcPr>
          <w:p>
            <w:pPr>
              <w:jc w:val="center"/>
              <w:spacing w:before="200"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Всего</w:t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</w:p>
          <w:p>
            <w:pPr>
              <w:jc w:val="center"/>
              <w:spacing w:before="200"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НМЦК (ЦК) с учетом ЛБО (руб.)</w:t>
            </w:r>
            <w:r>
              <w:rPr>
                <w:rFonts w:ascii="Times New Roman" w:hAnsi="Times New Roman" w:cs="Times New Roman"/>
                <w:sz w:val="20"/>
                <w:szCs w:val="28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</w:p>
        </w:tc>
      </w:tr>
      <w:tr>
        <w:tblPrEx/>
        <w:trPr>
          <w:trHeight w:val="23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2" w:type="pct"/>
            <w:vMerge w:val="continue"/>
            <w:textDirection w:val="lrTb"/>
            <w:noWrap w:val="false"/>
          </w:tcPr>
          <w:p>
            <w:pPr>
              <w:spacing w:before="200"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5" w:type="pct"/>
            <w:vMerge w:val="continue"/>
            <w:textDirection w:val="lrTb"/>
            <w:noWrap w:val="false"/>
          </w:tcPr>
          <w:p>
            <w:pPr>
              <w:spacing w:before="200"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5" w:type="pct"/>
            <w:vMerge w:val="continue"/>
            <w:textDirection w:val="lrTb"/>
            <w:noWrap w:val="false"/>
          </w:tcPr>
          <w:p>
            <w:pPr>
              <w:spacing w:before="200"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21" w:type="pct"/>
            <w:vMerge w:val="continue"/>
            <w:textDirection w:val="lrTb"/>
            <w:noWrap w:val="false"/>
          </w:tcPr>
          <w:p>
            <w:pPr>
              <w:spacing w:before="200"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5" w:type="pct"/>
            <w:vMerge w:val="continue"/>
            <w:textDirection w:val="lrTb"/>
            <w:noWrap w:val="false"/>
          </w:tcPr>
          <w:p>
            <w:pPr>
              <w:spacing w:before="200"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9" w:type="pct"/>
            <w:vMerge w:val="continue"/>
            <w:textDirection w:val="lrTb"/>
            <w:noWrap w:val="false"/>
          </w:tcPr>
          <w:p>
            <w:pPr>
              <w:spacing w:before="200"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pct"/>
            <w:textDirection w:val="lrTb"/>
            <w:noWrap w:val="false"/>
          </w:tcPr>
          <w:p>
            <w:pPr>
              <w:jc w:val="center"/>
              <w:spacing w:before="200"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Ценовые значения анализа рынка</w:t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7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00"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Коэфф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. вариации (v)</w:t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4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00"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Наименьшая рыночная 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цена за единицу</w:t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</w:p>
          <w:p>
            <w:pPr>
              <w:jc w:val="center"/>
              <w:spacing w:before="200"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(руб.)</w:t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88" w:type="pct"/>
            <w:vMerge w:val="restart"/>
            <w:textDirection w:val="lrTb"/>
            <w:noWrap w:val="false"/>
          </w:tcPr>
          <w:p>
            <w:pPr>
              <w:jc w:val="center"/>
              <w:spacing w:before="200"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Цена за единицу с учетом нормативных затрат</w:t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7" w:type="pct"/>
            <w:vMerge w:val="restart"/>
            <w:textDirection w:val="lrTb"/>
            <w:noWrap w:val="false"/>
          </w:tcPr>
          <w:p>
            <w:pPr>
              <w:jc w:val="center"/>
              <w:spacing w:before="200"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Итоговое значение НМЦК (ЦК) (руб.)</w:t>
            </w:r>
            <w:r>
              <w:rPr>
                <w:rFonts w:ascii="Times New Roman" w:hAnsi="Times New Roman" w:cs="Times New Roman"/>
                <w:sz w:val="20"/>
                <w:szCs w:val="28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0" w:type="pct"/>
            <w:vMerge w:val="continue"/>
            <w:textDirection w:val="lrTb"/>
            <w:noWrap w:val="false"/>
          </w:tcPr>
          <w:p>
            <w:pPr>
              <w:spacing w:before="200"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0" w:type="pct"/>
            <w:vMerge w:val="continue"/>
            <w:textDirection w:val="lrTb"/>
            <w:noWrap w:val="false"/>
          </w:tcPr>
          <w:p>
            <w:pPr>
              <w:spacing w:before="200"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</w:p>
        </w:tc>
      </w:tr>
      <w:tr>
        <w:tblPrEx/>
        <w:trPr>
          <w:trHeight w:val="7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2" w:type="pct"/>
            <w:vMerge w:val="continue"/>
            <w:textDirection w:val="lrTb"/>
            <w:noWrap w:val="false"/>
          </w:tcPr>
          <w:p>
            <w:pPr>
              <w:spacing w:before="200"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5" w:type="pct"/>
            <w:vMerge w:val="continue"/>
            <w:textDirection w:val="lrTb"/>
            <w:noWrap w:val="false"/>
          </w:tcPr>
          <w:p>
            <w:pPr>
              <w:spacing w:before="200"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5" w:type="pct"/>
            <w:vMerge w:val="continue"/>
            <w:textDirection w:val="lrTb"/>
            <w:noWrap w:val="false"/>
          </w:tcPr>
          <w:p>
            <w:pPr>
              <w:spacing w:before="200"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21" w:type="pct"/>
            <w:vMerge w:val="continue"/>
            <w:textDirection w:val="lrTb"/>
            <w:noWrap w:val="false"/>
          </w:tcPr>
          <w:p>
            <w:pPr>
              <w:spacing w:before="200"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5" w:type="pct"/>
            <w:vMerge w:val="continue"/>
            <w:textDirection w:val="lrTb"/>
            <w:noWrap w:val="false"/>
          </w:tcPr>
          <w:p>
            <w:pPr>
              <w:spacing w:before="200"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9" w:type="pct"/>
            <w:vMerge w:val="continue"/>
            <w:textDirection w:val="lrTb"/>
            <w:noWrap w:val="false"/>
          </w:tcPr>
          <w:p>
            <w:pPr>
              <w:spacing w:before="200"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Источник № 1</w:t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2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Источник № 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Источник № 3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7" w:type="pct"/>
            <w:vMerge w:val="continue"/>
            <w:textDirection w:val="lrTb"/>
            <w:noWrap w:val="false"/>
          </w:tcPr>
          <w:p>
            <w:pPr>
              <w:spacing w:before="200"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4" w:type="pct"/>
            <w:vMerge w:val="continue"/>
            <w:textDirection w:val="lrTb"/>
            <w:noWrap w:val="false"/>
          </w:tcPr>
          <w:p>
            <w:pPr>
              <w:spacing w:before="200"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88" w:type="pct"/>
            <w:vMerge w:val="continue"/>
            <w:textDirection w:val="lrTb"/>
            <w:noWrap w:val="false"/>
          </w:tcPr>
          <w:p>
            <w:pPr>
              <w:spacing w:before="200"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7" w:type="pct"/>
            <w:vMerge w:val="continue"/>
            <w:textDirection w:val="lrTb"/>
            <w:noWrap w:val="false"/>
          </w:tcPr>
          <w:p>
            <w:pPr>
              <w:spacing w:before="200"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0" w:type="pct"/>
            <w:vMerge w:val="continue"/>
            <w:textDirection w:val="lrTb"/>
            <w:noWrap w:val="false"/>
          </w:tcPr>
          <w:p>
            <w:pPr>
              <w:spacing w:before="200"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0" w:type="pct"/>
            <w:vMerge w:val="continue"/>
            <w:textDirection w:val="lrTb"/>
            <w:noWrap w:val="false"/>
          </w:tcPr>
          <w:p>
            <w:pPr>
              <w:spacing w:before="200"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2" w:type="pct"/>
            <w:vMerge w:val="continue"/>
            <w:textDirection w:val="lrTb"/>
            <w:noWrap w:val="false"/>
          </w:tcPr>
          <w:p>
            <w:pPr>
              <w:spacing w:before="200"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5" w:type="pct"/>
            <w:vMerge w:val="continue"/>
            <w:textDirection w:val="lrTb"/>
            <w:noWrap w:val="false"/>
          </w:tcPr>
          <w:p>
            <w:pPr>
              <w:spacing w:before="200"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5" w:type="pct"/>
            <w:vMerge w:val="continue"/>
            <w:textDirection w:val="lrTb"/>
            <w:noWrap w:val="false"/>
          </w:tcPr>
          <w:p>
            <w:pPr>
              <w:spacing w:before="200"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" w:type="pct"/>
            <w:vMerge w:val="continue"/>
            <w:textDirection w:val="lrTb"/>
            <w:noWrap w:val="false"/>
          </w:tcPr>
          <w:p>
            <w:pPr>
              <w:spacing w:before="200"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5" w:type="pct"/>
            <w:vMerge w:val="continue"/>
            <w:textDirection w:val="lrTb"/>
            <w:noWrap w:val="false"/>
          </w:tcPr>
          <w:p>
            <w:pPr>
              <w:spacing w:before="200"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9" w:type="pct"/>
            <w:vMerge w:val="continue"/>
            <w:textDirection w:val="lrTb"/>
            <w:noWrap w:val="false"/>
          </w:tcPr>
          <w:p>
            <w:pPr>
              <w:spacing w:before="200"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1" w:type="pct"/>
            <w:vAlign w:val="center"/>
            <w:textDirection w:val="lrTb"/>
            <w:noWrap w:val="false"/>
          </w:tcPr>
          <w:p>
            <w:pPr>
              <w:jc w:val="center"/>
              <w:spacing w:before="200"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Цена за ед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.(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руб.)</w:t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2" w:type="pct"/>
            <w:vAlign w:val="center"/>
            <w:textDirection w:val="lrTb"/>
            <w:noWrap w:val="false"/>
          </w:tcPr>
          <w:p>
            <w:pPr>
              <w:jc w:val="center"/>
              <w:spacing w:before="200"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Цена за ед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.(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руб.)</w:t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4" w:type="pct"/>
            <w:vAlign w:val="center"/>
            <w:textDirection w:val="lrTb"/>
            <w:noWrap w:val="false"/>
          </w:tcPr>
          <w:p>
            <w:pPr>
              <w:jc w:val="center"/>
              <w:spacing w:before="200"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Цена за ед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.(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руб.)</w:t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7" w:type="pct"/>
            <w:vMerge w:val="continue"/>
            <w:textDirection w:val="lrTb"/>
            <w:noWrap w:val="false"/>
          </w:tcPr>
          <w:p>
            <w:pPr>
              <w:spacing w:before="200"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4" w:type="pct"/>
            <w:vMerge w:val="continue"/>
            <w:textDirection w:val="lrTb"/>
            <w:noWrap w:val="false"/>
          </w:tcPr>
          <w:p>
            <w:pPr>
              <w:spacing w:before="200"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8" w:type="pct"/>
            <w:vMerge w:val="continue"/>
            <w:textDirection w:val="lrTb"/>
            <w:noWrap w:val="false"/>
          </w:tcPr>
          <w:p>
            <w:pPr>
              <w:spacing w:before="200"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7" w:type="pct"/>
            <w:vMerge w:val="continue"/>
            <w:textDirection w:val="lrTb"/>
            <w:noWrap w:val="false"/>
          </w:tcPr>
          <w:p>
            <w:pPr>
              <w:spacing w:before="200"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0" w:type="pct"/>
            <w:vMerge w:val="continue"/>
            <w:textDirection w:val="lrTb"/>
            <w:noWrap w:val="false"/>
          </w:tcPr>
          <w:p>
            <w:pPr>
              <w:spacing w:before="200"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0" w:type="pct"/>
            <w:vMerge w:val="continue"/>
            <w:textDirection w:val="lrTb"/>
            <w:noWrap w:val="false"/>
          </w:tcPr>
          <w:p>
            <w:pPr>
              <w:spacing w:before="200"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2" w:type="pct"/>
            <w:textDirection w:val="lrTb"/>
            <w:noWrap w:val="false"/>
          </w:tcPr>
          <w:p>
            <w:pPr>
              <w:jc w:val="center"/>
              <w:spacing w:before="200"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5" w:type="pct"/>
            <w:textDirection w:val="lrTb"/>
            <w:noWrap w:val="false"/>
          </w:tcPr>
          <w:p>
            <w:pPr>
              <w:jc w:val="center"/>
              <w:spacing w:before="200"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5" w:type="pct"/>
            <w:textDirection w:val="lrTb"/>
            <w:noWrap w:val="false"/>
          </w:tcPr>
          <w:p>
            <w:pPr>
              <w:jc w:val="center"/>
              <w:spacing w:before="200"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" w:type="pct"/>
            <w:textDirection w:val="lrTb"/>
            <w:noWrap w:val="false"/>
          </w:tcPr>
          <w:p>
            <w:pPr>
              <w:jc w:val="center"/>
              <w:spacing w:before="200"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5" w:type="pct"/>
            <w:textDirection w:val="lrTb"/>
            <w:noWrap w:val="false"/>
          </w:tcPr>
          <w:p>
            <w:pPr>
              <w:jc w:val="center"/>
              <w:spacing w:before="200"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9" w:type="pct"/>
            <w:textDirection w:val="lrTb"/>
            <w:noWrap w:val="false"/>
          </w:tcPr>
          <w:p>
            <w:pPr>
              <w:jc w:val="center"/>
              <w:spacing w:before="200"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6</w:t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1" w:type="pct"/>
            <w:vAlign w:val="center"/>
            <w:textDirection w:val="lrTb"/>
            <w:noWrap w:val="false"/>
          </w:tcPr>
          <w:p>
            <w:pPr>
              <w:jc w:val="center"/>
              <w:spacing w:before="200"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7</w:t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2" w:type="pct"/>
            <w:vAlign w:val="center"/>
            <w:textDirection w:val="lrTb"/>
            <w:noWrap w:val="false"/>
          </w:tcPr>
          <w:p>
            <w:pPr>
              <w:jc w:val="center"/>
              <w:spacing w:before="200"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8</w:t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4" w:type="pct"/>
            <w:vAlign w:val="center"/>
            <w:textDirection w:val="lrTb"/>
            <w:noWrap w:val="false"/>
          </w:tcPr>
          <w:p>
            <w:pPr>
              <w:jc w:val="center"/>
              <w:spacing w:before="200"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9</w:t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7" w:type="pct"/>
            <w:textDirection w:val="lrTb"/>
            <w:noWrap w:val="false"/>
          </w:tcPr>
          <w:p>
            <w:pPr>
              <w:jc w:val="center"/>
              <w:spacing w:before="200"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10</w:t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4" w:type="pct"/>
            <w:textDirection w:val="lrTb"/>
            <w:noWrap w:val="false"/>
          </w:tcPr>
          <w:p>
            <w:pPr>
              <w:jc w:val="center"/>
              <w:spacing w:before="200"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11</w:t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8" w:type="pct"/>
            <w:textDirection w:val="lrTb"/>
            <w:noWrap w:val="false"/>
          </w:tcPr>
          <w:p>
            <w:pPr>
              <w:jc w:val="center"/>
              <w:spacing w:before="200"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12</w:t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7" w:type="pct"/>
            <w:textDirection w:val="lrTb"/>
            <w:noWrap w:val="false"/>
          </w:tcPr>
          <w:p>
            <w:pPr>
              <w:jc w:val="center"/>
              <w:spacing w:before="200"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13</w:t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0" w:type="pct"/>
            <w:textDirection w:val="lrTb"/>
            <w:noWrap w:val="false"/>
          </w:tcPr>
          <w:p>
            <w:pPr>
              <w:jc w:val="center"/>
              <w:spacing w:before="200"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14</w:t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0" w:type="pct"/>
            <w:textDirection w:val="lrTb"/>
            <w:noWrap w:val="false"/>
          </w:tcPr>
          <w:p>
            <w:pPr>
              <w:jc w:val="center"/>
              <w:spacing w:before="200"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15</w:t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2" w:type="pct"/>
            <w:textDirection w:val="lrTb"/>
            <w:noWrap w:val="false"/>
          </w:tcPr>
          <w:p>
            <w:pPr>
              <w:jc w:val="center"/>
              <w:spacing w:before="200"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5" w:type="pct"/>
            <w:vAlign w:val="center"/>
            <w:textDirection w:val="lrTb"/>
            <w:noWrap w:val="false"/>
          </w:tcPr>
          <w:p>
            <w:pPr>
              <w:jc w:val="center"/>
              <w:spacing w:before="200"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5" w:type="pct"/>
            <w:vAlign w:val="center"/>
            <w:textDirection w:val="lrTb"/>
            <w:noWrap w:val="false"/>
          </w:tcPr>
          <w:p>
            <w:pPr>
              <w:jc w:val="center"/>
              <w:spacing w:before="200"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Оказание услуг по оценке технического состояния объектов основных сре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дств дл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 нужд УФК по Республике Адыгея, УФК по Республике Калмыкия, УФК по Краснодарскому краю, УФК по Астраханской области, УФК по Волгоградской области, УФК по Ростовской области и Межрегионального филиала ФКУ «ЦОКР» в г. Ростове-на-Дону (в сфере ИКТ)</w:t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" w:type="pct"/>
            <w:vAlign w:val="center"/>
            <w:textDirection w:val="lrTb"/>
            <w:noWrap w:val="false"/>
          </w:tcPr>
          <w:p>
            <w:pPr>
              <w:jc w:val="center"/>
              <w:spacing w:before="200"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5" w:type="pct"/>
            <w:vAlign w:val="center"/>
            <w:textDirection w:val="lrTb"/>
            <w:noWrap w:val="false"/>
          </w:tcPr>
          <w:p>
            <w:pPr>
              <w:jc w:val="center"/>
              <w:spacing w:before="200"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9" w:type="pct"/>
            <w:vAlign w:val="center"/>
            <w:textDirection w:val="lrTb"/>
            <w:noWrap w:val="false"/>
          </w:tcPr>
          <w:p>
            <w:pPr>
              <w:jc w:val="center"/>
              <w:spacing w:before="2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1616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11,18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36,00</w:t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,00</w:t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58 176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,00</w:t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07" w:type="pct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58 176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64 640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72 720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9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</w:rPr>
              <w:t xml:space="preserve">Итого НМЦК (ЦК):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58 176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,00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r>
          </w:p>
        </w:tc>
      </w:tr>
    </w:tbl>
    <w:p>
      <w:pPr>
        <w:spacing w:before="20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Итого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58 </w:t>
      </w:r>
      <w:r>
        <w:rPr>
          <w:rFonts w:ascii="Times New Roman" w:hAnsi="Times New Roman" w:cs="Times New Roman"/>
          <w:sz w:val="28"/>
          <w:szCs w:val="28"/>
        </w:rPr>
        <w:t xml:space="preserve">176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</w:t>
      </w:r>
      <w:r>
        <w:rPr>
          <w:rFonts w:ascii="Times New Roman" w:hAnsi="Times New Roman" w:cs="Times New Roman"/>
          <w:sz w:val="28"/>
          <w:szCs w:val="28"/>
        </w:rPr>
        <w:t xml:space="preserve">Пятьдесят восемь тысяч </w:t>
      </w:r>
      <w:r>
        <w:rPr>
          <w:rFonts w:ascii="Times New Roman" w:hAnsi="Times New Roman" w:cs="Times New Roman"/>
          <w:sz w:val="28"/>
          <w:szCs w:val="28"/>
        </w:rPr>
        <w:t xml:space="preserve">сто семьдесят шесть</w:t>
      </w:r>
      <w:r>
        <w:rPr>
          <w:rFonts w:ascii="Times New Roman" w:hAnsi="Times New Roman" w:cs="Times New Roman"/>
          <w:sz w:val="28"/>
          <w:szCs w:val="28"/>
        </w:rPr>
        <w:t xml:space="preserve">) рублей</w:t>
      </w:r>
      <w:r>
        <w:rPr>
          <w:rFonts w:ascii="Times New Roman" w:hAnsi="Times New Roman" w:cs="Times New Roman"/>
          <w:sz w:val="28"/>
          <w:szCs w:val="28"/>
        </w:rPr>
        <w:t xml:space="preserve"> 00 копеек.</w:t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6839" w:h="11907" w:orient="landscape"/>
      <w:pgMar w:top="567" w:right="1134" w:bottom="850" w:left="1134" w:header="0" w:footer="0" w:gutter="0"/>
      <w:pgNumType w:start="27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53"/>
    <w:next w:val="653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54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53"/>
    <w:next w:val="65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54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53"/>
    <w:next w:val="65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54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53"/>
    <w:next w:val="65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54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53"/>
    <w:next w:val="65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54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53"/>
    <w:next w:val="65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54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53"/>
    <w:next w:val="65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54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53"/>
    <w:next w:val="65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54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53"/>
    <w:next w:val="65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54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53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53"/>
    <w:next w:val="65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54"/>
    <w:link w:val="34"/>
    <w:uiPriority w:val="10"/>
    <w:rPr>
      <w:sz w:val="48"/>
      <w:szCs w:val="48"/>
    </w:rPr>
  </w:style>
  <w:style w:type="paragraph" w:styleId="36">
    <w:name w:val="Subtitle"/>
    <w:basedOn w:val="653"/>
    <w:next w:val="65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54"/>
    <w:link w:val="36"/>
    <w:uiPriority w:val="11"/>
    <w:rPr>
      <w:sz w:val="24"/>
      <w:szCs w:val="24"/>
    </w:rPr>
  </w:style>
  <w:style w:type="paragraph" w:styleId="38">
    <w:name w:val="Quote"/>
    <w:basedOn w:val="653"/>
    <w:next w:val="65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53"/>
    <w:next w:val="65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54"/>
    <w:link w:val="661"/>
    <w:uiPriority w:val="99"/>
  </w:style>
  <w:style w:type="character" w:styleId="45">
    <w:name w:val="Footer Char"/>
    <w:basedOn w:val="654"/>
    <w:link w:val="663"/>
    <w:uiPriority w:val="99"/>
  </w:style>
  <w:style w:type="paragraph" w:styleId="46">
    <w:name w:val="Caption"/>
    <w:basedOn w:val="653"/>
    <w:next w:val="653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54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5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5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5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character" w:styleId="176">
    <w:name w:val="Footnote Text Char"/>
    <w:link w:val="657"/>
    <w:uiPriority w:val="99"/>
    <w:rPr>
      <w:sz w:val="18"/>
    </w:rPr>
  </w:style>
  <w:style w:type="paragraph" w:styleId="178">
    <w:name w:val="endnote text"/>
    <w:basedOn w:val="65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54"/>
    <w:uiPriority w:val="99"/>
    <w:semiHidden/>
    <w:unhideWhenUsed/>
    <w:rPr>
      <w:vertAlign w:val="superscript"/>
    </w:rPr>
  </w:style>
  <w:style w:type="paragraph" w:styleId="181">
    <w:name w:val="toc 1"/>
    <w:basedOn w:val="653"/>
    <w:next w:val="65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53"/>
    <w:next w:val="65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53"/>
    <w:next w:val="65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53"/>
    <w:next w:val="65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53"/>
    <w:next w:val="65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53"/>
    <w:next w:val="65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53"/>
    <w:next w:val="65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53"/>
    <w:next w:val="65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53"/>
    <w:next w:val="65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53"/>
    <w:next w:val="653"/>
    <w:uiPriority w:val="99"/>
    <w:unhideWhenUsed/>
    <w:pPr>
      <w:spacing w:after="0" w:afterAutospacing="0"/>
    </w:pPr>
  </w:style>
  <w:style w:type="paragraph" w:styleId="653" w:default="1">
    <w:name w:val="Normal"/>
    <w:qFormat/>
  </w:style>
  <w:style w:type="character" w:styleId="654" w:default="1">
    <w:name w:val="Default Paragraph Font"/>
    <w:uiPriority w:val="1"/>
    <w:semiHidden/>
    <w:unhideWhenUsed/>
  </w:style>
  <w:style w:type="table" w:styleId="65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56" w:default="1">
    <w:name w:val="No List"/>
    <w:uiPriority w:val="99"/>
    <w:semiHidden/>
    <w:unhideWhenUsed/>
  </w:style>
  <w:style w:type="paragraph" w:styleId="657">
    <w:name w:val="footnote text"/>
    <w:basedOn w:val="653"/>
    <w:link w:val="658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658" w:customStyle="1">
    <w:name w:val="Текст сноски Знак"/>
    <w:basedOn w:val="654"/>
    <w:link w:val="657"/>
    <w:uiPriority w:val="99"/>
    <w:semiHidden/>
    <w:rPr>
      <w:sz w:val="20"/>
      <w:szCs w:val="20"/>
    </w:rPr>
  </w:style>
  <w:style w:type="character" w:styleId="659">
    <w:name w:val="footnote reference"/>
    <w:basedOn w:val="654"/>
    <w:uiPriority w:val="99"/>
    <w:semiHidden/>
    <w:unhideWhenUsed/>
    <w:rPr>
      <w:vertAlign w:val="superscript"/>
    </w:rPr>
  </w:style>
  <w:style w:type="table" w:styleId="660">
    <w:name w:val="Table Grid"/>
    <w:basedOn w:val="65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661">
    <w:name w:val="Header"/>
    <w:basedOn w:val="653"/>
    <w:link w:val="66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62" w:customStyle="1">
    <w:name w:val="Верхний колонтитул Знак"/>
    <w:basedOn w:val="654"/>
    <w:link w:val="661"/>
    <w:uiPriority w:val="99"/>
  </w:style>
  <w:style w:type="paragraph" w:styleId="663">
    <w:name w:val="Footer"/>
    <w:basedOn w:val="653"/>
    <w:link w:val="664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64" w:customStyle="1">
    <w:name w:val="Нижний колонтитул Знак"/>
    <w:basedOn w:val="654"/>
    <w:link w:val="663"/>
    <w:uiPriority w:val="99"/>
  </w:style>
  <w:style w:type="paragraph" w:styleId="665">
    <w:name w:val="Balloon Text"/>
    <w:basedOn w:val="653"/>
    <w:link w:val="66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66" w:customStyle="1">
    <w:name w:val="Текст выноски Знак"/>
    <w:basedOn w:val="654"/>
    <w:link w:val="665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0656BD-4AD0-4339-9FA5-1EC3D6E44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Бадмаева Татьяна Валерьевна</dc:creator>
  <cp:lastModifiedBy>Чернов Валерий Алексеевич</cp:lastModifiedBy>
  <cp:revision>111</cp:revision>
  <dcterms:created xsi:type="dcterms:W3CDTF">2025-05-30T09:17:00Z</dcterms:created>
  <dcterms:modified xsi:type="dcterms:W3CDTF">2026-05-21T13:23:13Z</dcterms:modified>
</cp:coreProperties>
</file>