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2DC" w:rsidRDefault="001C0ED2">
      <w:pPr>
        <w:jc w:val="right"/>
      </w:pPr>
      <w:r>
        <w:t xml:space="preserve">Приложение </w:t>
      </w:r>
    </w:p>
    <w:p w:rsidR="000652DC" w:rsidRDefault="009C1C92">
      <w:pPr>
        <w:ind w:firstLine="567"/>
        <w:jc w:val="center"/>
        <w:rPr>
          <w:b/>
          <w:bCs/>
          <w:spacing w:val="-4"/>
        </w:rPr>
      </w:pPr>
      <w:r>
        <w:rPr>
          <w:b/>
          <w:bCs/>
          <w:spacing w:val="-4"/>
        </w:rPr>
        <w:t>Обоснование начальной (максимальной) цены контракта</w:t>
      </w:r>
    </w:p>
    <w:p w:rsidR="000652DC" w:rsidRDefault="009C1C92">
      <w:pPr>
        <w:jc w:val="center"/>
      </w:pPr>
      <w:r>
        <w:rPr>
          <w:bCs/>
          <w:spacing w:val="-4"/>
          <w:u w:val="single"/>
        </w:rPr>
        <w:t xml:space="preserve">Предмет государственного </w:t>
      </w:r>
      <w:r>
        <w:rPr>
          <w:bCs/>
          <w:spacing w:val="-4"/>
          <w:u w:val="single"/>
          <w:lang w:val="x-none"/>
        </w:rPr>
        <w:t xml:space="preserve">контракта – </w:t>
      </w:r>
      <w:r w:rsidR="00A800FC">
        <w:rPr>
          <w:bCs/>
          <w:spacing w:val="-4"/>
          <w:u w:val="single"/>
        </w:rPr>
        <w:t>оказание услуг по дополнительному профессиональному образованию в области промышленной безопасности «Основы промышленной безопасности» (А.1)</w:t>
      </w:r>
    </w:p>
    <w:tbl>
      <w:tblPr>
        <w:tblW w:w="14710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73"/>
        <w:gridCol w:w="101"/>
        <w:gridCol w:w="2379"/>
        <w:gridCol w:w="4764"/>
        <w:gridCol w:w="4893"/>
      </w:tblGrid>
      <w:tr w:rsidR="000652DC"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2DC" w:rsidRDefault="009C1C92">
            <w:pPr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Основные характеристики объекта закупки</w:t>
            </w:r>
          </w:p>
        </w:tc>
        <w:tc>
          <w:tcPr>
            <w:tcW w:w="11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2DC" w:rsidRDefault="001C0ED2" w:rsidP="001C0ED2">
            <w:pPr>
              <w:rPr>
                <w:spacing w:val="-4"/>
              </w:rPr>
            </w:pPr>
            <w:r>
              <w:rPr>
                <w:spacing w:val="-4"/>
              </w:rPr>
              <w:t>Указаны в техническом задании</w:t>
            </w:r>
          </w:p>
        </w:tc>
      </w:tr>
      <w:tr w:rsidR="000652DC">
        <w:tc>
          <w:tcPr>
            <w:tcW w:w="14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378" w:rsidRPr="00E23378" w:rsidRDefault="00A800FC" w:rsidP="00DE0050">
            <w:pPr>
              <w:jc w:val="center"/>
              <w:rPr>
                <w:color w:val="FF0000"/>
                <w:spacing w:val="-4"/>
              </w:rPr>
            </w:pPr>
            <w:r>
              <w:rPr>
                <w:bCs/>
                <w:spacing w:val="-4"/>
              </w:rPr>
              <w:t>Дополнительное профессиональное образование в области промышленной безопасности «Основы промышленной безопасности» (А.1)</w:t>
            </w:r>
          </w:p>
          <w:p w:rsidR="000652DC" w:rsidRDefault="009C1C92" w:rsidP="0027654D">
            <w:pPr>
              <w:jc w:val="center"/>
            </w:pPr>
            <w:r w:rsidRPr="0027654D">
              <w:rPr>
                <w:spacing w:val="-4"/>
              </w:rPr>
              <w:t>(</w:t>
            </w:r>
            <w:r w:rsidRPr="0027654D">
              <w:rPr>
                <w:rFonts w:eastAsia="Calibri"/>
                <w:spacing w:val="-4"/>
                <w:lang w:eastAsia="en-US"/>
              </w:rPr>
              <w:t xml:space="preserve">ОКПД2 </w:t>
            </w:r>
            <w:r w:rsidR="0027654D" w:rsidRPr="0027654D">
              <w:rPr>
                <w:rFonts w:eastAsia="Calibri"/>
                <w:spacing w:val="-4"/>
                <w:lang w:eastAsia="en-US"/>
              </w:rPr>
              <w:t>85</w:t>
            </w:r>
            <w:r w:rsidRPr="0027654D">
              <w:rPr>
                <w:rFonts w:eastAsia="Calibri"/>
                <w:spacing w:val="-4"/>
                <w:lang w:eastAsia="en-US"/>
              </w:rPr>
              <w:t>.</w:t>
            </w:r>
            <w:r w:rsidR="0027654D" w:rsidRPr="0027654D">
              <w:rPr>
                <w:rFonts w:eastAsia="Calibri"/>
                <w:spacing w:val="-4"/>
                <w:lang w:eastAsia="en-US"/>
              </w:rPr>
              <w:t>42.19</w:t>
            </w:r>
            <w:r w:rsidRPr="0027654D">
              <w:rPr>
                <w:rFonts w:eastAsia="Calibri"/>
                <w:spacing w:val="-4"/>
                <w:lang w:eastAsia="en-US"/>
              </w:rPr>
              <w:t>)</w:t>
            </w:r>
          </w:p>
        </w:tc>
      </w:tr>
      <w:tr w:rsidR="000652DC">
        <w:trPr>
          <w:trHeight w:val="1775"/>
        </w:trPr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2DC" w:rsidRDefault="009C1C92">
            <w:pPr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 xml:space="preserve">Используемый метод определения НМЦК </w:t>
            </w:r>
            <w:r>
              <w:rPr>
                <w:b/>
                <w:bCs/>
                <w:spacing w:val="-4"/>
              </w:rPr>
              <w:br/>
              <w:t>с обоснованием:</w:t>
            </w:r>
          </w:p>
        </w:tc>
        <w:tc>
          <w:tcPr>
            <w:tcW w:w="11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2DC" w:rsidRDefault="009C1C92">
            <w:pPr>
              <w:rPr>
                <w:spacing w:val="-4"/>
              </w:rPr>
            </w:pPr>
            <w:r>
              <w:rPr>
                <w:spacing w:val="-4"/>
              </w:rPr>
              <w:t>При расчете начальной (максимальной) цены контракта применен метод сопоставимых рыночных цен (анализ рынка).</w:t>
            </w:r>
          </w:p>
          <w:p w:rsidR="000652DC" w:rsidRDefault="009C1C92">
            <w:pPr>
              <w:rPr>
                <w:spacing w:val="-4"/>
              </w:rPr>
            </w:pPr>
            <w:r>
              <w:rPr>
                <w:spacing w:val="-4"/>
              </w:rPr>
              <w:t xml:space="preserve">Начальная (максимальная) цена контракта рассчитана на основании </w:t>
            </w:r>
            <w:r>
              <w:t>коммерческих предложений от потенциальных поставщиков</w:t>
            </w:r>
          </w:p>
          <w:tbl>
            <w:tblPr>
              <w:tblW w:w="1159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88" w:type="dxa"/>
              </w:tblCellMar>
              <w:tblLook w:val="04A0" w:firstRow="1" w:lastRow="0" w:firstColumn="1" w:lastColumn="0" w:noHBand="0" w:noVBand="1"/>
            </w:tblPr>
            <w:tblGrid>
              <w:gridCol w:w="5926"/>
              <w:gridCol w:w="5670"/>
            </w:tblGrid>
            <w:tr w:rsidR="000652DC" w:rsidTr="00A75ECC">
              <w:tc>
                <w:tcPr>
                  <w:tcW w:w="5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652DC" w:rsidRDefault="009C1C92">
                  <w:pPr>
                    <w:jc w:val="center"/>
                    <w:rPr>
                      <w:spacing w:val="-4"/>
                    </w:rPr>
                  </w:pPr>
                  <w:r>
                    <w:t>Коммерческое предложение от потенциального поставщика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652DC" w:rsidRDefault="009C1C92">
                  <w:pPr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Цена за ед. идентичного (однородного) планируемого к закупке товара (руб.)</w:t>
                  </w:r>
                </w:p>
              </w:tc>
            </w:tr>
            <w:tr w:rsidR="000652DC" w:rsidTr="00A75ECC">
              <w:trPr>
                <w:trHeight w:val="329"/>
              </w:trPr>
              <w:tc>
                <w:tcPr>
                  <w:tcW w:w="5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652DC" w:rsidRDefault="00F05867" w:rsidP="006A5229">
                  <w:r>
                    <w:t>КП № 1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652DC" w:rsidRDefault="00F05867">
                  <w:pPr>
                    <w:jc w:val="center"/>
                  </w:pPr>
                  <w:r>
                    <w:rPr>
                      <w:spacing w:val="-4"/>
                    </w:rPr>
                    <w:t>3900,00</w:t>
                  </w:r>
                </w:p>
              </w:tc>
            </w:tr>
            <w:tr w:rsidR="00126735" w:rsidTr="00A75ECC">
              <w:tc>
                <w:tcPr>
                  <w:tcW w:w="5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126735" w:rsidRDefault="00F05867" w:rsidP="00126735">
                  <w:r>
                    <w:t>КП № 2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126735" w:rsidRDefault="00F05867" w:rsidP="00126735">
                  <w:pPr>
                    <w:jc w:val="center"/>
                  </w:pPr>
                  <w:r>
                    <w:rPr>
                      <w:spacing w:val="-4"/>
                    </w:rPr>
                    <w:t>2250,00</w:t>
                  </w:r>
                </w:p>
              </w:tc>
            </w:tr>
            <w:tr w:rsidR="00A75ECC" w:rsidTr="00A75ECC">
              <w:tc>
                <w:tcPr>
                  <w:tcW w:w="5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A75ECC" w:rsidRDefault="00F05867" w:rsidP="00A75ECC">
                  <w:r>
                    <w:t>КП № 3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A75ECC" w:rsidRDefault="00F05867" w:rsidP="00A75ECC">
                  <w:pPr>
                    <w:jc w:val="center"/>
                  </w:pPr>
                  <w:r>
                    <w:rPr>
                      <w:spacing w:val="-4"/>
                    </w:rPr>
                    <w:t>4500,00</w:t>
                  </w:r>
                </w:p>
              </w:tc>
            </w:tr>
          </w:tbl>
          <w:p w:rsidR="000652DC" w:rsidRDefault="000652DC">
            <w:pPr>
              <w:rPr>
                <w:spacing w:val="-4"/>
              </w:rPr>
            </w:pPr>
          </w:p>
        </w:tc>
      </w:tr>
      <w:tr w:rsidR="000652DC">
        <w:trPr>
          <w:trHeight w:val="221"/>
        </w:trPr>
        <w:tc>
          <w:tcPr>
            <w:tcW w:w="14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2DC" w:rsidRDefault="009C1C92">
            <w:pPr>
              <w:jc w:val="center"/>
              <w:rPr>
                <w:spacing w:val="-4"/>
              </w:rPr>
            </w:pPr>
            <w:r>
              <w:rPr>
                <w:b/>
                <w:spacing w:val="-4"/>
              </w:rPr>
              <w:t>Обоснование начальной (максимальной) цены государственного контракта</w:t>
            </w:r>
          </w:p>
        </w:tc>
      </w:tr>
      <w:tr w:rsidR="000652DC">
        <w:trPr>
          <w:trHeight w:val="33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2DC" w:rsidRDefault="000652DC">
            <w:pPr>
              <w:rPr>
                <w:spacing w:val="-4"/>
              </w:rPr>
            </w:pPr>
          </w:p>
        </w:tc>
        <w:tc>
          <w:tcPr>
            <w:tcW w:w="11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2DC" w:rsidRDefault="009C1C92" w:rsidP="00F05867">
            <w:r>
              <w:rPr>
                <w:spacing w:val="-4"/>
              </w:rPr>
              <w:t xml:space="preserve">Количество </w:t>
            </w:r>
            <w:r w:rsidR="00A800FC">
              <w:rPr>
                <w:spacing w:val="-4"/>
              </w:rPr>
              <w:t>слушателей</w:t>
            </w:r>
            <w:r>
              <w:rPr>
                <w:spacing w:val="-4"/>
              </w:rPr>
              <w:t xml:space="preserve">: </w:t>
            </w:r>
            <w:r w:rsidR="00027BA9">
              <w:rPr>
                <w:spacing w:val="-4"/>
              </w:rPr>
              <w:t>4</w:t>
            </w:r>
            <w:r w:rsidR="00E23378">
              <w:rPr>
                <w:spacing w:val="-4"/>
              </w:rPr>
              <w:t xml:space="preserve"> </w:t>
            </w:r>
            <w:r w:rsidR="00A800FC">
              <w:rPr>
                <w:spacing w:val="-4"/>
              </w:rPr>
              <w:t>чел.</w:t>
            </w:r>
          </w:p>
        </w:tc>
      </w:tr>
      <w:tr w:rsidR="000652D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2DC" w:rsidRDefault="009C1C92">
            <w:pPr>
              <w:rPr>
                <w:spacing w:val="-4"/>
              </w:rPr>
            </w:pPr>
            <w:r>
              <w:rPr>
                <w:spacing w:val="-4"/>
              </w:rPr>
              <w:t>Используемый метод определения НМЦК с обоснованием:</w:t>
            </w:r>
          </w:p>
        </w:tc>
        <w:tc>
          <w:tcPr>
            <w:tcW w:w="11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2DC" w:rsidRDefault="009C1C92">
            <w:r>
              <w:rPr>
                <w:bCs/>
                <w:spacing w:val="-4"/>
              </w:rPr>
              <w:t xml:space="preserve">Определение НМЦК в соответствии с </w:t>
            </w:r>
            <w:hyperlink r:id="rId4">
              <w:r>
                <w:rPr>
                  <w:rStyle w:val="ListLabel2"/>
                </w:rPr>
                <w:t>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</w:t>
              </w:r>
            </w:hyperlink>
            <w:r>
              <w:rPr>
                <w:bCs/>
                <w:spacing w:val="-4"/>
              </w:rPr>
              <w:t>» методом сопоставимых рыночных цен. Метод сопоставимых рыночных цен является приоритетным при расчете НМЦК.</w:t>
            </w:r>
          </w:p>
        </w:tc>
      </w:tr>
      <w:tr w:rsidR="000652DC">
        <w:trPr>
          <w:trHeight w:val="828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2DC" w:rsidRDefault="009C1C92">
            <w:pPr>
              <w:rPr>
                <w:spacing w:val="-4"/>
              </w:rPr>
            </w:pPr>
            <w:r>
              <w:rPr>
                <w:spacing w:val="-4"/>
              </w:rPr>
              <w:t>Однородность совокупности значений выявленных цен, используемых</w:t>
            </w:r>
          </w:p>
          <w:p w:rsidR="000652DC" w:rsidRDefault="009C1C92">
            <w:pPr>
              <w:rPr>
                <w:spacing w:val="-4"/>
              </w:rPr>
            </w:pPr>
            <w:r>
              <w:rPr>
                <w:spacing w:val="-4"/>
              </w:rPr>
              <w:t>в расчете Н(М)ЦК, ЦКЕП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2DC" w:rsidRDefault="009C1C92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Средняя арифметическая цена за единицу &lt;ц&gt;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2DC" w:rsidRDefault="009C1C92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Среднее квадратичное отклонение</w:t>
            </w:r>
          </w:p>
          <w:p w:rsidR="000652DC" w:rsidRDefault="000652DC">
            <w:pPr>
              <w:jc w:val="center"/>
              <w:rPr>
                <w:spacing w:val="-4"/>
              </w:rPr>
            </w:pPr>
          </w:p>
          <w:p w:rsidR="000652DC" w:rsidRDefault="009C1C92">
            <w:pPr>
              <w:jc w:val="center"/>
              <w:rPr>
                <w:spacing w:val="-4"/>
              </w:rPr>
            </w:pPr>
            <w:r>
              <w:rPr>
                <w:noProof/>
              </w:rPr>
              <w:drawing>
                <wp:inline distT="0" distB="0" distL="0" distR="0">
                  <wp:extent cx="1028700" cy="438150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2DC" w:rsidRDefault="009C1C92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коэффициент вариации цен V (%) (не должен превышать 33%)</w:t>
            </w:r>
          </w:p>
          <w:p w:rsidR="000652DC" w:rsidRDefault="009C1C92">
            <w:pPr>
              <w:jc w:val="center"/>
              <w:rPr>
                <w:spacing w:val="-4"/>
              </w:rPr>
            </w:pPr>
            <w:r>
              <w:rPr>
                <w:noProof/>
              </w:rPr>
              <w:drawing>
                <wp:inline distT="0" distB="0" distL="0" distR="0">
                  <wp:extent cx="952500" cy="3524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2DC">
        <w:trPr>
          <w:trHeight w:val="293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2DC" w:rsidRDefault="000652DC">
            <w:pPr>
              <w:rPr>
                <w:spacing w:val="-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2DC" w:rsidRDefault="00F05867">
            <w:pPr>
              <w:jc w:val="center"/>
            </w:pPr>
            <w:r>
              <w:rPr>
                <w:spacing w:val="-4"/>
              </w:rPr>
              <w:t>3550,00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2DC" w:rsidRDefault="00F05867">
            <w:pPr>
              <w:jc w:val="center"/>
            </w:pPr>
            <w:r>
              <w:t>1165,12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2DC" w:rsidRDefault="00F05867">
            <w:pPr>
              <w:jc w:val="center"/>
            </w:pPr>
            <w:r>
              <w:rPr>
                <w:spacing w:val="-4"/>
              </w:rPr>
              <w:t>32,82</w:t>
            </w:r>
          </w:p>
        </w:tc>
      </w:tr>
      <w:tr w:rsidR="000652DC">
        <w:trPr>
          <w:trHeight w:val="96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2DC" w:rsidRDefault="009C1C92">
            <w:pPr>
              <w:rPr>
                <w:spacing w:val="-4"/>
              </w:rPr>
            </w:pPr>
            <w:r>
              <w:rPr>
                <w:spacing w:val="-4"/>
              </w:rPr>
              <w:t>Расчет НМЦК</w:t>
            </w:r>
          </w:p>
        </w:tc>
        <w:tc>
          <w:tcPr>
            <w:tcW w:w="11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2DC" w:rsidRDefault="009C1C92">
            <w:pPr>
              <w:rPr>
                <w:spacing w:val="-4"/>
              </w:rPr>
            </w:pPr>
            <w:r>
              <w:rPr>
                <w:noProof/>
              </w:rPr>
              <w:drawing>
                <wp:inline distT="0" distB="0" distL="0" distR="0">
                  <wp:extent cx="1619250" cy="400050"/>
                  <wp:effectExtent l="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652DC" w:rsidRDefault="00F05867" w:rsidP="00F05867">
            <w:r>
              <w:rPr>
                <w:spacing w:val="-4"/>
              </w:rPr>
              <w:t xml:space="preserve">НМЦК </w:t>
            </w:r>
            <w:r w:rsidR="00027BA9">
              <w:rPr>
                <w:spacing w:val="-4"/>
              </w:rPr>
              <w:t>рын.= 4</w:t>
            </w:r>
            <w:r w:rsidR="009C1C92">
              <w:rPr>
                <w:spacing w:val="-4"/>
              </w:rPr>
              <w:t>/3*(</w:t>
            </w:r>
            <w:r>
              <w:rPr>
                <w:spacing w:val="-4"/>
              </w:rPr>
              <w:t>3900</w:t>
            </w:r>
            <w:r w:rsidR="00CE4EBA">
              <w:rPr>
                <w:spacing w:val="-4"/>
              </w:rPr>
              <w:t>,00</w:t>
            </w:r>
            <w:r w:rsidR="009C1C92">
              <w:rPr>
                <w:spacing w:val="-4"/>
              </w:rPr>
              <w:t>+</w:t>
            </w:r>
            <w:r>
              <w:rPr>
                <w:spacing w:val="-4"/>
              </w:rPr>
              <w:t>2250</w:t>
            </w:r>
            <w:r w:rsidR="00CE4EBA">
              <w:rPr>
                <w:spacing w:val="-4"/>
              </w:rPr>
              <w:t>,00</w:t>
            </w:r>
            <w:r w:rsidR="009C1C92">
              <w:rPr>
                <w:spacing w:val="-4"/>
              </w:rPr>
              <w:t>+</w:t>
            </w:r>
            <w:r>
              <w:rPr>
                <w:spacing w:val="-4"/>
              </w:rPr>
              <w:t>4500</w:t>
            </w:r>
            <w:r w:rsidR="00CE4EBA">
              <w:rPr>
                <w:spacing w:val="-4"/>
              </w:rPr>
              <w:t>,00</w:t>
            </w:r>
            <w:r w:rsidR="00146289">
              <w:rPr>
                <w:spacing w:val="-4"/>
              </w:rPr>
              <w:t xml:space="preserve">) = </w:t>
            </w:r>
            <w:r w:rsidR="00027BA9">
              <w:rPr>
                <w:spacing w:val="-4"/>
              </w:rPr>
              <w:t>142</w:t>
            </w:r>
            <w:r>
              <w:rPr>
                <w:spacing w:val="-4"/>
              </w:rPr>
              <w:t>00,00</w:t>
            </w:r>
            <w:r w:rsidR="009C1C92">
              <w:rPr>
                <w:spacing w:val="-4"/>
              </w:rPr>
              <w:t xml:space="preserve"> рублей</w:t>
            </w:r>
          </w:p>
        </w:tc>
      </w:tr>
    </w:tbl>
    <w:p w:rsidR="000652DC" w:rsidRDefault="000652DC"/>
    <w:p w:rsidR="00CE4EBA" w:rsidRDefault="00CE4EBA"/>
    <w:p w:rsidR="00CE4EBA" w:rsidRDefault="00CE4EBA"/>
    <w:p w:rsidR="00F05867" w:rsidRDefault="00F05867"/>
    <w:p w:rsidR="00B46265" w:rsidRDefault="00B46265" w:rsidP="00B46265">
      <w:pPr>
        <w:ind w:firstLine="567"/>
        <w:jc w:val="center"/>
        <w:rPr>
          <w:b/>
          <w:bCs/>
          <w:spacing w:val="-4"/>
        </w:rPr>
      </w:pPr>
      <w:r>
        <w:rPr>
          <w:b/>
          <w:bCs/>
          <w:spacing w:val="-4"/>
        </w:rPr>
        <w:lastRenderedPageBreak/>
        <w:t>Обоснование начальной (максимальной) цены контракта</w:t>
      </w:r>
    </w:p>
    <w:p w:rsidR="00B46265" w:rsidRDefault="00B46265" w:rsidP="00B46265">
      <w:pPr>
        <w:jc w:val="center"/>
      </w:pPr>
      <w:r>
        <w:rPr>
          <w:bCs/>
          <w:spacing w:val="-4"/>
          <w:u w:val="single"/>
        </w:rPr>
        <w:t xml:space="preserve">Предмет государственного </w:t>
      </w:r>
      <w:r>
        <w:rPr>
          <w:bCs/>
          <w:spacing w:val="-4"/>
          <w:u w:val="single"/>
          <w:lang w:val="x-none"/>
        </w:rPr>
        <w:t xml:space="preserve">контракта – </w:t>
      </w:r>
      <w:r>
        <w:rPr>
          <w:bCs/>
          <w:spacing w:val="-4"/>
          <w:u w:val="single"/>
        </w:rPr>
        <w:t xml:space="preserve">оказание услуг по дополнительному профессиональному образованию в области промышленной безопасности </w:t>
      </w:r>
      <w:r w:rsidRPr="00F05867">
        <w:rPr>
          <w:bCs/>
          <w:spacing w:val="-4"/>
          <w:u w:val="single"/>
        </w:rPr>
        <w:t>«</w:t>
      </w:r>
      <w:r w:rsidR="00F05867" w:rsidRPr="00F05867">
        <w:rPr>
          <w:color w:val="000000"/>
          <w:u w:val="single"/>
        </w:rPr>
        <w:t>Эксплуатация (включая техническое обслуживание, техническое диагностирование, текущий ремонт) сетей газораспределения и газопотребления</w:t>
      </w:r>
      <w:r w:rsidRPr="00F05867">
        <w:rPr>
          <w:bCs/>
          <w:spacing w:val="-4"/>
          <w:u w:val="single"/>
        </w:rPr>
        <w:t>» (Б.7.1)</w:t>
      </w:r>
    </w:p>
    <w:tbl>
      <w:tblPr>
        <w:tblW w:w="14710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73"/>
        <w:gridCol w:w="101"/>
        <w:gridCol w:w="2379"/>
        <w:gridCol w:w="4764"/>
        <w:gridCol w:w="4893"/>
      </w:tblGrid>
      <w:tr w:rsidR="00B46265" w:rsidTr="00D07B6C"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265" w:rsidRDefault="00B46265" w:rsidP="00D07B6C">
            <w:pPr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Основные характеристики объекта закупки</w:t>
            </w:r>
          </w:p>
        </w:tc>
        <w:tc>
          <w:tcPr>
            <w:tcW w:w="12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265" w:rsidRDefault="00B46265" w:rsidP="00D07B6C">
            <w:pPr>
              <w:rPr>
                <w:spacing w:val="-4"/>
              </w:rPr>
            </w:pPr>
            <w:r>
              <w:rPr>
                <w:spacing w:val="-4"/>
              </w:rPr>
              <w:t>Указаны в техническом задании</w:t>
            </w:r>
          </w:p>
        </w:tc>
      </w:tr>
      <w:tr w:rsidR="00B46265" w:rsidTr="00D07B6C">
        <w:tc>
          <w:tcPr>
            <w:tcW w:w="14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265" w:rsidRPr="00F05867" w:rsidRDefault="00B46265" w:rsidP="00D07B6C">
            <w:pPr>
              <w:jc w:val="center"/>
              <w:rPr>
                <w:color w:val="FF0000"/>
                <w:spacing w:val="-4"/>
              </w:rPr>
            </w:pPr>
            <w:r w:rsidRPr="00F05867">
              <w:rPr>
                <w:bCs/>
                <w:spacing w:val="-4"/>
              </w:rPr>
              <w:t xml:space="preserve">Дополнительное профессиональное образование в области промышленной безопасности </w:t>
            </w:r>
            <w:r w:rsidR="00F05867" w:rsidRPr="00F05867">
              <w:rPr>
                <w:bCs/>
                <w:spacing w:val="-4"/>
              </w:rPr>
              <w:t>«</w:t>
            </w:r>
            <w:r w:rsidR="00F05867" w:rsidRPr="00F05867">
              <w:rPr>
                <w:color w:val="000000"/>
              </w:rPr>
              <w:t>Эксплуатация (включая техническое обслуживание, техническое диагностирование, текущий ремонт) сетей газораспределения и газопотребления</w:t>
            </w:r>
            <w:r w:rsidR="00F05867" w:rsidRPr="00F05867">
              <w:rPr>
                <w:bCs/>
                <w:spacing w:val="-4"/>
              </w:rPr>
              <w:t>» (Б.7.1)</w:t>
            </w:r>
          </w:p>
          <w:p w:rsidR="00B46265" w:rsidRDefault="0027654D" w:rsidP="00D07B6C">
            <w:pPr>
              <w:jc w:val="center"/>
            </w:pPr>
            <w:r w:rsidRPr="0027654D">
              <w:rPr>
                <w:spacing w:val="-4"/>
              </w:rPr>
              <w:t>(ОКПД2 85.42.19)</w:t>
            </w:r>
          </w:p>
        </w:tc>
      </w:tr>
      <w:tr w:rsidR="00B46265" w:rsidTr="00D07B6C">
        <w:trPr>
          <w:trHeight w:val="1775"/>
        </w:trPr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265" w:rsidRDefault="00B46265" w:rsidP="00D07B6C">
            <w:pPr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 xml:space="preserve">Используемый метод определения НМЦК </w:t>
            </w:r>
            <w:r>
              <w:rPr>
                <w:b/>
                <w:bCs/>
                <w:spacing w:val="-4"/>
              </w:rPr>
              <w:br/>
              <w:t>с обоснованием:</w:t>
            </w:r>
          </w:p>
        </w:tc>
        <w:tc>
          <w:tcPr>
            <w:tcW w:w="12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265" w:rsidRDefault="00B46265" w:rsidP="00D07B6C">
            <w:pPr>
              <w:rPr>
                <w:spacing w:val="-4"/>
              </w:rPr>
            </w:pPr>
            <w:r>
              <w:rPr>
                <w:spacing w:val="-4"/>
              </w:rPr>
              <w:t>При расчете начальной (максимальной) цены контракта применен метод сопоставимых рыночных цен (анализ рынка).</w:t>
            </w:r>
          </w:p>
          <w:p w:rsidR="00B46265" w:rsidRDefault="00B46265" w:rsidP="00D07B6C">
            <w:pPr>
              <w:rPr>
                <w:spacing w:val="-4"/>
              </w:rPr>
            </w:pPr>
            <w:r>
              <w:rPr>
                <w:spacing w:val="-4"/>
              </w:rPr>
              <w:t xml:space="preserve">Начальная (максимальная) цена контракта рассчитана на основании </w:t>
            </w:r>
            <w:r>
              <w:t>коммерческих предложений от потенциальных поставщиков</w:t>
            </w:r>
          </w:p>
          <w:tbl>
            <w:tblPr>
              <w:tblW w:w="1159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88" w:type="dxa"/>
              </w:tblCellMar>
              <w:tblLook w:val="04A0" w:firstRow="1" w:lastRow="0" w:firstColumn="1" w:lastColumn="0" w:noHBand="0" w:noVBand="1"/>
            </w:tblPr>
            <w:tblGrid>
              <w:gridCol w:w="6115"/>
              <w:gridCol w:w="5481"/>
            </w:tblGrid>
            <w:tr w:rsidR="00B46265" w:rsidTr="00D07B6C">
              <w:tc>
                <w:tcPr>
                  <w:tcW w:w="6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46265" w:rsidRDefault="00B46265" w:rsidP="00D07B6C">
                  <w:pPr>
                    <w:jc w:val="center"/>
                    <w:rPr>
                      <w:spacing w:val="-4"/>
                    </w:rPr>
                  </w:pPr>
                  <w:r>
                    <w:t>Коммерческое предложение от потенциального поставщика</w:t>
                  </w:r>
                </w:p>
              </w:tc>
              <w:tc>
                <w:tcPr>
                  <w:tcW w:w="5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46265" w:rsidRDefault="00B46265" w:rsidP="00D07B6C">
                  <w:pPr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Цена за ед. идентичного (однородного) планируемого к закупке товара (руб.)</w:t>
                  </w:r>
                </w:p>
              </w:tc>
            </w:tr>
            <w:tr w:rsidR="00F05867" w:rsidTr="00D07B6C">
              <w:trPr>
                <w:trHeight w:val="329"/>
              </w:trPr>
              <w:tc>
                <w:tcPr>
                  <w:tcW w:w="6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F05867" w:rsidRDefault="00F05867" w:rsidP="00F05867">
                  <w:r>
                    <w:t>КП № 1</w:t>
                  </w:r>
                </w:p>
              </w:tc>
              <w:tc>
                <w:tcPr>
                  <w:tcW w:w="5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F05867" w:rsidRDefault="00F05867" w:rsidP="00F05867">
                  <w:pPr>
                    <w:jc w:val="center"/>
                  </w:pPr>
                  <w:r>
                    <w:rPr>
                      <w:spacing w:val="-4"/>
                    </w:rPr>
                    <w:t>3900,00</w:t>
                  </w:r>
                </w:p>
              </w:tc>
            </w:tr>
            <w:tr w:rsidR="00F05867" w:rsidTr="00D07B6C">
              <w:tc>
                <w:tcPr>
                  <w:tcW w:w="6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F05867" w:rsidRDefault="00F05867" w:rsidP="00F05867">
                  <w:r>
                    <w:t>КП № 2</w:t>
                  </w:r>
                </w:p>
              </w:tc>
              <w:tc>
                <w:tcPr>
                  <w:tcW w:w="5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F05867" w:rsidRDefault="00F05867" w:rsidP="00F05867">
                  <w:pPr>
                    <w:jc w:val="center"/>
                  </w:pPr>
                  <w:r>
                    <w:rPr>
                      <w:spacing w:val="-4"/>
                    </w:rPr>
                    <w:t>2250,00</w:t>
                  </w:r>
                </w:p>
              </w:tc>
            </w:tr>
            <w:tr w:rsidR="00F05867" w:rsidTr="00D07B6C">
              <w:tc>
                <w:tcPr>
                  <w:tcW w:w="6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F05867" w:rsidRDefault="00F05867" w:rsidP="00F05867">
                  <w:r>
                    <w:t>КП № 3</w:t>
                  </w:r>
                </w:p>
              </w:tc>
              <w:tc>
                <w:tcPr>
                  <w:tcW w:w="5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F05867" w:rsidRDefault="00F05867" w:rsidP="00F05867">
                  <w:pPr>
                    <w:jc w:val="center"/>
                  </w:pPr>
                  <w:r>
                    <w:rPr>
                      <w:spacing w:val="-4"/>
                    </w:rPr>
                    <w:t>4500,00</w:t>
                  </w:r>
                </w:p>
              </w:tc>
            </w:tr>
          </w:tbl>
          <w:p w:rsidR="00B46265" w:rsidRDefault="00B46265" w:rsidP="00D07B6C">
            <w:pPr>
              <w:rPr>
                <w:spacing w:val="-4"/>
              </w:rPr>
            </w:pPr>
          </w:p>
        </w:tc>
      </w:tr>
      <w:tr w:rsidR="00B46265" w:rsidTr="00D07B6C">
        <w:trPr>
          <w:trHeight w:val="221"/>
        </w:trPr>
        <w:tc>
          <w:tcPr>
            <w:tcW w:w="14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265" w:rsidRDefault="00B46265" w:rsidP="00D07B6C">
            <w:pPr>
              <w:jc w:val="center"/>
              <w:rPr>
                <w:spacing w:val="-4"/>
              </w:rPr>
            </w:pPr>
            <w:r>
              <w:rPr>
                <w:b/>
                <w:spacing w:val="-4"/>
              </w:rPr>
              <w:t>Обоснование начальной (максимальной) цены государственного контракта</w:t>
            </w:r>
          </w:p>
        </w:tc>
      </w:tr>
      <w:tr w:rsidR="00B46265" w:rsidTr="00D07B6C">
        <w:trPr>
          <w:trHeight w:val="330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265" w:rsidRDefault="00B46265" w:rsidP="00D07B6C">
            <w:pPr>
              <w:rPr>
                <w:spacing w:val="-4"/>
              </w:rPr>
            </w:pPr>
          </w:p>
        </w:tc>
        <w:tc>
          <w:tcPr>
            <w:tcW w:w="1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265" w:rsidRDefault="00B46265" w:rsidP="00027BA9">
            <w:r>
              <w:rPr>
                <w:spacing w:val="-4"/>
              </w:rPr>
              <w:t xml:space="preserve">Количество слушателей: </w:t>
            </w:r>
            <w:r w:rsidR="00027BA9">
              <w:rPr>
                <w:spacing w:val="-4"/>
              </w:rPr>
              <w:t>3</w:t>
            </w:r>
            <w:r>
              <w:rPr>
                <w:spacing w:val="-4"/>
              </w:rPr>
              <w:t xml:space="preserve"> чел.</w:t>
            </w:r>
          </w:p>
        </w:tc>
      </w:tr>
      <w:tr w:rsidR="00B46265" w:rsidTr="00D07B6C"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265" w:rsidRDefault="00B46265" w:rsidP="00D07B6C">
            <w:pPr>
              <w:rPr>
                <w:spacing w:val="-4"/>
              </w:rPr>
            </w:pPr>
            <w:r>
              <w:rPr>
                <w:spacing w:val="-4"/>
              </w:rPr>
              <w:t>Используемый метод определения НМЦК с обоснованием:</w:t>
            </w:r>
          </w:p>
        </w:tc>
        <w:tc>
          <w:tcPr>
            <w:tcW w:w="1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265" w:rsidRDefault="00B46265" w:rsidP="00D07B6C">
            <w:r>
              <w:rPr>
                <w:bCs/>
                <w:spacing w:val="-4"/>
              </w:rPr>
              <w:t xml:space="preserve">Определение НМЦК в соответствии с </w:t>
            </w:r>
            <w:hyperlink r:id="rId8">
              <w:r>
                <w:rPr>
                  <w:rStyle w:val="ListLabel2"/>
                </w:rPr>
                <w:t>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</w:t>
              </w:r>
            </w:hyperlink>
            <w:r>
              <w:rPr>
                <w:bCs/>
                <w:spacing w:val="-4"/>
              </w:rPr>
              <w:t>» методом сопоставимых рыночных цен. Метод сопоставимых рыночных цен является приоритетным при расчете НМЦК.</w:t>
            </w:r>
          </w:p>
        </w:tc>
      </w:tr>
      <w:tr w:rsidR="00B46265" w:rsidTr="00D07B6C">
        <w:trPr>
          <w:trHeight w:val="828"/>
        </w:trPr>
        <w:tc>
          <w:tcPr>
            <w:tcW w:w="2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265" w:rsidRDefault="00B46265" w:rsidP="00D07B6C">
            <w:pPr>
              <w:rPr>
                <w:spacing w:val="-4"/>
              </w:rPr>
            </w:pPr>
            <w:r>
              <w:rPr>
                <w:spacing w:val="-4"/>
              </w:rPr>
              <w:t>Однородность совокупности значений выявленных цен, используемых</w:t>
            </w:r>
          </w:p>
          <w:p w:rsidR="00B46265" w:rsidRDefault="00B46265" w:rsidP="00D07B6C">
            <w:pPr>
              <w:rPr>
                <w:spacing w:val="-4"/>
              </w:rPr>
            </w:pPr>
            <w:r>
              <w:rPr>
                <w:spacing w:val="-4"/>
              </w:rPr>
              <w:t>в расчете Н(М)ЦК, ЦКЕП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265" w:rsidRDefault="00B46265" w:rsidP="00D07B6C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Средняя арифметическая цена за единицу &lt;ц&gt;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265" w:rsidRDefault="00B46265" w:rsidP="00D07B6C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Среднее квадратичное отклонение</w:t>
            </w:r>
          </w:p>
          <w:p w:rsidR="00B46265" w:rsidRDefault="00B46265" w:rsidP="00D07B6C">
            <w:pPr>
              <w:jc w:val="center"/>
              <w:rPr>
                <w:spacing w:val="-4"/>
              </w:rPr>
            </w:pPr>
          </w:p>
          <w:p w:rsidR="00B46265" w:rsidRDefault="00B46265" w:rsidP="00D07B6C">
            <w:pPr>
              <w:jc w:val="center"/>
              <w:rPr>
                <w:spacing w:val="-4"/>
              </w:rPr>
            </w:pPr>
            <w:r>
              <w:rPr>
                <w:noProof/>
              </w:rPr>
              <w:drawing>
                <wp:inline distT="0" distB="0" distL="0" distR="0" wp14:anchorId="3A29066E" wp14:editId="52E883B9">
                  <wp:extent cx="1028700" cy="438150"/>
                  <wp:effectExtent l="0" t="0" r="0" b="0"/>
                  <wp:docPr id="2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265" w:rsidRDefault="00B46265" w:rsidP="00D07B6C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коэффициент вариации цен V (%) (не должен превышать 33%)</w:t>
            </w:r>
          </w:p>
          <w:p w:rsidR="00B46265" w:rsidRDefault="00B46265" w:rsidP="00D07B6C">
            <w:pPr>
              <w:jc w:val="center"/>
              <w:rPr>
                <w:spacing w:val="-4"/>
              </w:rPr>
            </w:pPr>
            <w:r>
              <w:rPr>
                <w:noProof/>
              </w:rPr>
              <w:drawing>
                <wp:inline distT="0" distB="0" distL="0" distR="0" wp14:anchorId="3D124146" wp14:editId="005EF7F2">
                  <wp:extent cx="952500" cy="35242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5867" w:rsidTr="00D07B6C">
        <w:trPr>
          <w:trHeight w:val="293"/>
        </w:trPr>
        <w:tc>
          <w:tcPr>
            <w:tcW w:w="2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867" w:rsidRDefault="00F05867" w:rsidP="00F05867">
            <w:pPr>
              <w:rPr>
                <w:spacing w:val="-4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867" w:rsidRDefault="00F05867" w:rsidP="00F05867">
            <w:pPr>
              <w:jc w:val="center"/>
            </w:pPr>
            <w:r>
              <w:rPr>
                <w:spacing w:val="-4"/>
              </w:rPr>
              <w:t>3550,00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867" w:rsidRDefault="00F05867" w:rsidP="00F05867">
            <w:pPr>
              <w:jc w:val="center"/>
            </w:pPr>
            <w:r>
              <w:t>854,40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867" w:rsidRDefault="00F05867" w:rsidP="00F05867">
            <w:pPr>
              <w:jc w:val="center"/>
            </w:pPr>
            <w:r>
              <w:rPr>
                <w:spacing w:val="-4"/>
              </w:rPr>
              <w:t>32,86</w:t>
            </w:r>
          </w:p>
        </w:tc>
      </w:tr>
      <w:tr w:rsidR="00F05867" w:rsidTr="00D07B6C">
        <w:trPr>
          <w:trHeight w:val="960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867" w:rsidRDefault="00F05867" w:rsidP="00F05867">
            <w:pPr>
              <w:rPr>
                <w:spacing w:val="-4"/>
              </w:rPr>
            </w:pPr>
            <w:r>
              <w:rPr>
                <w:spacing w:val="-4"/>
              </w:rPr>
              <w:t>Расчет НМЦК</w:t>
            </w:r>
          </w:p>
        </w:tc>
        <w:tc>
          <w:tcPr>
            <w:tcW w:w="1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867" w:rsidRDefault="00F05867" w:rsidP="00F05867">
            <w:pPr>
              <w:rPr>
                <w:spacing w:val="-4"/>
              </w:rPr>
            </w:pPr>
            <w:r>
              <w:rPr>
                <w:noProof/>
              </w:rPr>
              <w:drawing>
                <wp:inline distT="0" distB="0" distL="0" distR="0" wp14:anchorId="6D13BBB9" wp14:editId="291592AF">
                  <wp:extent cx="1619250" cy="400050"/>
                  <wp:effectExtent l="0" t="0" r="0" b="0"/>
                  <wp:docPr id="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05867" w:rsidRDefault="00F05867" w:rsidP="00027BA9">
            <w:r>
              <w:rPr>
                <w:spacing w:val="-4"/>
              </w:rPr>
              <w:t xml:space="preserve">НМЦК рын.= </w:t>
            </w:r>
            <w:r w:rsidR="00027BA9">
              <w:rPr>
                <w:spacing w:val="-4"/>
              </w:rPr>
              <w:t>3</w:t>
            </w:r>
            <w:r>
              <w:rPr>
                <w:spacing w:val="-4"/>
              </w:rPr>
              <w:t xml:space="preserve">/3*(3900,00+2250,00+4500,00) = </w:t>
            </w:r>
            <w:r w:rsidR="00027BA9">
              <w:rPr>
                <w:spacing w:val="-4"/>
              </w:rPr>
              <w:t>1065</w:t>
            </w:r>
            <w:r>
              <w:rPr>
                <w:spacing w:val="-4"/>
              </w:rPr>
              <w:t>0,00 рублей</w:t>
            </w:r>
          </w:p>
        </w:tc>
      </w:tr>
    </w:tbl>
    <w:p w:rsidR="00B46265" w:rsidRDefault="00B46265" w:rsidP="00B46265">
      <w:pPr>
        <w:rPr>
          <w:lang w:val="en-US"/>
        </w:rPr>
      </w:pPr>
    </w:p>
    <w:p w:rsidR="00B46265" w:rsidRDefault="00B46265" w:rsidP="00B46265">
      <w:pPr>
        <w:rPr>
          <w:lang w:val="en-US"/>
        </w:rPr>
      </w:pPr>
    </w:p>
    <w:p w:rsidR="00B46265" w:rsidRDefault="00B46265" w:rsidP="00B46265">
      <w:pPr>
        <w:rPr>
          <w:lang w:val="en-US"/>
        </w:rPr>
      </w:pPr>
    </w:p>
    <w:p w:rsidR="00320CF1" w:rsidRDefault="00320CF1" w:rsidP="00320CF1">
      <w:pPr>
        <w:ind w:firstLine="567"/>
        <w:jc w:val="center"/>
        <w:rPr>
          <w:b/>
          <w:bCs/>
          <w:spacing w:val="-4"/>
        </w:rPr>
      </w:pPr>
      <w:r>
        <w:rPr>
          <w:b/>
          <w:bCs/>
          <w:spacing w:val="-4"/>
        </w:rPr>
        <w:lastRenderedPageBreak/>
        <w:t>Обоснование начальной (максимальной) цены контракта</w:t>
      </w:r>
    </w:p>
    <w:p w:rsidR="00320CF1" w:rsidRDefault="00320CF1" w:rsidP="00320CF1">
      <w:pPr>
        <w:jc w:val="center"/>
      </w:pPr>
      <w:r>
        <w:rPr>
          <w:bCs/>
          <w:spacing w:val="-4"/>
          <w:u w:val="single"/>
        </w:rPr>
        <w:t xml:space="preserve">Предмет государственного </w:t>
      </w:r>
      <w:r>
        <w:rPr>
          <w:bCs/>
          <w:spacing w:val="-4"/>
          <w:u w:val="single"/>
          <w:lang w:val="x-none"/>
        </w:rPr>
        <w:t xml:space="preserve">контракта – </w:t>
      </w:r>
      <w:r>
        <w:rPr>
          <w:bCs/>
          <w:spacing w:val="-4"/>
          <w:u w:val="single"/>
        </w:rPr>
        <w:t xml:space="preserve">оказание услуг по дополнительному профессиональному образованию в области промышленной безопасности «Эксплуатация опасных производственных объектов, на которых используются котлы (паровые, водогрейные, электрические, </w:t>
      </w:r>
      <w:r>
        <w:rPr>
          <w:bCs/>
          <w:spacing w:val="-4"/>
          <w:u w:val="single"/>
        </w:rPr>
        <w:br/>
        <w:t>а также с органическими и неорганическими теплоносителями» (Б.8.1)</w:t>
      </w:r>
    </w:p>
    <w:tbl>
      <w:tblPr>
        <w:tblW w:w="14710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73"/>
        <w:gridCol w:w="101"/>
        <w:gridCol w:w="2379"/>
        <w:gridCol w:w="4764"/>
        <w:gridCol w:w="4893"/>
      </w:tblGrid>
      <w:tr w:rsidR="00320CF1" w:rsidTr="00D07B6C"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F1" w:rsidRDefault="00320CF1" w:rsidP="00D07B6C">
            <w:pPr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Основные характеристики объекта закупки</w:t>
            </w:r>
          </w:p>
        </w:tc>
        <w:tc>
          <w:tcPr>
            <w:tcW w:w="12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F1" w:rsidRDefault="00320CF1" w:rsidP="00D07B6C">
            <w:pPr>
              <w:rPr>
                <w:spacing w:val="-4"/>
              </w:rPr>
            </w:pPr>
            <w:r>
              <w:rPr>
                <w:spacing w:val="-4"/>
              </w:rPr>
              <w:t>Указаны в техническом задании</w:t>
            </w:r>
          </w:p>
        </w:tc>
      </w:tr>
      <w:tr w:rsidR="00320CF1" w:rsidTr="00D07B6C">
        <w:tc>
          <w:tcPr>
            <w:tcW w:w="14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F1" w:rsidRPr="00E23378" w:rsidRDefault="00320CF1" w:rsidP="00D07B6C">
            <w:pPr>
              <w:jc w:val="center"/>
              <w:rPr>
                <w:color w:val="FF0000"/>
                <w:spacing w:val="-4"/>
              </w:rPr>
            </w:pPr>
            <w:r>
              <w:rPr>
                <w:bCs/>
                <w:spacing w:val="-4"/>
              </w:rPr>
              <w:t xml:space="preserve">Дополнительное профессиональное образование в области промышленной безопасности </w:t>
            </w:r>
            <w:r w:rsidRPr="00320CF1">
              <w:rPr>
                <w:bCs/>
                <w:spacing w:val="-4"/>
              </w:rPr>
              <w:t xml:space="preserve">«Эксплуатация опасных производственных объектов, </w:t>
            </w:r>
            <w:r w:rsidRPr="00320CF1">
              <w:rPr>
                <w:bCs/>
                <w:spacing w:val="-4"/>
              </w:rPr>
              <w:br/>
              <w:t>на которых используются котлы (паровые, водогрейные, электрические, а также с органическими и неорганическими теплоносителями» (Б.8.1)</w:t>
            </w:r>
          </w:p>
          <w:p w:rsidR="00320CF1" w:rsidRDefault="0027654D" w:rsidP="00D07B6C">
            <w:pPr>
              <w:jc w:val="center"/>
            </w:pPr>
            <w:r w:rsidRPr="0027654D">
              <w:rPr>
                <w:spacing w:val="-4"/>
              </w:rPr>
              <w:t>(ОКПД2 85.42.19)</w:t>
            </w:r>
          </w:p>
        </w:tc>
      </w:tr>
      <w:tr w:rsidR="00320CF1" w:rsidTr="00D07B6C">
        <w:trPr>
          <w:trHeight w:val="1775"/>
        </w:trPr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F1" w:rsidRDefault="00320CF1" w:rsidP="00D07B6C">
            <w:pPr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 xml:space="preserve">Используемый метод определения НМЦК </w:t>
            </w:r>
            <w:r>
              <w:rPr>
                <w:b/>
                <w:bCs/>
                <w:spacing w:val="-4"/>
              </w:rPr>
              <w:br/>
              <w:t>с обоснованием:</w:t>
            </w:r>
          </w:p>
        </w:tc>
        <w:tc>
          <w:tcPr>
            <w:tcW w:w="12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F1" w:rsidRDefault="00320CF1" w:rsidP="00D07B6C">
            <w:pPr>
              <w:rPr>
                <w:spacing w:val="-4"/>
              </w:rPr>
            </w:pPr>
            <w:r>
              <w:rPr>
                <w:spacing w:val="-4"/>
              </w:rPr>
              <w:t>При расчете начальной (максимальной) цены контракта применен метод сопоставимых рыночных цен (анализ рынка).</w:t>
            </w:r>
          </w:p>
          <w:p w:rsidR="00320CF1" w:rsidRDefault="00320CF1" w:rsidP="00D07B6C">
            <w:pPr>
              <w:rPr>
                <w:spacing w:val="-4"/>
              </w:rPr>
            </w:pPr>
            <w:r>
              <w:rPr>
                <w:spacing w:val="-4"/>
              </w:rPr>
              <w:t xml:space="preserve">Начальная (максимальная) цена контракта рассчитана на основании </w:t>
            </w:r>
            <w:r>
              <w:t>коммерческих предложений от потенциальных поставщиков</w:t>
            </w:r>
          </w:p>
          <w:tbl>
            <w:tblPr>
              <w:tblW w:w="1159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88" w:type="dxa"/>
              </w:tblCellMar>
              <w:tblLook w:val="04A0" w:firstRow="1" w:lastRow="0" w:firstColumn="1" w:lastColumn="0" w:noHBand="0" w:noVBand="1"/>
            </w:tblPr>
            <w:tblGrid>
              <w:gridCol w:w="6115"/>
              <w:gridCol w:w="5481"/>
            </w:tblGrid>
            <w:tr w:rsidR="00320CF1" w:rsidTr="00D07B6C">
              <w:tc>
                <w:tcPr>
                  <w:tcW w:w="6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20CF1" w:rsidRDefault="00320CF1" w:rsidP="00D07B6C">
                  <w:pPr>
                    <w:jc w:val="center"/>
                    <w:rPr>
                      <w:spacing w:val="-4"/>
                    </w:rPr>
                  </w:pPr>
                  <w:r>
                    <w:t>Коммерческое предложение от потенциального поставщика</w:t>
                  </w:r>
                </w:p>
              </w:tc>
              <w:tc>
                <w:tcPr>
                  <w:tcW w:w="5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20CF1" w:rsidRDefault="00320CF1" w:rsidP="00D07B6C">
                  <w:pPr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Цена за ед. идентичного (однородного) планируемого к закупке товара (руб.)</w:t>
                  </w:r>
                </w:p>
              </w:tc>
            </w:tr>
            <w:tr w:rsidR="00F05867" w:rsidTr="00D07B6C">
              <w:trPr>
                <w:trHeight w:val="329"/>
              </w:trPr>
              <w:tc>
                <w:tcPr>
                  <w:tcW w:w="6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F05867" w:rsidRDefault="00F05867" w:rsidP="00F05867">
                  <w:r>
                    <w:t>КП № 1</w:t>
                  </w:r>
                </w:p>
              </w:tc>
              <w:tc>
                <w:tcPr>
                  <w:tcW w:w="5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F05867" w:rsidRDefault="00F05867" w:rsidP="00F05867">
                  <w:pPr>
                    <w:jc w:val="center"/>
                  </w:pPr>
                  <w:r>
                    <w:rPr>
                      <w:spacing w:val="-4"/>
                    </w:rPr>
                    <w:t>3900,00</w:t>
                  </w:r>
                </w:p>
              </w:tc>
            </w:tr>
            <w:tr w:rsidR="00F05867" w:rsidTr="00D07B6C">
              <w:tc>
                <w:tcPr>
                  <w:tcW w:w="6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F05867" w:rsidRDefault="00F05867" w:rsidP="00F05867">
                  <w:r>
                    <w:t>КП № 2</w:t>
                  </w:r>
                </w:p>
              </w:tc>
              <w:tc>
                <w:tcPr>
                  <w:tcW w:w="5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F05867" w:rsidRDefault="00F05867" w:rsidP="00F05867">
                  <w:pPr>
                    <w:jc w:val="center"/>
                  </w:pPr>
                  <w:r>
                    <w:rPr>
                      <w:spacing w:val="-4"/>
                    </w:rPr>
                    <w:t>2250,00</w:t>
                  </w:r>
                </w:p>
              </w:tc>
            </w:tr>
            <w:tr w:rsidR="00F05867" w:rsidTr="00D07B6C">
              <w:tc>
                <w:tcPr>
                  <w:tcW w:w="6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F05867" w:rsidRDefault="00F05867" w:rsidP="00F05867">
                  <w:r>
                    <w:t>КП № 3</w:t>
                  </w:r>
                </w:p>
              </w:tc>
              <w:tc>
                <w:tcPr>
                  <w:tcW w:w="5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F05867" w:rsidRDefault="00F05867" w:rsidP="00F05867">
                  <w:pPr>
                    <w:jc w:val="center"/>
                  </w:pPr>
                  <w:r>
                    <w:rPr>
                      <w:spacing w:val="-4"/>
                    </w:rPr>
                    <w:t>4500,00</w:t>
                  </w:r>
                </w:p>
              </w:tc>
            </w:tr>
          </w:tbl>
          <w:p w:rsidR="00320CF1" w:rsidRDefault="00320CF1" w:rsidP="00D07B6C">
            <w:pPr>
              <w:rPr>
                <w:spacing w:val="-4"/>
              </w:rPr>
            </w:pPr>
          </w:p>
        </w:tc>
      </w:tr>
      <w:tr w:rsidR="00320CF1" w:rsidTr="00D07B6C">
        <w:trPr>
          <w:trHeight w:val="221"/>
        </w:trPr>
        <w:tc>
          <w:tcPr>
            <w:tcW w:w="14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F1" w:rsidRDefault="00320CF1" w:rsidP="00D07B6C">
            <w:pPr>
              <w:jc w:val="center"/>
              <w:rPr>
                <w:spacing w:val="-4"/>
              </w:rPr>
            </w:pPr>
            <w:r>
              <w:rPr>
                <w:b/>
                <w:spacing w:val="-4"/>
              </w:rPr>
              <w:t>Обоснование начальной (максимальной) цены государственного контракта</w:t>
            </w:r>
          </w:p>
        </w:tc>
      </w:tr>
      <w:tr w:rsidR="00320CF1" w:rsidTr="00D07B6C">
        <w:trPr>
          <w:trHeight w:val="330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F1" w:rsidRDefault="00320CF1" w:rsidP="00D07B6C">
            <w:pPr>
              <w:rPr>
                <w:spacing w:val="-4"/>
              </w:rPr>
            </w:pPr>
          </w:p>
        </w:tc>
        <w:tc>
          <w:tcPr>
            <w:tcW w:w="1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F1" w:rsidRDefault="00320CF1" w:rsidP="00A61C6C">
            <w:r>
              <w:rPr>
                <w:spacing w:val="-4"/>
              </w:rPr>
              <w:t xml:space="preserve">Количество слушателей: </w:t>
            </w:r>
            <w:r w:rsidR="00A61C6C">
              <w:rPr>
                <w:spacing w:val="-4"/>
              </w:rPr>
              <w:t>3</w:t>
            </w:r>
            <w:r>
              <w:rPr>
                <w:spacing w:val="-4"/>
              </w:rPr>
              <w:t xml:space="preserve"> чел.</w:t>
            </w:r>
          </w:p>
        </w:tc>
      </w:tr>
      <w:tr w:rsidR="00320CF1" w:rsidTr="00D07B6C"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F1" w:rsidRDefault="00320CF1" w:rsidP="00D07B6C">
            <w:pPr>
              <w:rPr>
                <w:spacing w:val="-4"/>
              </w:rPr>
            </w:pPr>
            <w:r>
              <w:rPr>
                <w:spacing w:val="-4"/>
              </w:rPr>
              <w:t>Используемый метод определения НМЦК с обоснованием:</w:t>
            </w:r>
          </w:p>
        </w:tc>
        <w:tc>
          <w:tcPr>
            <w:tcW w:w="1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F1" w:rsidRDefault="00320CF1" w:rsidP="00D07B6C">
            <w:r>
              <w:rPr>
                <w:bCs/>
                <w:spacing w:val="-4"/>
              </w:rPr>
              <w:t xml:space="preserve">Определение НМЦК в соответствии с </w:t>
            </w:r>
            <w:hyperlink r:id="rId9">
              <w:r>
                <w:rPr>
                  <w:rStyle w:val="ListLabel2"/>
                </w:rPr>
                <w:t>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</w:t>
              </w:r>
            </w:hyperlink>
            <w:r>
              <w:rPr>
                <w:bCs/>
                <w:spacing w:val="-4"/>
              </w:rPr>
              <w:t>» методом сопоставимых рыночных цен. Метод сопоставимых рыночных цен является приоритетным при расчете НМЦК.</w:t>
            </w:r>
          </w:p>
        </w:tc>
      </w:tr>
      <w:tr w:rsidR="00320CF1" w:rsidTr="00D07B6C">
        <w:trPr>
          <w:trHeight w:val="828"/>
        </w:trPr>
        <w:tc>
          <w:tcPr>
            <w:tcW w:w="2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F1" w:rsidRDefault="00320CF1" w:rsidP="00D07B6C">
            <w:pPr>
              <w:rPr>
                <w:spacing w:val="-4"/>
              </w:rPr>
            </w:pPr>
            <w:r>
              <w:rPr>
                <w:spacing w:val="-4"/>
              </w:rPr>
              <w:t>Однородность совокупности значений выявленных цен, используемых</w:t>
            </w:r>
          </w:p>
          <w:p w:rsidR="00320CF1" w:rsidRDefault="00320CF1" w:rsidP="00D07B6C">
            <w:pPr>
              <w:rPr>
                <w:spacing w:val="-4"/>
              </w:rPr>
            </w:pPr>
            <w:r>
              <w:rPr>
                <w:spacing w:val="-4"/>
              </w:rPr>
              <w:t>в расчете Н(М)ЦК, ЦКЕП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F1" w:rsidRDefault="00320CF1" w:rsidP="00D07B6C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Средняя арифметическая цена за единицу &lt;ц&gt;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F1" w:rsidRDefault="00320CF1" w:rsidP="00D07B6C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Среднее квадратичное отклонение</w:t>
            </w:r>
          </w:p>
          <w:p w:rsidR="00320CF1" w:rsidRDefault="00320CF1" w:rsidP="00D07B6C">
            <w:pPr>
              <w:jc w:val="center"/>
              <w:rPr>
                <w:spacing w:val="-4"/>
              </w:rPr>
            </w:pPr>
          </w:p>
          <w:p w:rsidR="00320CF1" w:rsidRDefault="00320CF1" w:rsidP="00D07B6C">
            <w:pPr>
              <w:jc w:val="center"/>
              <w:rPr>
                <w:spacing w:val="-4"/>
              </w:rPr>
            </w:pPr>
            <w:r>
              <w:rPr>
                <w:noProof/>
              </w:rPr>
              <w:drawing>
                <wp:inline distT="0" distB="0" distL="0" distR="0" wp14:anchorId="32D873EE" wp14:editId="34E43858">
                  <wp:extent cx="1028700" cy="438150"/>
                  <wp:effectExtent l="0" t="0" r="0" b="0"/>
                  <wp:docPr id="2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F1" w:rsidRDefault="00320CF1" w:rsidP="00D07B6C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коэффициент вариации цен V (%) (не должен превышать 33%)</w:t>
            </w:r>
          </w:p>
          <w:p w:rsidR="00320CF1" w:rsidRDefault="00320CF1" w:rsidP="00D07B6C">
            <w:pPr>
              <w:jc w:val="center"/>
              <w:rPr>
                <w:spacing w:val="-4"/>
              </w:rPr>
            </w:pPr>
            <w:r>
              <w:rPr>
                <w:noProof/>
              </w:rPr>
              <w:drawing>
                <wp:inline distT="0" distB="0" distL="0" distR="0" wp14:anchorId="32525B5D" wp14:editId="1C87DEFF">
                  <wp:extent cx="952500" cy="35242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5867" w:rsidTr="00D07B6C">
        <w:trPr>
          <w:trHeight w:val="293"/>
        </w:trPr>
        <w:tc>
          <w:tcPr>
            <w:tcW w:w="2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867" w:rsidRDefault="00F05867" w:rsidP="00F05867">
            <w:pPr>
              <w:rPr>
                <w:spacing w:val="-4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867" w:rsidRDefault="00F05867" w:rsidP="00F05867">
            <w:pPr>
              <w:jc w:val="center"/>
            </w:pPr>
            <w:r>
              <w:rPr>
                <w:spacing w:val="-4"/>
              </w:rPr>
              <w:t>3550,00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867" w:rsidRDefault="00F05867" w:rsidP="00F05867">
            <w:pPr>
              <w:jc w:val="center"/>
            </w:pPr>
            <w:r>
              <w:t>854,40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867" w:rsidRDefault="00F05867" w:rsidP="00F05867">
            <w:pPr>
              <w:jc w:val="center"/>
            </w:pPr>
            <w:r>
              <w:rPr>
                <w:spacing w:val="-4"/>
              </w:rPr>
              <w:t>32,86</w:t>
            </w:r>
          </w:p>
        </w:tc>
      </w:tr>
      <w:tr w:rsidR="00F05867" w:rsidTr="00D07B6C">
        <w:trPr>
          <w:trHeight w:val="960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867" w:rsidRDefault="00F05867" w:rsidP="00F05867">
            <w:pPr>
              <w:rPr>
                <w:spacing w:val="-4"/>
              </w:rPr>
            </w:pPr>
            <w:r>
              <w:rPr>
                <w:spacing w:val="-4"/>
              </w:rPr>
              <w:t>Расчет НМЦК</w:t>
            </w:r>
          </w:p>
        </w:tc>
        <w:tc>
          <w:tcPr>
            <w:tcW w:w="1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867" w:rsidRDefault="00F05867" w:rsidP="00F05867">
            <w:pPr>
              <w:rPr>
                <w:spacing w:val="-4"/>
              </w:rPr>
            </w:pPr>
            <w:r>
              <w:rPr>
                <w:noProof/>
              </w:rPr>
              <w:drawing>
                <wp:inline distT="0" distB="0" distL="0" distR="0" wp14:anchorId="64660F8E" wp14:editId="3A6FA97B">
                  <wp:extent cx="1619250" cy="400050"/>
                  <wp:effectExtent l="0" t="0" r="0" b="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05867" w:rsidRDefault="00F05867" w:rsidP="00F05867">
            <w:r>
              <w:rPr>
                <w:spacing w:val="-4"/>
              </w:rPr>
              <w:t xml:space="preserve">НМЦК </w:t>
            </w:r>
            <w:r w:rsidR="00A61C6C">
              <w:rPr>
                <w:spacing w:val="-4"/>
              </w:rPr>
              <w:t>рын.= 3/3*(3900,00+2250,00+4500,00) = 1065</w:t>
            </w:r>
            <w:bookmarkStart w:id="0" w:name="_GoBack"/>
            <w:bookmarkEnd w:id="0"/>
            <w:r>
              <w:rPr>
                <w:spacing w:val="-4"/>
              </w:rPr>
              <w:t>0,00 рублей</w:t>
            </w:r>
          </w:p>
        </w:tc>
      </w:tr>
    </w:tbl>
    <w:p w:rsidR="00320CF1" w:rsidRDefault="00320CF1" w:rsidP="00320CF1">
      <w:pPr>
        <w:rPr>
          <w:lang w:val="en-US"/>
        </w:rPr>
      </w:pPr>
    </w:p>
    <w:p w:rsidR="00F05867" w:rsidRDefault="00F05867" w:rsidP="00320CF1">
      <w:pPr>
        <w:rPr>
          <w:lang w:val="en-US"/>
        </w:rPr>
      </w:pPr>
    </w:p>
    <w:p w:rsidR="00320CF1" w:rsidRDefault="00320CF1" w:rsidP="00320CF1">
      <w:pPr>
        <w:rPr>
          <w:lang w:val="en-US"/>
        </w:rPr>
      </w:pPr>
    </w:p>
    <w:sectPr w:rsidR="00320CF1" w:rsidSect="00CE4EBA">
      <w:pgSz w:w="16838" w:h="11906" w:orient="landscape"/>
      <w:pgMar w:top="567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2DC"/>
    <w:rsid w:val="00027BA9"/>
    <w:rsid w:val="000652DC"/>
    <w:rsid w:val="00126735"/>
    <w:rsid w:val="00146289"/>
    <w:rsid w:val="001C0ED2"/>
    <w:rsid w:val="00251653"/>
    <w:rsid w:val="0027654D"/>
    <w:rsid w:val="00284ABA"/>
    <w:rsid w:val="002E3F57"/>
    <w:rsid w:val="00320CF1"/>
    <w:rsid w:val="00392EA6"/>
    <w:rsid w:val="004E019D"/>
    <w:rsid w:val="00684DB2"/>
    <w:rsid w:val="006A5229"/>
    <w:rsid w:val="006E1798"/>
    <w:rsid w:val="0070545A"/>
    <w:rsid w:val="008C37A2"/>
    <w:rsid w:val="008D6F40"/>
    <w:rsid w:val="00980A9E"/>
    <w:rsid w:val="009C1C92"/>
    <w:rsid w:val="00A61C6C"/>
    <w:rsid w:val="00A75ECC"/>
    <w:rsid w:val="00A800FC"/>
    <w:rsid w:val="00A87C4A"/>
    <w:rsid w:val="00AA4CBA"/>
    <w:rsid w:val="00B075F0"/>
    <w:rsid w:val="00B46265"/>
    <w:rsid w:val="00BB522B"/>
    <w:rsid w:val="00BF12A3"/>
    <w:rsid w:val="00CB70E8"/>
    <w:rsid w:val="00CE4EBA"/>
    <w:rsid w:val="00D032B0"/>
    <w:rsid w:val="00D139D7"/>
    <w:rsid w:val="00D80451"/>
    <w:rsid w:val="00DB3562"/>
    <w:rsid w:val="00DD6DEC"/>
    <w:rsid w:val="00DE0050"/>
    <w:rsid w:val="00E23378"/>
    <w:rsid w:val="00E45E83"/>
    <w:rsid w:val="00E74179"/>
    <w:rsid w:val="00F0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6037"/>
  <w15:docId w15:val="{B410A95E-9798-404F-959B-2F77C077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2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rdmaininfopurchaselink">
    <w:name w:val="cardmaininfo__purchaselink"/>
    <w:basedOn w:val="a0"/>
    <w:qFormat/>
    <w:rsid w:val="001D0A44"/>
  </w:style>
  <w:style w:type="character" w:customStyle="1" w:styleId="-">
    <w:name w:val="Интернет-ссылка"/>
    <w:basedOn w:val="a0"/>
    <w:uiPriority w:val="99"/>
    <w:semiHidden/>
    <w:unhideWhenUsed/>
    <w:rsid w:val="001D0A44"/>
    <w:rPr>
      <w:color w:val="0000FF"/>
      <w:u w:val="single"/>
    </w:rPr>
  </w:style>
  <w:style w:type="character" w:styleId="a3">
    <w:name w:val="Strong"/>
    <w:uiPriority w:val="22"/>
    <w:qFormat/>
    <w:rsid w:val="00DF38D1"/>
    <w:rPr>
      <w:b/>
      <w:bCs/>
    </w:rPr>
  </w:style>
  <w:style w:type="character" w:customStyle="1" w:styleId="ListLabel1">
    <w:name w:val="ListLabel 1"/>
    <w:qFormat/>
    <w:rPr>
      <w:color w:val="auto"/>
      <w:u w:val="none"/>
    </w:rPr>
  </w:style>
  <w:style w:type="character" w:customStyle="1" w:styleId="ListLabel2">
    <w:name w:val="ListLabel 2"/>
    <w:qFormat/>
    <w:rPr>
      <w:bCs/>
    </w:rPr>
  </w:style>
  <w:style w:type="character" w:customStyle="1" w:styleId="ListLabel3">
    <w:name w:val="ListLabel 3"/>
    <w:qFormat/>
    <w:rPr>
      <w:color w:val="auto"/>
      <w:u w:val="none"/>
    </w:rPr>
  </w:style>
  <w:style w:type="character" w:customStyle="1" w:styleId="ListLabel4">
    <w:name w:val="ListLabel 4"/>
    <w:qFormat/>
    <w:rPr>
      <w:bCs/>
    </w:rPr>
  </w:style>
  <w:style w:type="character" w:customStyle="1" w:styleId="ListLabel5">
    <w:name w:val="ListLabel 5"/>
    <w:qFormat/>
    <w:rPr>
      <w:color w:val="auto"/>
      <w:u w:val="none"/>
    </w:rPr>
  </w:style>
  <w:style w:type="character" w:customStyle="1" w:styleId="ListLabel6">
    <w:name w:val="ListLabel 6"/>
    <w:qFormat/>
    <w:rPr>
      <w:bCs/>
    </w:rPr>
  </w:style>
  <w:style w:type="character" w:customStyle="1" w:styleId="ListLabel7">
    <w:name w:val="ListLabel 7"/>
    <w:qFormat/>
    <w:rPr>
      <w:color w:val="auto"/>
      <w:u w:val="none"/>
    </w:rPr>
  </w:style>
  <w:style w:type="character" w:customStyle="1" w:styleId="ListLabel8">
    <w:name w:val="ListLabel 8"/>
    <w:qFormat/>
    <w:rPr>
      <w:bCs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Sans" w:hAnsi="PT Sans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8">
    <w:name w:val="index heading"/>
    <w:basedOn w:val="a"/>
    <w:qFormat/>
    <w:pPr>
      <w:suppressLineNumbers/>
    </w:pPr>
    <w:rPr>
      <w:rFonts w:ascii="PT Sans" w:hAnsi="PT Sans" w:cs="Noto Sans Devanagari"/>
    </w:rPr>
  </w:style>
  <w:style w:type="character" w:styleId="a9">
    <w:name w:val="Hyperlink"/>
    <w:basedOn w:val="a0"/>
    <w:uiPriority w:val="99"/>
    <w:unhideWhenUsed/>
    <w:rsid w:val="004E019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92EA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2E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0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373958.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hyperlink" Target="garantf1://70373958.0" TargetMode="External"/><Relationship Id="rId9" Type="http://schemas.openxmlformats.org/officeDocument/2006/relationships/hyperlink" Target="garantf1://7037395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Н. Ляденко</dc:creator>
  <dc:description/>
  <cp:lastModifiedBy>Денис Ю. Горбунцов</cp:lastModifiedBy>
  <cp:revision>35</cp:revision>
  <cp:lastPrinted>2024-05-31T07:42:00Z</cp:lastPrinted>
  <dcterms:created xsi:type="dcterms:W3CDTF">2023-11-07T07:35:00Z</dcterms:created>
  <dcterms:modified xsi:type="dcterms:W3CDTF">2026-06-17T13:45:00Z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