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 </w:t>
      </w:r>
      <w:r>
        <w:rPr/>
        <w:t>» _____________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одной стороны, и _____________________, в лице ____________, действующего на основании _____, именуем</w:t>
      </w:r>
      <w:r>
        <w:rPr>
          <w:rFonts w:eastAsia="Times New Roman" w:cs="Times New Roman"/>
          <w:color w:val="auto"/>
          <w:kern w:val="0"/>
          <w:sz w:val="20"/>
          <w:szCs w:val="20"/>
          <w:lang w:val="ru-RU" w:eastAsia="ru-RU" w:bidi="ar-SA"/>
        </w:rPr>
        <w:t>ое</w:t>
      </w:r>
      <w:r>
        <w:rPr/>
        <w:t xml:space="preserve"> в дальнейшем </w:t>
      </w:r>
      <w:r>
        <w:rPr>
          <w:b/>
          <w:bCs/>
        </w:rPr>
        <w:t>«Поставщик»</w:t>
      </w:r>
      <w:r>
        <w:rPr/>
        <w:t xml:space="preserve">, с другой стороны, в дальнейшем именуемые </w:t>
      </w:r>
      <w:r>
        <w:rPr>
          <w:b/>
          <w:bCs/>
        </w:rPr>
        <w:t>«Стороны/Сторона»</w:t>
      </w:r>
      <w:r>
        <w:rPr/>
        <w:t xml:space="preserve">, на основании </w:t>
      </w:r>
      <w:r>
        <w:rPr>
          <w:shd w:fill="auto" w:val="clear"/>
        </w:rPr>
        <w:t>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w:t>
      </w:r>
      <w:r>
        <w:rPr/>
        <w:t>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w:t>
      </w:r>
      <w:r>
        <w:rPr>
          <w:rFonts w:eastAsia="Times New Roman" w:cs="Times New Roman"/>
          <w:color w:val="auto"/>
          <w:kern w:val="0"/>
          <w:sz w:val="20"/>
          <w:szCs w:val="20"/>
          <w:lang w:val="ru-RU" w:eastAsia="ru-RU" w:bidi="ar-SA"/>
        </w:rPr>
        <w:t>овар: сетка абразивная</w:t>
      </w:r>
      <w:bookmarkStart w:id="2" w:name="_Hlk174882135"/>
      <w:r>
        <w:rPr>
          <w:rFonts w:eastAsia="Times New Roman" w:cs="Times New Roman"/>
          <w:color w:val="auto"/>
          <w:kern w:val="0"/>
          <w:sz w:val="20"/>
          <w:szCs w:val="20"/>
          <w:lang w:val="ru-RU" w:eastAsia="ru-RU" w:bidi="ar-SA"/>
        </w:rPr>
        <w:t xml:space="preserve"> </w:t>
      </w:r>
      <w:bookmarkEnd w:id="2"/>
      <w:r>
        <w:rPr>
          <w:rFonts w:eastAsia="Times New Roman" w:cs="Times New Roman"/>
          <w:color w:val="auto"/>
          <w:kern w:val="0"/>
          <w:sz w:val="20"/>
          <w:szCs w:val="20"/>
          <w:lang w:val="ru-RU" w:eastAsia="ru-RU" w:bidi="ar-SA"/>
        </w:rPr>
        <w:t>и передать его Заказчику, а Заказчик по настоящему Контракту обязуется принять и оплатить поставленную Поставщиком про</w:t>
      </w:r>
      <w:r>
        <w:rPr/>
        <w:t xml:space="preserve">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 xml:space="preserve">4.1. </w:t>
      </w:r>
      <w:r>
        <w:rPr>
          <w:shd w:fill="auto" w:val="clear"/>
        </w:rPr>
        <w:t xml:space="preserve">Поставка товара осуществляется </w:t>
      </w:r>
      <w:r>
        <w:rPr>
          <w:i w:val="false"/>
          <w:iCs w:val="false"/>
          <w:u w:val="none"/>
          <w:shd w:fill="auto" w:val="clear"/>
        </w:rPr>
        <w:t>единовременно в течении 10 дней с момента заключения контракта</w:t>
      </w:r>
      <w:r>
        <w:rPr>
          <w:b/>
          <w:bCs/>
          <w:shd w:fill="auto" w:val="clear"/>
        </w:rPr>
        <w:t>.</w:t>
      </w:r>
      <w:r>
        <w:rPr>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shd w:fill="auto" w:val="clear"/>
        </w:rPr>
        <w:t xml:space="preserve"> в рабочие дни с 8-00 до 15-00.</w:t>
      </w:r>
    </w:p>
    <w:p>
      <w:pPr>
        <w:pStyle w:val="Normal"/>
        <w:shd w:val="clear" w:fill="FFFFFF"/>
        <w:tabs>
          <w:tab w:val="clear" w:pos="531"/>
          <w:tab w:val="left" w:pos="0" w:leader="none"/>
          <w:tab w:val="left" w:pos="900" w:leader="none"/>
        </w:tabs>
        <w:jc w:val="both"/>
        <w:rPr>
          <w:highlight w:val="none"/>
          <w:shd w:fill="auto" w:val="clear"/>
        </w:rPr>
      </w:pPr>
      <w:r>
        <w:rPr>
          <w:rFonts w:eastAsia="Times New Roman" w:cs="Times New Roman"/>
          <w:bCs/>
          <w:shd w:fill="auto" w:val="clear"/>
        </w:rPr>
        <w:t xml:space="preserve">   </w:t>
      </w:r>
      <w:r>
        <w:rPr>
          <w:bCs/>
          <w:shd w:fill="auto" w:val="clear"/>
        </w:rPr>
        <w:t>О предстоящей поставке Поставщик заранее информирует по тел.: 8-3842-34-51-65 или по электронной почте: ostalv@kemcardio.ru.</w:t>
      </w:r>
    </w:p>
    <w:p>
      <w:pPr>
        <w:pStyle w:val="Normal"/>
        <w:shd w:val="clear" w:fill="FFFFFF"/>
        <w:tabs>
          <w:tab w:val="clear" w:pos="531"/>
          <w:tab w:val="left" w:pos="0" w:leader="none"/>
          <w:tab w:val="left" w:pos="900" w:leader="none"/>
        </w:tabs>
        <w:jc w:val="both"/>
        <w:rPr>
          <w:highlight w:val="none"/>
          <w:shd w:fill="auto" w:val="clear"/>
        </w:rPr>
      </w:pPr>
      <w:r>
        <w:rPr>
          <w:shd w:fill="auto" w:val="clear"/>
        </w:rPr>
        <w:t xml:space="preserve">4.3. </w:t>
      </w:r>
      <w:r>
        <w:rPr>
          <w:color w:val="000000"/>
          <w:shd w:fill="auto" w:val="clear"/>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ab/>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 xml:space="preserve">Гарантийный срок эксплуатации - не менее 12 месяцев. </w:t>
      </w:r>
      <w:bookmarkEnd w:id="6"/>
      <w:r>
        <w:rPr>
          <w:rFonts w:cs="Times New Roman"/>
          <w:bCs/>
          <w:color w:val="000000"/>
          <w:shd w:fill="auto" w:val="clear"/>
        </w:rPr>
        <w:t xml:space="preserve">Поставщик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силу</w:t>
      </w:r>
      <w:r>
        <w:rPr>
          <w:rFonts w:cs="Times New Roman" w:ascii="Times New Roman" w:hAnsi="Times New Roman"/>
          <w:b w:val="false"/>
          <w:bCs w:val="false"/>
          <w:sz w:val="20"/>
          <w:szCs w:val="20"/>
          <w:shd w:fill="auto" w:val="clear"/>
        </w:rPr>
        <w:t xml:space="preserve"> с момента заключения и действует до 31</w:t>
      </w:r>
      <w:r>
        <w:rPr>
          <w:rFonts w:cs="Times New Roman" w:ascii="Times New Roman" w:hAnsi="Times New Roman"/>
          <w:b w:val="false"/>
          <w:bCs w:val="false"/>
          <w:color w:val="000000"/>
          <w:sz w:val="20"/>
          <w:szCs w:val="20"/>
          <w:shd w:fill="auto" w:val="clear"/>
        </w:rPr>
        <w:t>.08.2026 г</w:t>
      </w:r>
      <w:r>
        <w:rPr>
          <w:rFonts w:cs="Times New Roman" w:ascii="Times New Roman" w:hAnsi="Times New Roman"/>
          <w:b w:val="false"/>
          <w:bCs w:val="false"/>
          <w:sz w:val="20"/>
          <w:szCs w:val="20"/>
          <w:shd w:fill="auto" w:val="clear"/>
        </w:rPr>
        <w:t>, а в части оплаты – до исполнения обязатель</w:t>
      </w:r>
      <w:bookmarkStart w:id="8" w:name="_Hlk177570138"/>
      <w:bookmarkEnd w:id="8"/>
      <w:r>
        <w:rPr>
          <w:rFonts w:cs="Times New Roman" w:ascii="Times New Roman" w:hAnsi="Times New Roman"/>
          <w:b w:val="false"/>
          <w:bCs w:val="false"/>
          <w:sz w:val="20"/>
          <w:szCs w:val="20"/>
          <w:shd w:fill="auto" w:val="clear"/>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rPr>
          <w:b/>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«__» июня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646" w:type="dxa"/>
        <w:jc w:val="left"/>
        <w:tblInd w:w="50" w:type="dxa"/>
        <w:tblLayout w:type="fixed"/>
        <w:tblCellMar>
          <w:top w:w="55" w:type="dxa"/>
          <w:left w:w="55" w:type="dxa"/>
          <w:bottom w:w="55" w:type="dxa"/>
          <w:right w:w="55" w:type="dxa"/>
        </w:tblCellMar>
      </w:tblPr>
      <w:tblGrid>
        <w:gridCol w:w="681"/>
        <w:gridCol w:w="5694"/>
        <w:gridCol w:w="401"/>
        <w:gridCol w:w="1136"/>
        <w:gridCol w:w="20"/>
        <w:gridCol w:w="211"/>
        <w:gridCol w:w="1067"/>
        <w:gridCol w:w="1560"/>
        <w:gridCol w:w="1413"/>
        <w:gridCol w:w="1568"/>
        <w:gridCol w:w="1710"/>
        <w:gridCol w:w="9"/>
        <w:gridCol w:w="60"/>
        <w:gridCol w:w="40"/>
        <w:gridCol w:w="76"/>
      </w:tblGrid>
      <w:tr>
        <w:trPr>
          <w:trHeight w:val="854" w:hRule="atLeast"/>
        </w:trPr>
        <w:tc>
          <w:tcPr>
            <w:tcW w:w="681"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694"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7"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8"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60"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3"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Стоимость единицы, рублей</w:t>
            </w:r>
          </w:p>
        </w:tc>
        <w:tc>
          <w:tcPr>
            <w:tcW w:w="1568"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В том числе НДС, рублей</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69" w:type="dxa"/>
            <w:gridSpan w:val="2"/>
            <w:tcBorders>
              <w:left w:val="single" w:sz="4" w:space="0" w:color="000000"/>
            </w:tcBorders>
            <w:tcMar>
              <w:top w:w="0" w:type="dxa"/>
              <w:left w:w="5" w:type="dxa"/>
              <w:bottom w:w="0" w:type="dxa"/>
              <w:right w:w="0" w:type="dxa"/>
            </w:tcMar>
          </w:tcPr>
          <w:p>
            <w:pPr>
              <w:pStyle w:val="Normal"/>
              <w:snapToGrid w:val="false"/>
              <w:rPr/>
            </w:pPr>
            <w:r>
              <w:rPr/>
            </w:r>
          </w:p>
        </w:tc>
        <w:tc>
          <w:tcPr>
            <w:tcW w:w="40" w:type="dxa"/>
            <w:tcBorders/>
            <w:tcMar>
              <w:top w:w="0" w:type="dxa"/>
              <w:left w:w="5" w:type="dxa"/>
              <w:bottom w:w="0" w:type="dxa"/>
              <w:right w:w="0" w:type="dxa"/>
            </w:tcMar>
          </w:tcPr>
          <w:p>
            <w:pPr>
              <w:pStyle w:val="Normal"/>
              <w:snapToGrid w:val="false"/>
              <w:rPr/>
            </w:pPr>
            <w:r>
              <w:rPr/>
            </w:r>
          </w:p>
        </w:tc>
        <w:tc>
          <w:tcPr>
            <w:tcW w:w="76" w:type="dxa"/>
            <w:tcBorders/>
            <w:tcMar>
              <w:top w:w="0" w:type="dxa"/>
              <w:left w:w="5" w:type="dxa"/>
              <w:bottom w:w="0" w:type="dxa"/>
              <w:right w:w="0" w:type="dxa"/>
            </w:tcMar>
          </w:tcPr>
          <w:p>
            <w:pPr>
              <w:pStyle w:val="Normal"/>
              <w:snapToGrid w:val="false"/>
              <w:rPr/>
            </w:pPr>
            <w:r>
              <w:rPr/>
            </w:r>
          </w:p>
        </w:tc>
      </w:tr>
      <w:tr>
        <w:trPr>
          <w:trHeight w:val="405" w:hRule="atLeast"/>
        </w:trPr>
        <w:tc>
          <w:tcPr>
            <w:tcW w:w="681" w:type="dxa"/>
            <w:tcBorders>
              <w:left w:val="single" w:sz="4" w:space="0" w:color="000000"/>
              <w:bottom w:val="single" w:sz="4" w:space="0" w:color="000000"/>
            </w:tcBorders>
            <w:vAlign w:val="center"/>
          </w:tcPr>
          <w:p>
            <w:pPr>
              <w:pStyle w:val="Normal"/>
              <w:jc w:val="center"/>
              <w:rPr/>
            </w:pPr>
            <w:r>
              <w:rPr/>
              <w:t>1</w:t>
            </w:r>
          </w:p>
        </w:tc>
        <w:tc>
          <w:tcPr>
            <w:tcW w:w="5694" w:type="dxa"/>
            <w:tcBorders>
              <w:left w:val="single" w:sz="4" w:space="0" w:color="000000"/>
              <w:bottom w:val="single" w:sz="4" w:space="0" w:color="000000"/>
            </w:tcBorders>
          </w:tcPr>
          <w:p>
            <w:pPr>
              <w:pStyle w:val="Normal"/>
              <w:widowControl w:val="false"/>
              <w:snapToGrid w:val="false"/>
              <w:jc w:val="left"/>
              <w:rPr>
                <w:b/>
                <w:bCs/>
              </w:rPr>
            </w:pPr>
            <w:r>
              <w:rPr>
                <w:rFonts w:eastAsia="Times New Roman" w:cs="Times New Roman"/>
                <w:b/>
                <w:bCs/>
                <w:color w:val="000000"/>
                <w:kern w:val="0"/>
                <w:sz w:val="20"/>
                <w:szCs w:val="20"/>
                <w:shd w:fill="auto" w:val="clear"/>
                <w:lang w:val="ru-RU" w:eastAsia="ru-RU" w:bidi="ar-SA"/>
              </w:rPr>
              <w:t>С</w:t>
            </w:r>
            <w:r>
              <w:rPr>
                <w:rFonts w:eastAsia="Times New Roman" w:cs="Times New Roman"/>
                <w:b/>
                <w:bCs/>
                <w:color w:val="000000"/>
                <w:kern w:val="0"/>
                <w:sz w:val="20"/>
                <w:szCs w:val="20"/>
                <w:shd w:fill="auto" w:val="clear"/>
                <w:lang w:val="ru-RU" w:eastAsia="ru-RU" w:bidi="ar-SA"/>
              </w:rPr>
              <w:t>е</w:t>
            </w:r>
            <w:r>
              <w:rPr>
                <w:rFonts w:eastAsia="Times New Roman" w:cs="Times New Roman"/>
                <w:b/>
                <w:bCs/>
                <w:color w:val="000000"/>
                <w:kern w:val="0"/>
                <w:sz w:val="20"/>
                <w:szCs w:val="20"/>
                <w:shd w:fill="auto" w:val="clear"/>
                <w:lang w:val="ru-RU" w:eastAsia="ru-RU" w:bidi="ar-SA"/>
              </w:rPr>
              <w:t>т</w:t>
            </w:r>
            <w:r>
              <w:rPr>
                <w:rFonts w:eastAsia="Times New Roman" w:cs="Times New Roman"/>
                <w:b/>
                <w:bCs/>
                <w:color w:val="000000"/>
                <w:kern w:val="0"/>
                <w:sz w:val="20"/>
                <w:szCs w:val="20"/>
                <w:shd w:fill="auto" w:val="clear"/>
                <w:lang w:val="ru-RU" w:eastAsia="ru-RU" w:bidi="ar-SA"/>
              </w:rPr>
              <w:t>к</w:t>
            </w:r>
            <w:r>
              <w:rPr>
                <w:rFonts w:eastAsia="Times New Roman" w:cs="Times New Roman"/>
                <w:b/>
                <w:bCs/>
                <w:color w:val="000000"/>
                <w:kern w:val="0"/>
                <w:sz w:val="20"/>
                <w:szCs w:val="20"/>
                <w:shd w:fill="auto" w:val="clear"/>
                <w:lang w:val="ru-RU" w:eastAsia="ru-RU" w:bidi="ar-SA"/>
              </w:rPr>
              <w:t xml:space="preserve">а </w:t>
            </w:r>
            <w:r>
              <w:rPr>
                <w:rFonts w:eastAsia="Times New Roman" w:cs="Times New Roman"/>
                <w:b/>
                <w:bCs/>
                <w:color w:val="000000"/>
                <w:kern w:val="0"/>
                <w:sz w:val="20"/>
                <w:szCs w:val="20"/>
                <w:shd w:fill="auto" w:val="clear"/>
                <w:lang w:val="ru-RU" w:eastAsia="ru-RU" w:bidi="ar-SA"/>
              </w:rPr>
              <w:t>а</w:t>
            </w:r>
            <w:r>
              <w:rPr>
                <w:rFonts w:eastAsia="Times New Roman" w:cs="Times New Roman"/>
                <w:b/>
                <w:bCs/>
                <w:color w:val="000000"/>
                <w:kern w:val="0"/>
                <w:sz w:val="20"/>
                <w:szCs w:val="20"/>
                <w:shd w:fill="auto" w:val="clear"/>
                <w:lang w:val="ru-RU" w:eastAsia="ru-RU" w:bidi="ar-SA"/>
              </w:rPr>
              <w:t>б</w:t>
            </w:r>
            <w:r>
              <w:rPr>
                <w:rFonts w:eastAsia="Times New Roman" w:cs="Times New Roman"/>
                <w:b/>
                <w:bCs/>
                <w:color w:val="000000"/>
                <w:kern w:val="0"/>
                <w:sz w:val="20"/>
                <w:szCs w:val="20"/>
                <w:shd w:fill="auto" w:val="clear"/>
                <w:lang w:val="ru-RU" w:eastAsia="ru-RU" w:bidi="ar-SA"/>
              </w:rPr>
              <w:t>р</w:t>
            </w:r>
            <w:r>
              <w:rPr>
                <w:rFonts w:eastAsia="Times New Roman" w:cs="Times New Roman"/>
                <w:b/>
                <w:bCs/>
                <w:color w:val="000000"/>
                <w:kern w:val="0"/>
                <w:sz w:val="20"/>
                <w:szCs w:val="20"/>
                <w:shd w:fill="auto" w:val="clear"/>
                <w:lang w:val="ru-RU" w:eastAsia="ru-RU" w:bidi="ar-SA"/>
              </w:rPr>
              <w:t>а</w:t>
            </w:r>
            <w:r>
              <w:rPr>
                <w:rFonts w:eastAsia="Times New Roman" w:cs="Times New Roman"/>
                <w:b/>
                <w:bCs/>
                <w:color w:val="000000"/>
                <w:kern w:val="0"/>
                <w:sz w:val="20"/>
                <w:szCs w:val="20"/>
                <w:shd w:fill="auto" w:val="clear"/>
                <w:lang w:val="ru-RU" w:eastAsia="ru-RU" w:bidi="ar-SA"/>
              </w:rPr>
              <w:t>з</w:t>
            </w:r>
            <w:r>
              <w:rPr>
                <w:rFonts w:eastAsia="Times New Roman" w:cs="Times New Roman"/>
                <w:b/>
                <w:bCs/>
                <w:color w:val="000000"/>
                <w:kern w:val="0"/>
                <w:sz w:val="20"/>
                <w:szCs w:val="20"/>
                <w:shd w:fill="auto" w:val="clear"/>
                <w:lang w:val="ru-RU" w:eastAsia="ru-RU" w:bidi="ar-SA"/>
              </w:rPr>
              <w:t>и</w:t>
            </w:r>
            <w:r>
              <w:rPr>
                <w:rFonts w:eastAsia="Times New Roman" w:cs="Times New Roman"/>
                <w:b/>
                <w:bCs/>
                <w:color w:val="000000"/>
                <w:kern w:val="0"/>
                <w:sz w:val="20"/>
                <w:szCs w:val="20"/>
                <w:shd w:fill="auto" w:val="clear"/>
                <w:lang w:val="ru-RU" w:eastAsia="ru-RU" w:bidi="ar-SA"/>
              </w:rPr>
              <w:t>в</w:t>
            </w:r>
            <w:r>
              <w:rPr>
                <w:rFonts w:eastAsia="Times New Roman" w:cs="Times New Roman"/>
                <w:b/>
                <w:bCs/>
                <w:color w:val="000000"/>
                <w:kern w:val="0"/>
                <w:sz w:val="20"/>
                <w:szCs w:val="20"/>
                <w:shd w:fill="auto" w:val="clear"/>
                <w:lang w:val="ru-RU" w:eastAsia="ru-RU" w:bidi="ar-SA"/>
              </w:rPr>
              <w:t>н</w:t>
            </w:r>
            <w:r>
              <w:rPr>
                <w:rFonts w:eastAsia="Times New Roman" w:cs="Times New Roman"/>
                <w:b/>
                <w:bCs/>
                <w:color w:val="000000"/>
                <w:kern w:val="0"/>
                <w:sz w:val="20"/>
                <w:szCs w:val="20"/>
                <w:shd w:fill="auto" w:val="clear"/>
                <w:lang w:val="ru-RU" w:eastAsia="ru-RU" w:bidi="ar-SA"/>
              </w:rPr>
              <w:t>а</w:t>
            </w:r>
            <w:r>
              <w:rPr>
                <w:rFonts w:eastAsia="Times New Roman" w:cs="Times New Roman"/>
                <w:b/>
                <w:bCs/>
                <w:color w:val="000000"/>
                <w:kern w:val="0"/>
                <w:sz w:val="20"/>
                <w:szCs w:val="20"/>
                <w:shd w:fill="auto" w:val="clear"/>
                <w:lang w:val="ru-RU" w:eastAsia="ru-RU" w:bidi="ar-SA"/>
              </w:rPr>
              <w:t>я</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Максимальная зернистость- Не менее 200</w:t>
              <w:tab/>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Способ крепления- Зажим</w:t>
              <w:tab/>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Водостойкость- Да</w:t>
              <w:tab/>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Основа- сетчатая</w:t>
              <w:tab/>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Длина- Не менее 115 мм</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Ширина- Не менее 280</w:t>
              <w:tab/>
              <w:t>мм</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Количество в упаковке</w:t>
              <w:tab/>
              <w:t>- Не менее 10 шт</w:t>
            </w:r>
          </w:p>
          <w:p>
            <w:pPr>
              <w:pStyle w:val="Normal"/>
              <w:widowControl w:val="false"/>
              <w:snapToGrid w:val="false"/>
              <w:jc w:val="left"/>
              <w:rPr>
                <w:rFonts w:eastAsia="Times New Roman" w:cs="Times New Roman"/>
                <w:b w:val="false"/>
                <w:bCs w:val="false"/>
                <w:color w:val="000000"/>
                <w:kern w:val="0"/>
                <w:sz w:val="20"/>
                <w:szCs w:val="20"/>
                <w:highlight w:val="none"/>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r>
          </w:p>
        </w:tc>
        <w:tc>
          <w:tcPr>
            <w:tcW w:w="1557"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8" w:type="dxa"/>
            <w:gridSpan w:val="2"/>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упаковка</w:t>
            </w:r>
          </w:p>
        </w:tc>
        <w:tc>
          <w:tcPr>
            <w:tcW w:w="1560" w:type="dxa"/>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4</w:t>
            </w:r>
          </w:p>
        </w:tc>
        <w:tc>
          <w:tcPr>
            <w:tcW w:w="1413" w:type="dxa"/>
            <w:tcBorders>
              <w:left w:val="single" w:sz="4" w:space="0" w:color="000000"/>
              <w:bottom w:val="single" w:sz="4" w:space="0" w:color="000000"/>
            </w:tcBorders>
            <w:vAlign w:val="center"/>
          </w:tcPr>
          <w:p>
            <w:pPr>
              <w:pStyle w:val="Normal"/>
              <w:snapToGrid w:val="false"/>
              <w:jc w:val="center"/>
              <w:rPr/>
            </w:pPr>
            <w:r>
              <w:rPr/>
            </w:r>
          </w:p>
        </w:tc>
        <w:tc>
          <w:tcPr>
            <w:tcW w:w="1568" w:type="dxa"/>
            <w:tcBorders>
              <w:left w:val="single" w:sz="4" w:space="0" w:color="000000"/>
              <w:bottom w:val="single" w:sz="4" w:space="0" w:color="000000"/>
            </w:tcBorders>
            <w:vAlign w:val="center"/>
          </w:tcPr>
          <w:p>
            <w:pPr>
              <w:pStyle w:val="Normal"/>
              <w:snapToGrid w:val="false"/>
              <w:spacing w:lineRule="atLeast" w:line="57"/>
              <w:jc w:val="center"/>
              <w:rPr>
                <w:highlight w:val="yellow"/>
              </w:rPr>
            </w:pPr>
            <w:r>
              <w:rPr>
                <w:highlight w:val="yellow"/>
              </w:rPr>
            </w:r>
          </w:p>
        </w:tc>
        <w:tc>
          <w:tcPr>
            <w:tcW w:w="1895" w:type="dxa"/>
            <w:gridSpan w:val="5"/>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highlight w:val="yellow"/>
              </w:rPr>
            </w:pPr>
            <w:r>
              <w:rPr>
                <w:b/>
                <w:bCs/>
                <w:highlight w:val="yellow"/>
              </w:rPr>
            </w:r>
          </w:p>
        </w:tc>
      </w:tr>
      <w:tr>
        <w:trPr>
          <w:trHeight w:val="572" w:hRule="atLeast"/>
        </w:trPr>
        <w:tc>
          <w:tcPr>
            <w:tcW w:w="13751" w:type="dxa"/>
            <w:gridSpan w:val="10"/>
            <w:tcBorders>
              <w:left w:val="single" w:sz="4" w:space="0" w:color="000000"/>
              <w:bottom w:val="single" w:sz="4" w:space="0" w:color="000000"/>
            </w:tcBorders>
          </w:tcPr>
          <w:p>
            <w:pPr>
              <w:pStyle w:val="Normal"/>
              <w:jc w:val="center"/>
              <w:rPr>
                <w:highlight w:val="none"/>
                <w:shd w:fill="auto" w:val="clear"/>
              </w:rPr>
            </w:pPr>
            <w:r>
              <w:rPr>
                <w:b/>
                <w:bCs/>
                <w:shd w:fill="auto" w:val="clear"/>
              </w:rPr>
              <w:t>ИТОГО:</w:t>
            </w:r>
          </w:p>
        </w:tc>
        <w:tc>
          <w:tcPr>
            <w:tcW w:w="1710" w:type="dxa"/>
            <w:tcBorders>
              <w:left w:val="single" w:sz="4" w:space="0" w:color="000000"/>
              <w:bottom w:val="single" w:sz="4" w:space="0" w:color="000000"/>
              <w:right w:val="single" w:sz="4" w:space="0" w:color="000000"/>
            </w:tcBorders>
          </w:tcPr>
          <w:p>
            <w:pPr>
              <w:pStyle w:val="Normal"/>
              <w:snapToGrid w:val="false"/>
              <w:jc w:val="center"/>
              <w:rPr>
                <w:b/>
                <w:bCs/>
                <w:highlight w:val="yellow"/>
              </w:rPr>
            </w:pPr>
            <w:r>
              <w:rPr>
                <w:b/>
                <w:bCs/>
                <w:highlight w:val="yellow"/>
              </w:rPr>
            </w:r>
          </w:p>
        </w:tc>
        <w:tc>
          <w:tcPr>
            <w:tcW w:w="69" w:type="dxa"/>
            <w:gridSpan w:val="2"/>
            <w:tcBorders>
              <w:left w:val="single" w:sz="4" w:space="0" w:color="000000"/>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40"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76"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r>
      <w:tr>
        <w:trPr>
          <w:trHeight w:val="1824" w:hRule="atLeast"/>
        </w:trPr>
        <w:tc>
          <w:tcPr>
            <w:tcW w:w="6776" w:type="dxa"/>
            <w:gridSpan w:val="3"/>
            <w:tcBorders/>
            <w:tcMar>
              <w:top w:w="0" w:type="dxa"/>
              <w:left w:w="5" w:type="dxa"/>
              <w:bottom w:w="0" w:type="dxa"/>
              <w:right w:w="0" w:type="dxa"/>
            </w:tcMar>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1136" w:type="dxa"/>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31" w:type="dxa"/>
            <w:gridSpan w:val="2"/>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627" w:type="dxa"/>
            <w:gridSpan w:val="2"/>
            <w:tcBorders/>
            <w:tcMar>
              <w:top w:w="0" w:type="dxa"/>
              <w:left w:w="5" w:type="dxa"/>
              <w:bottom w:w="0" w:type="dxa"/>
              <w:right w:w="0" w:type="dxa"/>
            </w:tcMar>
          </w:tcPr>
          <w:p>
            <w:pPr>
              <w:pStyle w:val="Normal"/>
              <w:snapToGrid w:val="false"/>
              <w:rPr>
                <w:b/>
                <w:color w:val="000000"/>
              </w:rPr>
            </w:pPr>
            <w:r>
              <w:rPr>
                <w:b/>
                <w:color w:val="000000"/>
              </w:rPr>
            </w:r>
          </w:p>
        </w:tc>
        <w:tc>
          <w:tcPr>
            <w:tcW w:w="4700" w:type="dxa"/>
            <w:gridSpan w:val="4"/>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c>
          <w:tcPr>
            <w:tcW w:w="60" w:type="dxa"/>
            <w:tcBorders/>
            <w:tcMar>
              <w:top w:w="0" w:type="dxa"/>
              <w:left w:w="5" w:type="dxa"/>
              <w:bottom w:w="0" w:type="dxa"/>
              <w:right w:w="0" w:type="dxa"/>
            </w:tcMar>
          </w:tcPr>
          <w:p>
            <w:pPr>
              <w:pStyle w:val="Normal"/>
              <w:snapToGrid w:val="false"/>
              <w:rPr/>
            </w:pPr>
            <w:r>
              <w:rPr/>
            </w:r>
          </w:p>
        </w:tc>
        <w:tc>
          <w:tcPr>
            <w:tcW w:w="40" w:type="dxa"/>
            <w:tcBorders/>
            <w:tcMar>
              <w:top w:w="0" w:type="dxa"/>
              <w:left w:w="5" w:type="dxa"/>
              <w:bottom w:w="0" w:type="dxa"/>
              <w:right w:w="0" w:type="dxa"/>
            </w:tcMar>
          </w:tcPr>
          <w:p>
            <w:pPr>
              <w:pStyle w:val="Normal"/>
              <w:snapToGrid w:val="false"/>
              <w:rPr/>
            </w:pPr>
            <w:r>
              <w:rPr/>
            </w:r>
          </w:p>
        </w:tc>
        <w:tc>
          <w:tcPr>
            <w:tcW w:w="76" w:type="dxa"/>
            <w:tcBorders/>
            <w:tcMar>
              <w:top w:w="0" w:type="dxa"/>
              <w:left w:w="5" w:type="dxa"/>
              <w:bottom w:w="0" w:type="dxa"/>
              <w:right w:w="0" w:type="dxa"/>
            </w:tcMar>
          </w:tcPr>
          <w:p>
            <w:pPr>
              <w:pStyle w:val="Normal"/>
              <w:snapToGrid w:val="false"/>
              <w:rPr/>
            </w:pPr>
            <w:r>
              <w:rPr/>
            </w:r>
          </w:p>
        </w:tc>
      </w:tr>
    </w:tbl>
    <w:p>
      <w:pPr>
        <w:pStyle w:val="Normal"/>
        <w:spacing w:before="0" w:after="60"/>
        <w:rPr/>
      </w:pPr>
      <w:r>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FootnoteCharacters">
    <w:name w:val="Footnote Characters"/>
    <w:basedOn w:val="DefaultParagraphFont"/>
    <w:qFormat/>
    <w:rPr>
      <w:vertAlign w:val="superscript"/>
    </w:rPr>
  </w:style>
  <w:style w:type="character" w:styleId="Style9">
    <w:name w:val="Текст концевой сноски Знак"/>
    <w:qFormat/>
    <w:rPr>
      <w:sz w:val="20"/>
    </w:rPr>
  </w:style>
  <w:style w:type="character" w:styleId="user1">
    <w:name w:val="Символ концевой сноски (user)"/>
    <w:qFormat/>
    <w:rPr>
      <w:vertAlign w:val="superscript"/>
    </w:rPr>
  </w:style>
  <w:style w:type="character" w:styleId="EndnoteCharacters">
    <w:name w:val="Endnote Characters"/>
    <w:basedOn w:val="DefaultParagraphFont"/>
    <w:qFormat/>
    <w:rPr>
      <w:vertAlign w:val="superscript"/>
    </w:rPr>
  </w:style>
  <w:style w:type="character" w:styleId="Style10">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1">
    <w:name w:val="Верхний колонтитул Знак"/>
    <w:qFormat/>
    <w:rPr>
      <w:rFonts w:ascii="Times New Roman" w:hAnsi="Times New Roman" w:eastAsia="Times New Roman" w:cs="Times New Roman"/>
      <w:sz w:val="20"/>
      <w:szCs w:val="20"/>
    </w:rPr>
  </w:style>
  <w:style w:type="character" w:styleId="Style12">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3">
    <w:name w:val="Текст примечания Знак"/>
    <w:basedOn w:val="DefaultParagraphFont"/>
    <w:qFormat/>
    <w:rPr>
      <w:rFonts w:ascii="Times New Roman" w:hAnsi="Times New Roman" w:eastAsia="Times New Roman" w:cs="Times New Roman"/>
    </w:rPr>
  </w:style>
  <w:style w:type="character" w:styleId="Style14">
    <w:name w:val="Тема примечания Знак"/>
    <w:basedOn w:val="Style13"/>
    <w:qFormat/>
    <w:rPr>
      <w:rFonts w:ascii="Times New Roman" w:hAnsi="Times New Roman" w:eastAsia="Times New Roman" w:cs="Times New Roman"/>
      <w:b/>
      <w:bCs/>
    </w:rPr>
  </w:style>
  <w:style w:type="character" w:styleId="Style15">
    <w:name w:val="Текст выноски Знак"/>
    <w:basedOn w:val="DefaultParagraphFont"/>
    <w:qFormat/>
    <w:rPr>
      <w:rFonts w:ascii="Tahoma" w:hAnsi="Tahoma" w:eastAsia="Times New Roman" w:cs="Tahoma"/>
      <w:sz w:val="16"/>
      <w:szCs w:val="16"/>
    </w:rPr>
  </w:style>
  <w:style w:type="character" w:styleId="Style16">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19">
    <w:name w:val="Верхний и нижний колонтитулы"/>
    <w:basedOn w:val="Normal"/>
    <w:qFormat/>
    <w:pPr/>
    <w:rPr/>
  </w:style>
  <w:style w:type="paragraph" w:styleId="user4">
    <w:name w:val="Колонтитулы (user)"/>
    <w:basedOn w:val="Normal"/>
    <w:qFormat/>
    <w:pPr>
      <w:suppressLineNumbers/>
      <w:tabs>
        <w:tab w:val="clear" w:pos="531"/>
        <w:tab w:val="center" w:pos="4819" w:leader="none"/>
        <w:tab w:val="right" w:pos="9638" w:leader="none"/>
      </w:tabs>
    </w:pPr>
    <w:rPr/>
  </w:style>
  <w:style w:type="paragraph" w:styleId="Style20">
    <w:name w:val="Колонтитулы"/>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5">
    <w:name w:val="Содержимое таблицы (user)"/>
    <w:basedOn w:val="Normal"/>
    <w:qFormat/>
    <w:pPr>
      <w:suppressLineNumbers/>
    </w:pPr>
    <w:rPr/>
  </w:style>
  <w:style w:type="paragraph" w:styleId="user6">
    <w:name w:val="Заголовок таблицы (user)"/>
    <w:basedOn w:val="user5"/>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173</TotalTime>
  <Application>LibreOffice/25.8.3.2$Linux_X86_64 LibreOffice_project/580$Build-2</Application>
  <AppVersion>15.0000</AppVersion>
  <Pages>7</Pages>
  <Words>3195</Words>
  <Characters>23134</Characters>
  <CharactersWithSpaces>26879</CharactersWithSpaces>
  <Paragraphs>177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2026-07-29T13:53:55Z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