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</w:rPr>
        <w:t xml:space="preserve">ОБОСНОВАНИЕ НАЧАЛЬНОЙ (МАКСИМАЛЬНОЙ)</w:t>
      </w:r>
      <w:r>
        <w:rPr>
          <w:rFonts w:ascii="Times New Roman" w:hAnsi="Times New Roman" w:eastAsia="Times New Roman" w:cs="Times New Roman"/>
          <w:b/>
        </w:rPr>
        <w:t xml:space="preserve"> ЦЕНЫ ГОСУДАРСТВЕННОГО КОНТРАКТА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8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W w:w="10924" w:type="dxa"/>
        <w:tblInd w:w="-10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9"/>
        <w:gridCol w:w="530"/>
        <w:gridCol w:w="723"/>
        <w:gridCol w:w="236"/>
        <w:gridCol w:w="756"/>
        <w:gridCol w:w="282"/>
        <w:gridCol w:w="285"/>
        <w:gridCol w:w="284"/>
        <w:gridCol w:w="424"/>
        <w:gridCol w:w="568"/>
        <w:gridCol w:w="424"/>
        <w:gridCol w:w="568"/>
        <w:gridCol w:w="424"/>
        <w:gridCol w:w="568"/>
        <w:gridCol w:w="424"/>
        <w:gridCol w:w="714"/>
        <w:gridCol w:w="279"/>
        <w:gridCol w:w="434"/>
        <w:gridCol w:w="558"/>
        <w:gridCol w:w="435"/>
        <w:gridCol w:w="557"/>
        <w:gridCol w:w="9"/>
        <w:gridCol w:w="145"/>
        <w:gridCol w:w="837"/>
        <w:gridCol w:w="2"/>
        <w:gridCol w:w="9"/>
      </w:tblGrid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u w:val="single"/>
              </w:rPr>
            </w:r>
            <w:r>
              <w:rPr>
                <w:rFonts w:ascii="Times New Roman" w:hAnsi="Times New Roman" w:eastAsia="Times New Roman" w:cs="Times New Roman"/>
                <w:i/>
                <w:u w:val="single"/>
              </w:rPr>
            </w:r>
            <w:r>
              <w:rPr>
                <w:rFonts w:ascii="Times New Roman" w:hAnsi="Times New Roman" w:cs="Times New Roman"/>
                <w:i/>
                <w:u w:val="single"/>
              </w:rPr>
            </w:r>
          </w:p>
        </w:tc>
        <w:tc>
          <w:tcPr>
            <w:gridSpan w:val="2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45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“Контур.Экстерн”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(рег. № в РРПО: 523)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>
          <w:gridAfter w:val="2"/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9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53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38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9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3" w:type="dxa"/>
            <w:vAlign w:val="center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1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37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54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Характеристики объекта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Согласно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перечню поставляемых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90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Используемый метод определения НМЦК </w:t>
              <w:br/>
              <w:t xml:space="preserve">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Мето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ч.6 ст.22 44-ФЗ)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Расчет выполнен в соответствии с Методическими рекомендациями, утвержденными приказом МЭР РФ от 02.10.2013 №567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03"/>
        </w:trPr>
        <w:tc>
          <w:tcPr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2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Расчет НМЦК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Расчет НМЦК (рын) произведен по формуле: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6198" cy="487871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9418174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6197" cy="487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8.68pt;height:38.42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 - количество (объем) закупаемого товара;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- количество значений, используемых в расчете;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 - номер источника ценовой информации;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Цi - цена единицы товара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  <w:trHeight w:val="155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 товара, услуги (работы)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Поставщик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Поставщик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Поставщик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Средняя цена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 НДС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при наличии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Среднее квадратическое отклонение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Коэффициент вариации (%)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НМЦК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gridAfter w:val="1"/>
          <w:trHeight w:val="113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 НДС при наличии)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 НДС при наличии)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 НДС при наличии)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Право использования программы для ЭВМ “Контур.Экстерн”, сопровождение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1794,44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3100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6,32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60100,00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1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Итого: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8"/>
        </w:trPr>
        <w:tc>
          <w:tcPr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2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 основании проведенного анализа рынка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 расчетов НМЦК составляет 60100,00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рублей.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4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2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 подготовки обоснования НМЦК: 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.06.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425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golovkinav</cp:lastModifiedBy>
  <cp:revision>2</cp:revision>
  <dcterms:modified xsi:type="dcterms:W3CDTF">2026-06-29T13:10:19Z</dcterms:modified>
</cp:coreProperties>
</file>