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20"/>
        <w:jc w:val="right"/>
        <w:rPr>
          <w:sz w:val="24"/>
        </w:rPr>
      </w:pPr>
      <w:r>
        <w:rPr>
          <w:sz w:val="24"/>
        </w:rPr>
        <w:t>Приложение 1</w:t>
      </w:r>
    </w:p>
    <w:p w14:paraId="02000000">
      <w:pPr>
        <w:pStyle w:val="Style_1"/>
        <w:rPr>
          <w:caps w:val="1"/>
          <w:color w:val="000000"/>
          <w:sz w:val="22"/>
        </w:rPr>
      </w:pPr>
      <w:r>
        <w:rPr>
          <w:caps w:val="1"/>
          <w:color w:val="000000"/>
          <w:sz w:val="22"/>
        </w:rPr>
        <w:t>ОПИСАНИЕ ОБЪЕКТА ЗАКУПКИ</w:t>
      </w:r>
    </w:p>
    <w:p w14:paraId="03000000"/>
    <w:tbl>
      <w:tblPr>
        <w:tblStyle w:val="Style_2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6"/>
        <w:gridCol w:w="2126"/>
        <w:gridCol w:w="6237"/>
        <w:gridCol w:w="1134"/>
      </w:tblGrid>
      <w:tr>
        <w:trPr>
          <w:trHeight w:hRule="atLeast" w:val="462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№</w:t>
            </w:r>
          </w:p>
          <w:p w14:paraId="05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Наименование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1"/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Функциональные характеристики (потребительские свойства) товара, качественные характеристики товара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Кол-во,</w:t>
            </w:r>
          </w:p>
          <w:p w14:paraId="09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литров</w:t>
            </w:r>
          </w:p>
        </w:tc>
      </w:tr>
      <w:tr>
        <w:trPr>
          <w:trHeight w:hRule="atLeast" w:val="235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rPr>
                <w:sz w:val="22"/>
              </w:rPr>
            </w:pPr>
            <w:r>
              <w:rPr>
                <w:sz w:val="22"/>
              </w:rPr>
              <w:t>Бензин автомобильный (розничная реализация)</w:t>
            </w:r>
          </w:p>
          <w:p w14:paraId="0C000000">
            <w:pPr>
              <w:rPr>
                <w:sz w:val="22"/>
              </w:rPr>
            </w:pPr>
          </w:p>
          <w:p w14:paraId="0D000000">
            <w:pPr>
              <w:rPr>
                <w:sz w:val="22"/>
              </w:rPr>
            </w:pPr>
          </w:p>
          <w:p w14:paraId="0E000000">
            <w:pPr>
              <w:rPr>
                <w:sz w:val="22"/>
              </w:rPr>
            </w:pPr>
          </w:p>
          <w:p w14:paraId="0F000000">
            <w:pPr>
              <w:rPr>
                <w:sz w:val="22"/>
              </w:rPr>
            </w:pPr>
          </w:p>
          <w:p w14:paraId="10000000">
            <w:pPr>
              <w:rPr>
                <w:sz w:val="22"/>
              </w:rPr>
            </w:pP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rPr>
                <w:sz w:val="22"/>
              </w:rPr>
            </w:pPr>
            <w:r>
              <w:rPr>
                <w:sz w:val="22"/>
              </w:rPr>
              <w:t xml:space="preserve">КТРУ 19.20.21.100-00000006 </w:t>
            </w:r>
          </w:p>
          <w:p w14:paraId="12000000">
            <w:pPr>
              <w:rPr>
                <w:sz w:val="22"/>
              </w:rPr>
            </w:pPr>
          </w:p>
          <w:tbl>
            <w:tblPr>
              <w:tblStyle w:val="Style_2"/>
              <w:tblW w:type="auto" w:w="0"/>
              <w:tblInd w:type="dxa" w:w="0"/>
              <w:tblLayout w:type="fixed"/>
              <w:tblCellMar>
                <w:top w:type="dxa" w:w="15"/>
                <w:left w:type="dxa" w:w="15"/>
                <w:bottom w:type="dxa" w:w="15"/>
                <w:right w:type="dxa" w:w="15"/>
              </w:tblCellMar>
            </w:tblPr>
            <w:tblGrid>
              <w:gridCol w:w="3427"/>
              <w:gridCol w:w="2551"/>
            </w:tblGrid>
            <w:tr>
              <w:tc>
                <w:tcPr>
                  <w:tcW w:type="dxa" w:w="3427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13000000">
                  <w:pPr>
                    <w:widowControl w:val="1"/>
                    <w:ind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Наименование характеристики</w:t>
                  </w:r>
                </w:p>
              </w:tc>
              <w:tc>
                <w:tcPr>
                  <w:tcW w:type="dxa" w:w="2551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14000000">
                  <w:pPr>
                    <w:widowControl w:val="1"/>
                    <w:ind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Значение характеристики</w:t>
                  </w:r>
                </w:p>
              </w:tc>
            </w:tr>
            <w:tr>
              <w:tc>
                <w:tcPr>
                  <w:tcW w:type="dxa" w:w="3427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15000000">
                  <w:pPr>
                    <w:widowControl w:val="1"/>
                    <w:spacing w:afterAutospacing="on" w:beforeAutospacing="on"/>
                    <w:ind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Экологический класс</w:t>
                  </w:r>
                </w:p>
              </w:tc>
              <w:tc>
                <w:tcPr>
                  <w:tcW w:type="dxa" w:w="2551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16000000">
                  <w:pPr>
                    <w:widowControl w:val="1"/>
                    <w:spacing w:afterAutospacing="on" w:beforeAutospacing="on"/>
                    <w:ind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Не ниже К5</w:t>
                  </w:r>
                </w:p>
              </w:tc>
            </w:tr>
            <w:tr>
              <w:tc>
                <w:tcPr>
                  <w:tcW w:type="dxa" w:w="3427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17000000">
                  <w:pPr>
                    <w:widowControl w:val="1"/>
                    <w:spacing w:afterAutospacing="on" w:beforeAutospacing="on"/>
                    <w:ind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Октановое число бензина автомобильного по исследовательскому методу</w:t>
                  </w:r>
                </w:p>
              </w:tc>
              <w:tc>
                <w:tcPr>
                  <w:tcW w:type="dxa" w:w="2551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18000000">
                  <w:pPr>
                    <w:widowControl w:val="1"/>
                    <w:spacing w:afterAutospacing="on" w:beforeAutospacing="on"/>
                    <w:ind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≥ 92 и &lt; 95</w:t>
                  </w:r>
                </w:p>
              </w:tc>
            </w:tr>
          </w:tbl>
          <w:p w14:paraId="19000000">
            <w:pPr>
              <w:rPr>
                <w:sz w:val="22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4200</w:t>
            </w:r>
          </w:p>
        </w:tc>
      </w:tr>
    </w:tbl>
    <w:p w14:paraId="1B000000">
      <w:pPr>
        <w:keepNext w:val="1"/>
        <w:keepLines w:val="1"/>
        <w:widowControl w:val="0"/>
        <w:spacing w:line="0" w:lineRule="atLeast"/>
        <w:ind/>
        <w:jc w:val="both"/>
        <w:rPr>
          <w:sz w:val="18"/>
        </w:rPr>
      </w:pPr>
      <w:r>
        <w:rPr>
          <w:sz w:val="18"/>
        </w:rPr>
        <w:t xml:space="preserve">*В соответствии с постановлением Правительства РФ от 08.02.2017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</w:t>
      </w:r>
    </w:p>
    <w:p w14:paraId="1C000000">
      <w:pPr>
        <w:rPr>
          <w:sz w:val="22"/>
        </w:rPr>
      </w:pPr>
    </w:p>
    <w:p w14:paraId="1D000000">
      <w:pPr>
        <w:widowControl w:val="1"/>
        <w:ind w:firstLine="709"/>
        <w:jc w:val="both"/>
        <w:rPr>
          <w:sz w:val="22"/>
        </w:rPr>
      </w:pPr>
      <w:r>
        <w:rPr>
          <w:b w:val="1"/>
          <w:sz w:val="22"/>
        </w:rPr>
        <w:t xml:space="preserve">Требования к качеству и к функциональным характеристикам (потребительским свойствам) и безопасности поставляемого Товара: </w:t>
      </w:r>
      <w:r>
        <w:rPr>
          <w:sz w:val="22"/>
        </w:rPr>
        <w:t>бензин должен соответствовать стандартам и нормам, установленным действующим законодательством Российской Федерации (ГОСТ 32513-2013, ГОСТ 305-2013).</w:t>
      </w:r>
    </w:p>
    <w:p w14:paraId="1E000000">
      <w:pPr>
        <w:widowControl w:val="1"/>
        <w:ind w:firstLine="709"/>
        <w:jc w:val="both"/>
        <w:rPr>
          <w:b w:val="1"/>
          <w:sz w:val="22"/>
        </w:rPr>
      </w:pPr>
      <w:r>
        <w:rPr>
          <w:sz w:val="22"/>
        </w:rPr>
        <w:t>Поставщи</w:t>
      </w:r>
      <w:bookmarkStart w:id="1" w:name="_GoBack"/>
      <w:bookmarkEnd w:id="1"/>
      <w:r>
        <w:rPr>
          <w:sz w:val="22"/>
        </w:rPr>
        <w:t>к гарантирует качество и безопасность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законодательством Российской Федерации.</w:t>
      </w:r>
    </w:p>
    <w:p w14:paraId="1F000000">
      <w:pPr>
        <w:widowControl w:val="1"/>
        <w:ind w:firstLine="709"/>
        <w:jc w:val="both"/>
        <w:rPr>
          <w:b w:val="1"/>
          <w:sz w:val="22"/>
        </w:rPr>
      </w:pPr>
      <w:r>
        <w:rPr>
          <w:b w:val="1"/>
          <w:sz w:val="22"/>
        </w:rPr>
        <w:t xml:space="preserve">Требования к экологическим параметрам: </w:t>
      </w:r>
      <w:r>
        <w:rPr>
          <w:sz w:val="22"/>
        </w:rPr>
        <w:t>бензин должен соответствовать требованиям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утвержденного Постановлением Правительства Российской Федерации от 27 февраля 2008 г. № 118.</w:t>
      </w:r>
    </w:p>
    <w:p w14:paraId="20000000">
      <w:pPr>
        <w:widowControl w:val="1"/>
        <w:ind w:firstLine="709"/>
        <w:jc w:val="both"/>
        <w:rPr>
          <w:spacing w:val="-3"/>
          <w:sz w:val="22"/>
        </w:rPr>
      </w:pPr>
      <w:r>
        <w:rPr>
          <w:b w:val="1"/>
          <w:spacing w:val="-3"/>
          <w:sz w:val="22"/>
        </w:rPr>
        <w:t xml:space="preserve">Требования к отгрузке Товара: </w:t>
      </w:r>
    </w:p>
    <w:p w14:paraId="21000000">
      <w:pPr>
        <w:widowControl w:val="1"/>
        <w:ind w:firstLine="709"/>
        <w:jc w:val="both"/>
        <w:rPr>
          <w:sz w:val="22"/>
        </w:rPr>
      </w:pPr>
      <w:r>
        <w:rPr>
          <w:spacing w:val="-2"/>
          <w:sz w:val="22"/>
        </w:rPr>
        <w:t>отгрузка Товара осуществляется по талонам</w:t>
      </w:r>
      <w:r>
        <w:rPr>
          <w:sz w:val="22"/>
        </w:rPr>
        <w:t>.</w:t>
      </w:r>
    </w:p>
    <w:p w14:paraId="22000000">
      <w:pPr>
        <w:widowControl w:val="1"/>
        <w:ind w:firstLine="720"/>
        <w:jc w:val="both"/>
        <w:rPr>
          <w:sz w:val="22"/>
        </w:rPr>
      </w:pPr>
      <w:r>
        <w:rPr>
          <w:b w:val="1"/>
          <w:sz w:val="22"/>
        </w:rPr>
        <w:t>Место поставки товара:</w:t>
      </w:r>
      <w:r>
        <w:rPr>
          <w:sz w:val="22"/>
        </w:rPr>
        <w:t xml:space="preserve"> </w:t>
      </w:r>
      <w:r>
        <w:rPr>
          <w:sz w:val="22"/>
        </w:rPr>
        <w:t xml:space="preserve">АЗС Поставщика – </w:t>
      </w:r>
      <w:r>
        <w:rPr>
          <w:sz w:val="22"/>
        </w:rPr>
        <w:t>г</w:t>
      </w:r>
      <w:r>
        <w:rPr>
          <w:sz w:val="22"/>
        </w:rPr>
        <w:t>.Элиста</w:t>
      </w:r>
      <w:r>
        <w:rPr>
          <w:sz w:val="22"/>
        </w:rPr>
        <w:t>, Республика Калмыкия, но не более 4 км от места нахождения Заказчика.</w:t>
      </w:r>
    </w:p>
    <w:p w14:paraId="23000000">
      <w:pPr>
        <w:widowControl w:val="1"/>
        <w:ind w:firstLine="709"/>
        <w:jc w:val="both"/>
        <w:rPr>
          <w:sz w:val="22"/>
        </w:rPr>
      </w:pPr>
    </w:p>
    <w:p w14:paraId="24000000">
      <w:pPr>
        <w:widowControl w:val="1"/>
        <w:ind w:firstLine="709"/>
        <w:jc w:val="both"/>
        <w:rPr>
          <w:sz w:val="22"/>
        </w:rPr>
      </w:pPr>
    </w:p>
    <w:p w14:paraId="25000000">
      <w:pPr>
        <w:widowControl w:val="1"/>
        <w:ind w:firstLine="709"/>
        <w:jc w:val="both"/>
        <w:rPr>
          <w:sz w:val="22"/>
        </w:rPr>
      </w:pPr>
    </w:p>
    <w:sectPr>
      <w:pgSz w:h="16838" w:orient="portrait" w:w="11906"/>
      <w:pgMar w:bottom="1134" w:footer="708" w:gutter="0" w:header="708" w:left="1134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default="1" w:styleId="Style_3_ch" w:type="character">
    <w:name w:val="Normal"/>
    <w:link w:val="Style_3"/>
    <w:rPr>
      <w:rFonts w:ascii="Times New Roman" w:hAnsi="Times New Roman"/>
      <w:sz w:val="20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parametervalue"/>
    <w:basedOn w:val="Style_3"/>
    <w:link w:val="Style_11_ch"/>
    <w:pPr>
      <w:widowControl w:val="1"/>
      <w:spacing w:afterAutospacing="on" w:beforeAutospacing="on"/>
      <w:ind/>
    </w:pPr>
    <w:rPr>
      <w:sz w:val="24"/>
    </w:rPr>
  </w:style>
  <w:style w:styleId="Style_11_ch" w:type="character">
    <w:name w:val="parametervalue"/>
    <w:basedOn w:val="Style_3_ch"/>
    <w:link w:val="Style_11"/>
    <w:rPr>
      <w:sz w:val="24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heading 1"/>
    <w:basedOn w:val="Style_3"/>
    <w:next w:val="Style_3"/>
    <w:link w:val="Style_1_ch"/>
    <w:uiPriority w:val="9"/>
    <w:qFormat/>
    <w:pPr>
      <w:keepNext w:val="1"/>
      <w:widowControl w:val="0"/>
      <w:spacing w:before="312"/>
      <w:ind w:right="43"/>
      <w:jc w:val="center"/>
      <w:outlineLvl w:val="0"/>
    </w:pPr>
    <w:rPr>
      <w:b w:val="1"/>
      <w:color w:val="000000"/>
      <w:sz w:val="24"/>
      <w:u w:val="single"/>
    </w:rPr>
  </w:style>
  <w:style w:styleId="Style_1_ch" w:type="character">
    <w:name w:val="heading 1"/>
    <w:basedOn w:val="Style_3_ch"/>
    <w:link w:val="Style_1"/>
    <w:rPr>
      <w:b w:val="1"/>
      <w:color w:val="000000"/>
      <w:sz w:val="24"/>
      <w:u w:val="single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Название объекта1"/>
    <w:basedOn w:val="Style_3"/>
    <w:link w:val="Style_21_ch"/>
    <w:pPr>
      <w:widowControl w:val="1"/>
      <w:spacing w:afterAutospacing="on" w:beforeAutospacing="on"/>
      <w:ind/>
    </w:pPr>
    <w:rPr>
      <w:sz w:val="24"/>
    </w:rPr>
  </w:style>
  <w:style w:styleId="Style_21_ch" w:type="character">
    <w:name w:val="Название объекта1"/>
    <w:basedOn w:val="Style_3_ch"/>
    <w:link w:val="Style_21"/>
    <w:rPr>
      <w:sz w:val="24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Заголовок 1 Знак"/>
    <w:basedOn w:val="Style_13"/>
    <w:link w:val="Style_25_ch"/>
    <w:rPr>
      <w:rFonts w:asciiTheme="majorAscii" w:hAnsiTheme="majorHAnsi"/>
      <w:b w:val="1"/>
      <w:color w:themeColor="accent1" w:themeShade="BF" w:val="376092"/>
      <w:sz w:val="28"/>
    </w:rPr>
  </w:style>
  <w:style w:styleId="Style_25_ch" w:type="character">
    <w:name w:val="Заголовок 1 Знак"/>
    <w:basedOn w:val="Style_13_ch"/>
    <w:link w:val="Style_25"/>
    <w:rPr>
      <w:rFonts w:asciiTheme="majorAscii" w:hAnsiTheme="majorHAnsi"/>
      <w:b w:val="1"/>
      <w:color w:themeColor="accent1" w:themeShade="BF" w:val="376092"/>
      <w:sz w:val="28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2024-03-28T13:41:00Z</dcterms:created>
  <dcterms:modified xsi:type="dcterms:W3CDTF">2026-07-30T12:44:40Z</dcterms:modified>
</cp:coreProperties>
</file>