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"/>
        <w:jc w:val="center"/>
        <w:spacing w:before="67"/>
        <w:shd w:val="clear" w:fill="FFFFFF" w:color="auto"/>
        <w:tabs>
          <w:tab w:val="left" w:pos="3043" w:leader="underscore"/>
        </w:tabs>
        <w:rPr>
          <w:rFonts w:ascii="Arial" w:hAnsi="Arial" w:cs="Arial" w:eastAsia="Arial"/>
          <w:b/>
          <w:color w:val="000000" w:themeColor="text1"/>
          <w:sz w:val="24"/>
        </w:rPr>
      </w:pPr>
      <w:r>
        <w:rPr>
          <w:b/>
          <w:bCs/>
          <w:color w:val="000000" w:themeColor="text1"/>
          <w:sz w:val="24"/>
          <w:szCs w:val="24"/>
        </w:rPr>
        <w:t xml:space="preserve">ДОГОВОР № </w:t>
      </w:r>
      <w:r>
        <w:rPr>
          <w:rFonts w:ascii="Arial" w:hAnsi="Arial" w:cs="Arial" w:eastAsia="Arial"/>
          <w:b/>
          <w:color w:val="000000" w:themeColor="text1"/>
          <w:sz w:val="24"/>
        </w:rPr>
      </w:r>
      <w:r/>
    </w:p>
    <w:p>
      <w:pPr>
        <w:ind w:left="14"/>
        <w:jc w:val="center"/>
        <w:spacing w:before="67"/>
        <w:shd w:val="clear" w:fill="FFFFFF" w:color="auto"/>
        <w:tabs>
          <w:tab w:val="left" w:pos="3043" w:leader="underscore"/>
        </w:tabs>
        <w:rPr>
          <w:rFonts w:ascii="Times New Roman" w:hAnsi="Times New Roman" w:cs="Times New Roman" w:eastAsia="Times New Roman"/>
          <w:color w:val="000000"/>
          <w:sz w:val="22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2"/>
        </w:rPr>
      </w:r>
      <w:r>
        <w:rPr>
          <w:rFonts w:ascii="Times New Roman" w:hAnsi="Times New Roman" w:cs="Times New Roman" w:eastAsia="Times New Roman"/>
          <w:b/>
          <w:bCs/>
          <w:sz w:val="22"/>
          <w:szCs w:val="24"/>
        </w:rPr>
        <w:t xml:space="preserve">Оказания медицинских услуг </w:t>
      </w:r>
      <w:r>
        <w:rPr>
          <w:rFonts w:ascii="Times New Roman" w:hAnsi="Times New Roman" w:cs="Times New Roman" w:eastAsia="Times New Roman"/>
          <w:sz w:val="22"/>
        </w:rPr>
      </w:r>
    </w:p>
    <w:p>
      <w:pPr>
        <w:ind w:left="19"/>
        <w:jc w:val="center"/>
        <w:shd w:val="clear" w:fill="FFFFFF" w:color="auto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ИКЗ:</w:t>
      </w:r>
      <w:r>
        <w:rPr>
          <w:rFonts w:ascii="Times New Roman" w:hAnsi="Times New Roman" w:cs="Times New Roman" w:eastAsia="Times New Roman"/>
          <w:sz w:val="22"/>
        </w:rPr>
        <w:t xml:space="preserve">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261434600765643450100100290000000244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ind w:left="19"/>
        <w:jc w:val="center"/>
        <w:shd w:val="clear" w:fill="FFFFFF" w:color="auto"/>
      </w:pPr>
      <w:r/>
      <w:r>
        <w:rPr>
          <w:sz w:val="24"/>
          <w:szCs w:val="24"/>
        </w:rPr>
        <w:t xml:space="preserve">г. Киров                                                                                                            « __»                     2026г.</w:t>
      </w:r>
      <w:r>
        <w:rPr>
          <w:spacing w:val="-4"/>
          <w:sz w:val="24"/>
          <w:szCs w:val="24"/>
        </w:rPr>
        <w:t xml:space="preserve"> </w:t>
      </w:r>
      <w:r/>
    </w:p>
    <w:p>
      <w:pPr>
        <w:pStyle w:val="840"/>
        <w:jc w:val="both"/>
      </w:pPr>
      <w:r>
        <w:t xml:space="preserve">             </w:t>
      </w:r>
      <w:r>
        <w:rPr>
          <w:rFonts w:eastAsia="Calibri"/>
          <w:b/>
          <w:lang w:eastAsia="en-US"/>
        </w:rPr>
        <w:t xml:space="preserve">Общество с ограниченной ответственностью "Медицинский центр "Решение"</w:t>
      </w:r>
      <w:r>
        <w:t xml:space="preserve">(далее - </w:t>
      </w:r>
      <w:r>
        <w:rPr>
          <w:b/>
        </w:rPr>
        <w:t xml:space="preserve">ООО</w:t>
      </w:r>
      <w:r>
        <w:t xml:space="preserve"> </w:t>
      </w:r>
      <w:r>
        <w:rPr>
          <w:rFonts w:eastAsia="Calibri"/>
          <w:b/>
          <w:lang w:eastAsia="en-US"/>
        </w:rPr>
        <w:t xml:space="preserve">"МЦ "Решение"</w:t>
      </w:r>
      <w:r>
        <w:t xml:space="preserve">)</w:t>
      </w:r>
      <w:r>
        <w:rPr>
          <w:b/>
        </w:rPr>
        <w:t xml:space="preserve"> </w:t>
      </w:r>
      <w:r>
        <w:t xml:space="preserve">(</w:t>
      </w:r>
      <w:r>
        <w:t xml:space="preserve">Лицензи</w:t>
      </w:r>
      <w:r>
        <w:t xml:space="preserve">я</w:t>
      </w:r>
      <w:r>
        <w:t xml:space="preserve"> Л041-01160-43/01861711, выдан</w:t>
      </w:r>
      <w:r>
        <w:t xml:space="preserve">а </w:t>
      </w:r>
      <w:r>
        <w:t xml:space="preserve">13.02.2025</w:t>
      </w:r>
      <w:r>
        <w:t xml:space="preserve"> г.</w:t>
      </w:r>
      <w:r>
        <w:t xml:space="preserve">), именуемое в дальнейшем «Исполнитель», в лице </w:t>
      </w:r>
      <w:r>
        <w:rPr>
          <w:b/>
        </w:rPr>
        <w:t xml:space="preserve">Генерального директора </w:t>
      </w:r>
      <w:r>
        <w:rPr>
          <w:b/>
        </w:rPr>
        <w:t xml:space="preserve">Водянова Сергея Сергеевича</w:t>
      </w:r>
      <w:r>
        <w:t xml:space="preserve">, действующей на основании Устава, с одной стороны, и </w:t>
      </w:r>
      <w:r/>
    </w:p>
    <w:p>
      <w:pPr>
        <w:pStyle w:val="840"/>
        <w:jc w:val="both"/>
      </w:pPr>
      <w:r>
        <w:rPr>
          <w:b/>
        </w:rPr>
        <w:t xml:space="preserve">            Федеральное государственное бюджетное учреждение науки "Кировский научно-исследовательский институт гематологии и переливания крови Федерального медико-биологического агентства"</w:t>
      </w:r>
      <w:r>
        <w:t xml:space="preserve">, именуемое в дальнейшем «Заказчик», в лице </w:t>
      </w:r>
      <w:r>
        <w:rPr>
          <w:b/>
        </w:rPr>
        <w:t xml:space="preserve">Директора Парамонова Игоря Владимировича</w:t>
      </w:r>
      <w:r>
        <w:t xml:space="preserve">, действующего на основании Уста</w:t>
      </w:r>
      <w:r>
        <w:t xml:space="preserve">ва, с другой стороны, в соответствии с п.4 ч.1 ст.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/>
    </w:p>
    <w:p>
      <w:pPr>
        <w:ind w:left="24"/>
        <w:jc w:val="center"/>
        <w:spacing w:lineRule="exact" w:line="274" w:before="269"/>
        <w:shd w:val="clear" w:fill="FFFFFF" w:color="auto"/>
      </w:pPr>
      <w:r>
        <w:rPr>
          <w:sz w:val="24"/>
          <w:szCs w:val="24"/>
        </w:rPr>
        <w:t xml:space="preserve">1. ПРЕДМЕТ ДОГОВОРА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277" w:leader="none"/>
          <w:tab w:val="left" w:pos="1848" w:leader="none"/>
          <w:tab w:val="left" w:pos="4051" w:leader="none"/>
          <w:tab w:val="left" w:pos="5232" w:leader="none"/>
          <w:tab w:val="left" w:pos="7070" w:leader="none"/>
          <w:tab w:val="left" w:pos="8549" w:leader="none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1.1.</w:t>
      </w:r>
      <w:r>
        <w:rPr>
          <w:sz w:val="24"/>
          <w:szCs w:val="24"/>
        </w:rPr>
        <w:t xml:space="preserve"> По настоящему договору «Исполнитель» обязуется оказывать медицинские услуги в виде обследования методом Магнитно-резонансной томографии пациентам «Заказчика».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277" w:leader="none"/>
          <w:tab w:val="left" w:pos="1848" w:leader="none"/>
          <w:tab w:val="left" w:pos="4051" w:leader="none"/>
          <w:tab w:val="left" w:pos="5232" w:leader="none"/>
          <w:tab w:val="left" w:pos="7070" w:leader="none"/>
          <w:tab w:val="left" w:pos="8549" w:leader="none"/>
        </w:tabs>
      </w:pPr>
      <w:r>
        <w:rPr>
          <w:sz w:val="24"/>
          <w:szCs w:val="24"/>
        </w:rPr>
        <w:t xml:space="preserve">1.2. «Заказчик» обязуется оплачивать медицинские услуги в порядке и сроки, установленные настоящим договором.</w:t>
      </w:r>
      <w:r/>
    </w:p>
    <w:p>
      <w:pPr>
        <w:ind w:right="5"/>
        <w:jc w:val="center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5"/>
        <w:jc w:val="center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2. ЦЕНА ДОГОВОРА И ПОРЯДОК РАСЧЕТОВ</w:t>
      </w:r>
      <w:r/>
    </w:p>
    <w:p>
      <w:pPr>
        <w:numPr>
          <w:ilvl w:val="0"/>
          <w:numId w:val="1"/>
        </w:numPr>
        <w:jc w:val="both"/>
        <w:shd w:val="clear" w:fill="FFFFFF" w:color="auto"/>
        <w:tabs>
          <w:tab w:val="left" w:pos="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Общая стоимость настоящего Договора составляет 100 000,00 </w:t>
      </w:r>
      <w:r>
        <w:rPr>
          <w:b/>
          <w:sz w:val="24"/>
          <w:szCs w:val="24"/>
        </w:rPr>
        <w:t xml:space="preserve">(сто тысяч) рублей 00 копеек</w:t>
      </w:r>
      <w:r>
        <w:rPr>
          <w:sz w:val="24"/>
          <w:szCs w:val="24"/>
        </w:rPr>
        <w:t xml:space="preserve">. Общая сумма может быть изменена в одностороннем порядке «Заказчиком» в случае выполнения либо прекращения потребности в предусмотренных Договором Услуг.</w:t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306" w:leader="none"/>
        </w:tabs>
      </w:pPr>
      <w:r>
        <w:rPr>
          <w:spacing w:val="-6"/>
          <w:sz w:val="24"/>
          <w:szCs w:val="24"/>
        </w:rPr>
        <w:t xml:space="preserve">2.2. </w:t>
      </w:r>
      <w:r>
        <w:rPr>
          <w:sz w:val="24"/>
          <w:szCs w:val="24"/>
        </w:rPr>
        <w:t xml:space="preserve">Стоим</w:t>
      </w:r>
      <w:r>
        <w:rPr>
          <w:sz w:val="24"/>
          <w:szCs w:val="24"/>
        </w:rPr>
        <w:t xml:space="preserve">ость оказываемых «Заказчику» по настоящему договору услуг определяется в соответствии с прейскурантом цен, действующим на момент оказания услуг (Прейскурант цен на оказываемые услуги прилагается к договору и является неотъемлемой его частью Приложение №1).</w:t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454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2.3. «</w:t>
      </w:r>
      <w:r>
        <w:rPr>
          <w:sz w:val="24"/>
          <w:szCs w:val="24"/>
        </w:rPr>
        <w:t xml:space="preserve">Исполнитель» в течении 10 дней после окончания месяца в котором были оказаны услуги предоставляет «Заказчику» счет за медицинские услуги, оказанные клиентам «Заказчика» в течении отчетного месяца заверенный подписями руково</w:t>
      </w:r>
      <w:r>
        <w:rPr>
          <w:sz w:val="24"/>
          <w:szCs w:val="24"/>
        </w:rPr>
        <w:t xml:space="preserve">дителя и главного бухгалтера. К счету прилагается акт об оказании услуг, с указанием Ф.И.О. клиента, даты оказания услуги, наименования, стоимости и количества медицинских услуг, заверенный подписями руководителя и главного бухгалтера, печатью Исполнителя.</w:t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4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>
        <w:rPr>
          <w:color w:val="121416"/>
          <w:sz w:val="24"/>
          <w:highlight w:val="white"/>
        </w:rPr>
        <w:t xml:space="preserve">Оплата производится на основании подписанного сторонами акта об оказании услуг и счета платежными поручениями в течении 7 (семи)  рабочих дней со дня подписания акта об оказан</w:t>
      </w:r>
      <w:r>
        <w:rPr>
          <w:rFonts w:ascii="Segoe UI" w:hAnsi="Segoe UI" w:cs="Segoe UI" w:eastAsia="Segoe UI"/>
          <w:color w:val="121416"/>
          <w:sz w:val="21"/>
          <w:highlight w:val="white"/>
        </w:rPr>
        <w:t xml:space="preserve">ии </w:t>
      </w:r>
      <w:r>
        <w:rPr>
          <w:color w:val="121416"/>
          <w:sz w:val="24"/>
          <w:highlight w:val="white"/>
        </w:rPr>
        <w:t xml:space="preserve">услуг и получения счета путем перечисления денежных средств на расчетный счет «Исполнителя»</w:t>
      </w:r>
      <w:r>
        <w:rPr>
          <w:color w:val="121416"/>
          <w:sz w:val="24"/>
        </w:rPr>
        <w:t xml:space="preserve">.</w:t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45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2.5. Ц</w:t>
      </w:r>
      <w:r>
        <w:rPr>
          <w:sz w:val="24"/>
          <w:szCs w:val="24"/>
        </w:rPr>
        <w:t xml:space="preserve">ены на медицинские услуги, указанные в Приложении № 1 могут меняться «Исполнителем» в одностороннем порядке. Об изменениях в Прейскуранте «Исполнитель» обязан уведомить «Заказчика» за 30 календарных дней до введения новых цен в действие в письменной форме.</w:t>
      </w:r>
      <w:r/>
    </w:p>
    <w:p>
      <w:pPr>
        <w:ind w:left="0" w:right="0" w:firstLine="0"/>
        <w:jc w:val="both"/>
        <w:spacing w:lineRule="atLeast" w:line="276" w:after="0" w:before="240"/>
        <w:rPr>
          <w:rFonts w:ascii="Times New Roman" w:hAnsi="Times New Roman" w:cs="Times New Roman" w:eastAsia="Times New Roman"/>
          <w:sz w:val="24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1 N 61н) (далее - Акт приемки).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Вторая сторона обязана обеспечить подписание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аправлен акт.).</w:t>
      </w:r>
      <w:r>
        <w:rPr>
          <w:highlight w:val="white"/>
        </w:rPr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45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left="3168"/>
        <w:spacing w:before="274"/>
        <w:shd w:val="clear" w:fill="FFFFFF" w:color="auto"/>
      </w:pPr>
      <w:r>
        <w:rPr>
          <w:sz w:val="24"/>
          <w:szCs w:val="24"/>
        </w:rPr>
        <w:t xml:space="preserve">3. ПРАВА И ОБЯЗАННОСТИ СТОРОН</w:t>
      </w:r>
      <w:r/>
    </w:p>
    <w:p>
      <w:pPr>
        <w:jc w:val="both"/>
        <w:spacing w:lineRule="exact" w:line="274" w:before="274"/>
        <w:shd w:val="clear" w:fill="FFFFFF" w:color="auto"/>
      </w:pPr>
      <w:r>
        <w:rPr>
          <w:sz w:val="24"/>
          <w:szCs w:val="24"/>
        </w:rPr>
        <w:t xml:space="preserve">3.1. «Исполнитель» обязан:</w:t>
      </w:r>
      <w:r/>
    </w:p>
    <w:p>
      <w:pPr>
        <w:jc w:val="both"/>
        <w:spacing w:lineRule="exact" w:line="274"/>
        <w:shd w:val="clear" w:fill="FFFFFF" w:color="auto"/>
      </w:pPr>
      <w:r>
        <w:rPr>
          <w:sz w:val="24"/>
          <w:szCs w:val="24"/>
        </w:rPr>
        <w:t xml:space="preserve">3.1.1. Оказать услуги в соответствии с требованиями настоящего Договора.</w:t>
      </w:r>
      <w:r/>
    </w:p>
    <w:p>
      <w:pPr>
        <w:ind w:right="144"/>
        <w:jc w:val="both"/>
        <w:spacing w:lineRule="exact" w:line="274"/>
        <w:shd w:val="clear" w:fill="FFFFFF" w:color="auto"/>
        <w:tabs>
          <w:tab w:val="left" w:pos="1454" w:leader="none"/>
        </w:tabs>
      </w:pPr>
      <w:r>
        <w:rPr>
          <w:spacing w:val="-4"/>
          <w:sz w:val="24"/>
          <w:szCs w:val="24"/>
        </w:rPr>
        <w:t xml:space="preserve">3.1.2. </w:t>
      </w:r>
      <w:r>
        <w:rPr>
          <w:sz w:val="24"/>
          <w:szCs w:val="24"/>
        </w:rPr>
        <w:t xml:space="preserve">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Федерации.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565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3.1.3. </w:t>
      </w:r>
      <w:r>
        <w:rPr>
          <w:sz w:val="24"/>
          <w:szCs w:val="24"/>
        </w:rPr>
        <w:t xml:space="preserve">Обязуется выдать заключение с указанием результатов проведенных исследований.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5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 «Исполнитель» имеет право: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5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3.2.1.Отказать клиенту в предоставлении медицинских услуг в случае невыполнения пациентом Заказчика требований лечащего врача и условий настоящего договора.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5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3.2.2.При выявлении у пациента противопоказаний к проведению диагностических мероприятий отказать ему в проведении соответствующих диагностических мероприятий.</w:t>
      </w:r>
      <w:r/>
    </w:p>
    <w:p>
      <w:pPr>
        <w:ind w:right="144"/>
        <w:jc w:val="both"/>
        <w:spacing w:lineRule="exact" w:line="274" w:before="5"/>
        <w:shd w:val="clear" w:fill="FFFFFF" w:color="auto"/>
        <w:tabs>
          <w:tab w:val="left" w:pos="1565" w:leader="none"/>
        </w:tabs>
      </w:pPr>
      <w:r>
        <w:rPr>
          <w:sz w:val="24"/>
          <w:szCs w:val="24"/>
        </w:rPr>
        <w:t xml:space="preserve">3.2.3 Контролировать выполнение заказчиком условий настоящего договора.</w:t>
      </w:r>
      <w:r/>
    </w:p>
    <w:p>
      <w:pPr>
        <w:jc w:val="both"/>
        <w:spacing w:lineRule="exact" w:line="274"/>
        <w:shd w:val="clear" w:fill="FFFFFF" w:color="auto"/>
      </w:pPr>
      <w:r>
        <w:rPr>
          <w:sz w:val="24"/>
          <w:szCs w:val="24"/>
        </w:rPr>
        <w:t xml:space="preserve">3.2 «Заказчик обязан»:</w:t>
      </w:r>
      <w:r/>
    </w:p>
    <w:p>
      <w:pPr>
        <w:ind w:right="154"/>
        <w:jc w:val="both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3.3.1. Выдать своим клиентам направление на оказание медицинской помощи.</w:t>
      </w:r>
      <w:r/>
    </w:p>
    <w:p>
      <w:pPr>
        <w:ind w:right="154"/>
        <w:jc w:val="both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3.3.2. Форма направления определяется дополнительно на уровне исполнителей сторон.</w:t>
      </w:r>
      <w:r/>
    </w:p>
    <w:p>
      <w:pPr>
        <w:ind w:right="154"/>
        <w:jc w:val="both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3.3.3.Оплатить исполнителю медицинскую услугу в размере, указанном в пункте </w:t>
      </w:r>
      <w:r/>
    </w:p>
    <w:p>
      <w:pPr>
        <w:ind w:right="154"/>
        <w:jc w:val="both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2.1. настоящего Договора.</w:t>
      </w:r>
      <w:r/>
    </w:p>
    <w:p>
      <w:pPr>
        <w:ind w:right="149"/>
        <w:jc w:val="both"/>
        <w:spacing w:lineRule="exact" w:lin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149"/>
        <w:jc w:val="center"/>
        <w:spacing w:lineRule="exact" w:line="274"/>
        <w:shd w:val="clear" w:fill="FFFFFF" w:color="auto"/>
      </w:pPr>
      <w:r>
        <w:rPr>
          <w:sz w:val="24"/>
          <w:szCs w:val="24"/>
        </w:rPr>
        <w:t xml:space="preserve">4. ОТВЕТСТВЕННОСТЬ СТОРОН</w:t>
      </w:r>
      <w:r/>
    </w:p>
    <w:p>
      <w:pPr>
        <w:ind w:left="10"/>
        <w:jc w:val="both"/>
        <w:spacing w:lineRule="exact" w:line="274" w:before="269"/>
        <w:shd w:val="clear" w:fill="FFFFFF" w:color="auto"/>
      </w:pPr>
      <w:r>
        <w:rPr>
          <w:sz w:val="24"/>
          <w:szCs w:val="24"/>
        </w:rPr>
        <w:t xml:space="preserve">4.1. За неисполнение или ненадлежащее исполнение своих обязательств по настоящему Договору «Стороны» несут ответственность в соответствии с законодательством Российской Федерации.</w:t>
      </w:r>
      <w:r/>
    </w:p>
    <w:p>
      <w:pPr>
        <w:ind w:left="5"/>
        <w:jc w:val="center"/>
        <w:spacing w:lineRule="exact" w:line="274" w:before="274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5. ПРОЧИЕ УСЛОВИЯ</w:t>
      </w:r>
      <w:r/>
    </w:p>
    <w:p>
      <w:pPr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5.1 </w:t>
      </w:r>
      <w:r>
        <w:rPr>
          <w:b w:val="false"/>
          <w:sz w:val="24"/>
          <w:szCs w:val="24"/>
        </w:rPr>
        <w:t xml:space="preserve">Договор </w:t>
      </w:r>
      <w:r>
        <w:rPr>
          <w:b w:val="false"/>
          <w:sz w:val="24"/>
          <w:szCs w:val="24"/>
        </w:rPr>
        <w:t xml:space="preserve">вступает в силу  с момента его  подписания обеими сторонами. </w:t>
      </w:r>
      <w:r>
        <w:rPr>
          <w:b w:val="false"/>
          <w:sz w:val="24"/>
          <w:szCs w:val="24"/>
        </w:rPr>
        <w:t xml:space="preserve">Договор действует до 31.12.2026 года. </w:t>
      </w:r>
      <w:r>
        <w:rPr>
          <w:b w:val="false"/>
        </w:rPr>
      </w:r>
      <w:r/>
    </w:p>
    <w:p>
      <w:pPr>
        <w:ind w:left="10" w:right="5"/>
        <w:jc w:val="both"/>
        <w:spacing w:lineRule="exact" w:line="274"/>
        <w:shd w:val="clear" w:fill="FFFFFF" w:color="auto"/>
        <w:tabs>
          <w:tab w:val="left" w:pos="116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5.2. Настоящий договор составлен в двух экземплярах, имеющих равную юридическую силу, по одному экземпляру для каждой из сторон.</w:t>
      </w:r>
      <w:r/>
    </w:p>
    <w:p>
      <w:pPr>
        <w:ind w:left="10" w:right="5"/>
        <w:jc w:val="both"/>
        <w:spacing w:lineRule="exact" w:line="274"/>
        <w:shd w:val="clear" w:fill="FFFFFF" w:color="auto"/>
        <w:tabs>
          <w:tab w:val="left" w:pos="116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Все вопросы, не урегулированные настоящим договором, решаются в соответствии с действующим законодательством РФ. </w:t>
      </w:r>
      <w:r/>
    </w:p>
    <w:p>
      <w:pPr>
        <w:ind w:left="10" w:right="5"/>
        <w:jc w:val="center"/>
        <w:spacing w:lineRule="exact" w:line="274"/>
        <w:shd w:val="clear" w:fill="FFFFFF" w:color="auto"/>
        <w:tabs>
          <w:tab w:val="left" w:pos="116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5.4. Стороны обязуются обеспечить конфиденциальность персональных данных и безопас</w:t>
      </w:r>
      <w:r>
        <w:rPr>
          <w:sz w:val="24"/>
          <w:szCs w:val="24"/>
        </w:rPr>
        <w:t xml:space="preserve">ность персональных данных при их обработке, ставших им известными в процессе исполнения настоящего договора, а также принять для этого все необходимые меры с использованием методов и способов защиты информации, установленных действующим законодательством. </w:t>
      </w:r>
      <w:r/>
    </w:p>
    <w:p>
      <w:pPr>
        <w:ind w:left="10" w:right="5"/>
        <w:jc w:val="center"/>
        <w:spacing w:lineRule="exact" w:line="274"/>
        <w:shd w:val="clear" w:fill="FFFFFF" w:color="auto"/>
        <w:tabs>
          <w:tab w:val="left" w:pos="1162" w:leader="none"/>
        </w:tabs>
        <w:rPr>
          <w:spacing w:val="-8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6. АДРЕСА, РЕКВИЗИТЫ И ПОДПИСИ СТОРОН</w:t>
      </w:r>
      <w:r/>
    </w:p>
    <w:tbl>
      <w:tblPr>
        <w:tblW w:w="10065" w:type="dxa"/>
        <w:tblInd w:w="-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>
        <w:trPr/>
        <w:tc>
          <w:tcPr>
            <w:tcW w:w="482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ООО "МЦ "Решение"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333333"/>
                <w:sz w:val="20"/>
                <w:szCs w:val="24"/>
                <w:shd w:val="clear" w:fill="FFFFFF" w:color="auto"/>
                <w:lang w:eastAsia="en-US"/>
              </w:rPr>
              <w:t xml:space="preserve">610025</w:t>
            </w:r>
            <w:r>
              <w:rPr>
                <w:rFonts w:ascii="Times New Roman" w:hAnsi="Times New Roman" w:cs="Times New Roman" w:eastAsia="Times New Roman"/>
                <w:color w:val="333333"/>
                <w:sz w:val="20"/>
                <w:szCs w:val="24"/>
                <w:shd w:val="clear" w:fill="FFFFFF" w:color="auto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Кировская область, г. Киров,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улица Мельничная, д. 2Б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spacing w:val="-2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Фактический и почтовый адрес: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4"/>
                <w:shd w:val="clear" w:fill="FFFFFF" w:color="auto"/>
                <w:lang w:eastAsia="en-US"/>
              </w:rPr>
              <w:t xml:space="preserve">610020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4"/>
                <w:lang w:eastAsia="en-US"/>
              </w:rPr>
              <w:t xml:space="preserve">г.Киров, ул.Карла Маркса, 18б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ИНН 4345528448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КПП 434501001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ОГРН 1234300008580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Э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лектронная почта: 327111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val="en-US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Сайт: Медрешение.РФ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Тел. 8(8332)327111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</w:rPr>
              <w:t xml:space="preserve"> 8(8332)328111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Гене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ральный Директор Водянов Сергей </w:t>
            </w:r>
            <w:bookmarkStart w:id="1" w:name="_GoBack"/>
            <w:r>
              <w:rPr>
                <w:rFonts w:ascii="Times New Roman" w:hAnsi="Times New Roman" w:cs="Times New Roman" w:eastAsia="Times New Roman"/>
                <w:sz w:val="20"/>
              </w:rPr>
            </w:r>
            <w:bookmarkEnd w:id="1"/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Сергеевич 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Банковские реквизиты: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pacing w:lineRule="atLeast" w:line="240"/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Расчетный счет 40702810200020191477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pacing w:lineRule="atLeast" w:line="240"/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АО КБ "ХЛЫНОВ"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pacing w:lineRule="atLeast" w:line="240"/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БИК 043304711</w:t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spacing w:lineRule="atLeast" w:line="240"/>
              <w:shd w:val="clear" w:fill="FFFFFF" w:color="auto"/>
              <w:rPr>
                <w:rFonts w:ascii="Times New Roman" w:hAnsi="Times New Roman" w:cs="Times New Roman" w:eastAsia="Times New Roman"/>
                <w:sz w:val="20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4"/>
                <w:lang w:eastAsia="en-US"/>
              </w:rPr>
              <w:t xml:space="preserve">Корр. счет 30101810100000000711</w:t>
            </w:r>
            <w:r>
              <w:rPr>
                <w:rFonts w:ascii="Times New Roman" w:hAnsi="Times New Roman" w:cs="Times New Roman" w:eastAsia="Times New Roman"/>
                <w:sz w:val="20"/>
                <w:szCs w:val="22"/>
                <w:lang w:eastAsia="en-US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34" w:right="-108" w:hanging="34"/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  <w:t xml:space="preserve">Гене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  <w:t xml:space="preserve">ральный директор ____________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Водянов С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  <w:lang w:eastAsia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4"/>
              </w:rPr>
              <w:t xml:space="preserve">м.п.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  <w:t xml:space="preserve">ФГБУН "Кировский НИИ гематологии и переливания крови ФМБА России"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Адрес: 610000, г.Киров, ул.Красноармейская, 72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610027, г. Киров, ул. Красноармейская, 72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(8332) 54-97-31, 54-52-92, 54-79-60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ИНН 4346007656/ КПП 434501001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УФК по Кировской области ФГБУН КНИИГиПК ФМБА России л/с 20406Ц17940, л/с22406Ц17940)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lang w:val="ru-RU" w:bidi="ar-SA" w:eastAsia="ru-RU"/>
              </w:rPr>
              <w:t xml:space="preserve">р/сч 03214643000000014000 в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БИК 013304182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57"/>
              <w:jc w:val="left"/>
              <w:spacing w:after="0" w:before="0"/>
              <w:widowControl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кор/сч 40102810345370000033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  <w:t xml:space="preserve">Директор _______________/И.В. Парамонов/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tabs>
                <w:tab w:val="left" w:pos="4834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4"/>
              </w:rPr>
              <w:t xml:space="preserve">м.п.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360" w:right="746" w:bottom="719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8"/>
      <w:isLgl w:val="false"/>
      <w:suff w:val="space"/>
      <w:lvlText w:val="%1."/>
      <w:lvlJc w:val="left"/>
      <w:pPr/>
    </w:lvl>
    <w:lvl w:ilvl="1">
      <w:start w:val="1"/>
      <w:numFmt w:val="decimal"/>
      <w:pStyle w:val="659"/>
      <w:isLgl w:val="false"/>
      <w:suff w:val="space"/>
      <w:lvlText w:val="%1.%2."/>
      <w:lvlJc w:val="left"/>
      <w:pPr/>
    </w:lvl>
    <w:lvl w:ilvl="2">
      <w:start w:val="1"/>
      <w:numFmt w:val="decimal"/>
      <w:pStyle w:val="660"/>
      <w:isLgl w:val="false"/>
      <w:suff w:val="space"/>
      <w:lvlText w:val="%1.%2.%3."/>
      <w:lvlJc w:val="left"/>
      <w:pPr/>
    </w:lvl>
    <w:lvl w:ilvl="3">
      <w:start w:val="1"/>
      <w:numFmt w:val="decimal"/>
      <w:pStyle w:val="661"/>
      <w:isLgl w:val="false"/>
      <w:suff w:val="space"/>
      <w:lvlText w:val="%1.%2.%3.%4."/>
      <w:lvlJc w:val="left"/>
      <w:pPr/>
    </w:lvl>
    <w:lvl w:ilvl="4">
      <w:start w:val="1"/>
      <w:numFmt w:val="decimal"/>
      <w:pStyle w:val="662"/>
      <w:isLgl w:val="false"/>
      <w:suff w:val="space"/>
      <w:lvlText w:val="%1.%2.%3.%4.%5."/>
      <w:lvlJc w:val="left"/>
      <w:pPr/>
    </w:lvl>
    <w:lvl w:ilvl="5">
      <w:start w:val="1"/>
      <w:numFmt w:val="decimal"/>
      <w:pStyle w:val="663"/>
      <w:isLgl w:val="false"/>
      <w:suff w:val="space"/>
      <w:lvlText w:val="%1.%2.%3.%4.%5.%6."/>
      <w:lvlJc w:val="left"/>
      <w:pPr/>
    </w:lvl>
    <w:lvl w:ilvl="6">
      <w:start w:val="1"/>
      <w:numFmt w:val="decimal"/>
      <w:pStyle w:val="664"/>
      <w:isLgl w:val="false"/>
      <w:suff w:val="space"/>
      <w:lvlText w:val="%1.%2.%3.%4.%5.%6.%7."/>
      <w:lvlJc w:val="left"/>
      <w:pPr/>
    </w:lvl>
    <w:lvl w:ilvl="7">
      <w:start w:val="1"/>
      <w:numFmt w:val="decimal"/>
      <w:pStyle w:val="665"/>
      <w:isLgl w:val="false"/>
      <w:suff w:val="space"/>
      <w:lvlText w:val="%1.%2.%3.%4.%5.%6.%7.%8."/>
      <w:lvlJc w:val="left"/>
      <w:pPr/>
    </w:lvl>
    <w:lvl w:ilvl="8">
      <w:start w:val="1"/>
      <w:numFmt w:val="decimal"/>
      <w:pStyle w:val="666"/>
      <w:isLgl w:val="false"/>
      <w:suff w:val="space"/>
      <w:lvlText w:val="%1.%2.%3.%4.%5.%6.%7.%8.%9.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/>
    </w:lvl>
    <w:lvl w:ilvl="2">
      <w:start w:val="1"/>
      <w:numFmt w:val="decimal"/>
      <w:isLgl w:val="false"/>
      <w:suff w:val="space"/>
      <w:lvlText w:val="%1.%2.%3."/>
      <w:lvlJc w:val="left"/>
      <w:pPr/>
    </w:lvl>
    <w:lvl w:ilvl="3">
      <w:start w:val="1"/>
      <w:numFmt w:val="decimal"/>
      <w:isLgl w:val="false"/>
      <w:suff w:val="space"/>
      <w:lvlText w:val="%1.%2.%3.%4."/>
      <w:lvlJc w:val="left"/>
      <w:pPr/>
    </w:lvl>
    <w:lvl w:ilvl="4">
      <w:start w:val="1"/>
      <w:numFmt w:val="decimal"/>
      <w:isLgl w:val="false"/>
      <w:suff w:val="space"/>
      <w:lvlText w:val="%1.%2.%3.%4.%5."/>
      <w:lvlJc w:val="left"/>
      <w:pPr/>
    </w:lvl>
    <w:lvl w:ilvl="5">
      <w:start w:val="1"/>
      <w:numFmt w:val="decimal"/>
      <w:isLgl w:val="false"/>
      <w:suff w:val="space"/>
      <w:lvlText w:val="%1.%2.%3.%4.%5.%6."/>
      <w:lvlJc w:val="left"/>
      <w:pPr/>
    </w:lvl>
    <w:lvl w:ilvl="6">
      <w:start w:val="1"/>
      <w:numFmt w:val="decimal"/>
      <w:isLgl w:val="false"/>
      <w:suff w:val="space"/>
      <w:lvlText w:val="%1.%2.%3.%4.%5.%6.%7."/>
      <w:lvlJc w:val="left"/>
      <w:pPr/>
    </w:lvl>
    <w:lvl w:ilvl="7">
      <w:start w:val="1"/>
      <w:numFmt w:val="decimal"/>
      <w:isLgl w:val="false"/>
      <w:suff w:val="space"/>
      <w:lvlText w:val="%1.%2.%3.%4.%5.%6.%7.%8."/>
      <w:lvlJc w:val="left"/>
      <w:pPr/>
    </w:lvl>
    <w:lvl w:ilvl="8">
      <w:start w:val="1"/>
      <w:numFmt w:val="decimal"/>
      <w:isLgl w:val="false"/>
      <w:suff w:val="space"/>
      <w:lvlText w:val="%1.%2.%3.%4.%5.%6.%7.%8.%9."/>
      <w:lvlJc w:val="left"/>
      <w:p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cs="Arial" w:eastAsia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cs="Arial" w:eastAsia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cs="Arial" w:eastAsia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cs="Arial" w:eastAsia="Arial"/>
      <w:i/>
      <w:iCs/>
      <w:sz w:val="21"/>
      <w:szCs w:val="21"/>
    </w:rPr>
  </w:style>
  <w:style w:type="character" w:styleId="649">
    <w:name w:val="Title Char"/>
    <w:basedOn w:val="667"/>
    <w:link w:val="681"/>
    <w:uiPriority w:val="10"/>
    <w:rPr>
      <w:sz w:val="48"/>
      <w:szCs w:val="48"/>
    </w:rPr>
  </w:style>
  <w:style w:type="character" w:styleId="650">
    <w:name w:val="Subtitle Char"/>
    <w:basedOn w:val="667"/>
    <w:link w:val="683"/>
    <w:uiPriority w:val="11"/>
    <w:rPr>
      <w:sz w:val="24"/>
      <w:szCs w:val="24"/>
    </w:rPr>
  </w:style>
  <w:style w:type="character" w:styleId="651">
    <w:name w:val="Quote Char"/>
    <w:link w:val="685"/>
    <w:uiPriority w:val="29"/>
    <w:rPr>
      <w:i/>
    </w:rPr>
  </w:style>
  <w:style w:type="character" w:styleId="652">
    <w:name w:val="Intense Quote Char"/>
    <w:link w:val="687"/>
    <w:uiPriority w:val="30"/>
    <w:rPr>
      <w:i/>
    </w:rPr>
  </w:style>
  <w:style w:type="character" w:styleId="653">
    <w:name w:val="Header Char"/>
    <w:basedOn w:val="667"/>
    <w:link w:val="689"/>
    <w:uiPriority w:val="99"/>
  </w:style>
  <w:style w:type="character" w:styleId="654">
    <w:name w:val="Caption Char"/>
    <w:basedOn w:val="693"/>
    <w:link w:val="691"/>
    <w:uiPriority w:val="99"/>
  </w:style>
  <w:style w:type="character" w:styleId="655">
    <w:name w:val="Footnote Text Char"/>
    <w:link w:val="822"/>
    <w:uiPriority w:val="99"/>
    <w:rPr>
      <w:sz w:val="18"/>
    </w:rPr>
  </w:style>
  <w:style w:type="character" w:styleId="656">
    <w:name w:val="Endnote Text Char"/>
    <w:link w:val="825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link w:val="670"/>
    <w:rPr>
      <w:b/>
      <w:bCs/>
      <w:sz w:val="24"/>
      <w:szCs w:val="28"/>
      <w:lang w:eastAsia="ru-RU"/>
    </w:rPr>
    <w:pPr>
      <w:numPr>
        <w:numId w:val="2"/>
      </w:numPr>
      <w:jc w:val="center"/>
      <w:keepLines/>
      <w:keepNext/>
      <w:spacing w:lineRule="auto" w:line="276" w:after="12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659">
    <w:name w:val="Heading 2"/>
    <w:link w:val="671"/>
    <w:rPr>
      <w:bCs/>
      <w:sz w:val="26"/>
      <w:szCs w:val="26"/>
      <w:lang w:eastAsia="ru-RU"/>
    </w:rPr>
    <w:pPr>
      <w:numPr>
        <w:ilvl w:val="1"/>
        <w:numId w:val="2"/>
      </w:numPr>
      <w:ind w:firstLine="482"/>
      <w:jc w:val="both"/>
      <w:spacing w:lineRule="auto" w:line="276" w:after="120" w:before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paragraph" w:styleId="660">
    <w:name w:val="Heading 3"/>
    <w:link w:val="672"/>
    <w:rPr>
      <w:bCs/>
      <w:sz w:val="22"/>
      <w:szCs w:val="22"/>
      <w:lang w:eastAsia="ru-RU"/>
    </w:rPr>
    <w:pPr>
      <w:numPr>
        <w:ilvl w:val="2"/>
        <w:numId w:val="2"/>
      </w:numPr>
      <w:ind w:firstLine="482"/>
      <w:jc w:val="both"/>
      <w:spacing w:lineRule="auto" w:line="276" w:after="120" w:before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paragraph" w:styleId="661">
    <w:name w:val="Heading 4"/>
    <w:link w:val="673"/>
    <w:rPr>
      <w:bCs/>
      <w:iCs/>
      <w:sz w:val="22"/>
      <w:szCs w:val="22"/>
      <w:lang w:eastAsia="ru-RU"/>
    </w:rPr>
    <w:pPr>
      <w:numPr>
        <w:ilvl w:val="3"/>
        <w:numId w:val="2"/>
      </w:numPr>
      <w:ind w:firstLine="482"/>
      <w:jc w:val="both"/>
      <w:spacing w:lineRule="auto" w:line="276" w:after="120" w:before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paragraph" w:styleId="662">
    <w:name w:val="Heading 5"/>
    <w:link w:val="674"/>
    <w:rPr>
      <w:sz w:val="22"/>
      <w:szCs w:val="22"/>
      <w:lang w:eastAsia="ru-RU"/>
    </w:rPr>
    <w:pPr>
      <w:numPr>
        <w:ilvl w:val="4"/>
        <w:numId w:val="2"/>
      </w:numPr>
      <w:ind w:firstLine="482"/>
      <w:jc w:val="both"/>
      <w:keepLines/>
      <w:keepNext/>
      <w:spacing w:lineRule="auto" w:line="276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paragraph" w:styleId="663">
    <w:name w:val="Heading 6"/>
    <w:link w:val="675"/>
    <w:rPr>
      <w:i/>
      <w:iCs/>
      <w:color w:val="243F60"/>
      <w:sz w:val="22"/>
      <w:szCs w:val="22"/>
      <w:lang w:eastAsia="ru-RU"/>
    </w:rPr>
    <w:pPr>
      <w:numPr>
        <w:ilvl w:val="5"/>
        <w:numId w:val="2"/>
      </w:numPr>
      <w:ind w:firstLine="482"/>
      <w:jc w:val="both"/>
      <w:keepLines/>
      <w:keepNext/>
      <w:spacing w:lineRule="auto" w:line="276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paragraph" w:styleId="664">
    <w:name w:val="Heading 7"/>
    <w:link w:val="676"/>
    <w:rPr>
      <w:i/>
      <w:iCs/>
      <w:color w:val="404040"/>
      <w:sz w:val="22"/>
      <w:szCs w:val="22"/>
      <w:lang w:eastAsia="ru-RU"/>
    </w:rPr>
    <w:pPr>
      <w:numPr>
        <w:ilvl w:val="6"/>
        <w:numId w:val="2"/>
      </w:numPr>
      <w:ind w:firstLine="482"/>
      <w:jc w:val="both"/>
      <w:keepLines/>
      <w:keepNext/>
      <w:spacing w:lineRule="auto" w:line="276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665">
    <w:name w:val="Heading 8"/>
    <w:link w:val="677"/>
    <w:rPr>
      <w:color w:val="4F81BD"/>
      <w:lang w:eastAsia="ru-RU"/>
    </w:rPr>
    <w:pPr>
      <w:numPr>
        <w:ilvl w:val="7"/>
        <w:numId w:val="2"/>
      </w:numPr>
      <w:ind w:firstLine="482"/>
      <w:jc w:val="both"/>
      <w:keepLines/>
      <w:keepNext/>
      <w:spacing w:lineRule="auto" w:line="276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paragraph" w:styleId="666">
    <w:name w:val="Heading 9"/>
    <w:link w:val="678"/>
    <w:rPr>
      <w:i/>
      <w:iCs/>
      <w:color w:val="404040"/>
      <w:lang w:eastAsia="ru-RU"/>
    </w:rPr>
    <w:pPr>
      <w:numPr>
        <w:ilvl w:val="8"/>
        <w:numId w:val="2"/>
      </w:numPr>
      <w:ind w:firstLine="482"/>
      <w:jc w:val="both"/>
      <w:keepLines/>
      <w:keepNext/>
      <w:spacing w:lineRule="auto" w:line="276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Arial" w:hAnsi="Arial" w:cs="Arial" w:eastAsia="Arial"/>
      <w:sz w:val="40"/>
      <w:szCs w:val="40"/>
    </w:rPr>
  </w:style>
  <w:style w:type="character" w:styleId="671" w:customStyle="1">
    <w:name w:val="Заголовок 2 Знак"/>
    <w:link w:val="659"/>
    <w:uiPriority w:val="9"/>
    <w:rPr>
      <w:rFonts w:ascii="Arial" w:hAnsi="Arial" w:cs="Arial" w:eastAsia="Arial"/>
      <w:sz w:val="34"/>
    </w:rPr>
  </w:style>
  <w:style w:type="character" w:styleId="672" w:customStyle="1">
    <w:name w:val="Заголовок 3 Знак"/>
    <w:link w:val="660"/>
    <w:uiPriority w:val="9"/>
    <w:rPr>
      <w:rFonts w:ascii="Arial" w:hAnsi="Arial" w:cs="Arial" w:eastAsia="Arial"/>
      <w:sz w:val="30"/>
      <w:szCs w:val="30"/>
    </w:rPr>
  </w:style>
  <w:style w:type="character" w:styleId="673" w:customStyle="1">
    <w:name w:val="Заголовок 4 Знак"/>
    <w:link w:val="661"/>
    <w:uiPriority w:val="9"/>
    <w:rPr>
      <w:rFonts w:ascii="Arial" w:hAnsi="Arial" w:cs="Arial" w:eastAsia="Arial"/>
      <w:b/>
      <w:bCs/>
      <w:sz w:val="26"/>
      <w:szCs w:val="26"/>
    </w:rPr>
  </w:style>
  <w:style w:type="character" w:styleId="674" w:customStyle="1">
    <w:name w:val="Заголовок 5 Знак"/>
    <w:link w:val="662"/>
    <w:uiPriority w:val="9"/>
    <w:rPr>
      <w:rFonts w:ascii="Arial" w:hAnsi="Arial" w:cs="Arial" w:eastAsia="Arial"/>
      <w:b/>
      <w:bCs/>
      <w:sz w:val="24"/>
      <w:szCs w:val="24"/>
    </w:rPr>
  </w:style>
  <w:style w:type="character" w:styleId="675" w:customStyle="1">
    <w:name w:val="Заголовок 6 Знак"/>
    <w:link w:val="663"/>
    <w:uiPriority w:val="9"/>
    <w:rPr>
      <w:rFonts w:ascii="Arial" w:hAnsi="Arial" w:cs="Arial" w:eastAsia="Arial"/>
      <w:b/>
      <w:bCs/>
      <w:sz w:val="22"/>
      <w:szCs w:val="22"/>
    </w:rPr>
  </w:style>
  <w:style w:type="character" w:styleId="676" w:customStyle="1">
    <w:name w:val="Заголовок 7 Знак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65"/>
    <w:uiPriority w:val="9"/>
    <w:rPr>
      <w:rFonts w:ascii="Arial" w:hAnsi="Arial" w:cs="Arial" w:eastAsia="Arial"/>
      <w:i/>
      <w:iCs/>
      <w:sz w:val="22"/>
      <w:szCs w:val="22"/>
    </w:rPr>
  </w:style>
  <w:style w:type="character" w:styleId="678" w:customStyle="1">
    <w:name w:val="Заголовок 9 Знак"/>
    <w:link w:val="666"/>
    <w:uiPriority w:val="9"/>
    <w:rPr>
      <w:rFonts w:ascii="Arial" w:hAnsi="Arial" w:cs="Arial" w:eastAsia="Arial"/>
      <w:i/>
      <w:iCs/>
      <w:sz w:val="21"/>
      <w:szCs w:val="21"/>
    </w:rPr>
  </w:style>
  <w:style w:type="paragraph" w:styleId="679">
    <w:name w:val="List Paragraph"/>
    <w:qFormat/>
    <w:uiPriority w:val="34"/>
    <w:pPr>
      <w:contextualSpacing w:val="true"/>
      <w:ind w:left="720"/>
    </w:pPr>
  </w:style>
  <w:style w:type="paragraph" w:styleId="680">
    <w:name w:val="No Spacing"/>
    <w:qFormat/>
    <w:uiPriority w:val="1"/>
  </w:style>
  <w:style w:type="paragraph" w:styleId="681">
    <w:name w:val="Title"/>
    <w:link w:val="68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2" w:customStyle="1">
    <w:name w:val="Название Знак"/>
    <w:link w:val="681"/>
    <w:uiPriority w:val="10"/>
    <w:rPr>
      <w:sz w:val="48"/>
      <w:szCs w:val="48"/>
    </w:rPr>
  </w:style>
  <w:style w:type="paragraph" w:styleId="683">
    <w:name w:val="Subtitle"/>
    <w:link w:val="684"/>
    <w:qFormat/>
    <w:uiPriority w:val="11"/>
    <w:rPr>
      <w:sz w:val="24"/>
      <w:szCs w:val="24"/>
    </w:rPr>
    <w:pPr>
      <w:spacing w:after="200" w:before="200"/>
    </w:pPr>
  </w:style>
  <w:style w:type="character" w:styleId="684" w:customStyle="1">
    <w:name w:val="Подзаголовок Знак"/>
    <w:link w:val="683"/>
    <w:uiPriority w:val="11"/>
    <w:rPr>
      <w:sz w:val="24"/>
      <w:szCs w:val="24"/>
    </w:rPr>
  </w:style>
  <w:style w:type="paragraph" w:styleId="685">
    <w:name w:val="Quote"/>
    <w:link w:val="686"/>
    <w:qFormat/>
    <w:uiPriority w:val="29"/>
    <w:rPr>
      <w:i/>
    </w:rPr>
    <w:pPr>
      <w:ind w:left="720" w:right="720"/>
    </w:p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link w:val="68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link w:val="689"/>
    <w:uiPriority w:val="99"/>
  </w:style>
  <w:style w:type="paragraph" w:styleId="691">
    <w:name w:val="Footer"/>
    <w:link w:val="69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uiPriority w:val="99"/>
  </w:style>
  <w:style w:type="paragraph" w:styleId="693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basedOn w:val="668"/>
    <w:pPr>
      <w:widowControl w:val="off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4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25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26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7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8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9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0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35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36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37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0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0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0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0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0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0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0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0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0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1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1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1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14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5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16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7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8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9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20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link w:val="823"/>
    <w:uiPriority w:val="99"/>
    <w:semiHidden/>
    <w:unhideWhenUsed/>
    <w:rPr>
      <w:sz w:val="18"/>
    </w:rPr>
    <w:pPr>
      <w:spacing w:after="40"/>
    </w:p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link w:val="826"/>
    <w:uiPriority w:val="99"/>
    <w:semiHidden/>
    <w:unhideWhenUsed/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uiPriority w:val="39"/>
    <w:unhideWhenUsed/>
    <w:pPr>
      <w:spacing w:after="57"/>
    </w:pPr>
  </w:style>
  <w:style w:type="paragraph" w:styleId="829">
    <w:name w:val="toc 2"/>
    <w:uiPriority w:val="39"/>
    <w:unhideWhenUsed/>
    <w:pPr>
      <w:ind w:left="283"/>
      <w:spacing w:after="57"/>
    </w:pPr>
  </w:style>
  <w:style w:type="paragraph" w:styleId="830">
    <w:name w:val="toc 3"/>
    <w:uiPriority w:val="39"/>
    <w:unhideWhenUsed/>
    <w:pPr>
      <w:ind w:left="567"/>
      <w:spacing w:after="57"/>
    </w:pPr>
  </w:style>
  <w:style w:type="paragraph" w:styleId="831">
    <w:name w:val="toc 4"/>
    <w:uiPriority w:val="39"/>
    <w:unhideWhenUsed/>
    <w:pPr>
      <w:ind w:left="850"/>
      <w:spacing w:after="57"/>
    </w:pPr>
  </w:style>
  <w:style w:type="paragraph" w:styleId="832">
    <w:name w:val="toc 5"/>
    <w:uiPriority w:val="39"/>
    <w:unhideWhenUsed/>
    <w:pPr>
      <w:ind w:left="1134"/>
      <w:spacing w:after="57"/>
    </w:pPr>
  </w:style>
  <w:style w:type="paragraph" w:styleId="833">
    <w:name w:val="toc 6"/>
    <w:uiPriority w:val="39"/>
    <w:unhideWhenUsed/>
    <w:pPr>
      <w:ind w:left="1417"/>
      <w:spacing w:after="57"/>
    </w:pPr>
  </w:style>
  <w:style w:type="paragraph" w:styleId="834">
    <w:name w:val="toc 7"/>
    <w:uiPriority w:val="39"/>
    <w:unhideWhenUsed/>
    <w:pPr>
      <w:ind w:left="1701"/>
      <w:spacing w:after="57"/>
    </w:pPr>
  </w:style>
  <w:style w:type="paragraph" w:styleId="835">
    <w:name w:val="toc 8"/>
    <w:uiPriority w:val="39"/>
    <w:unhideWhenUsed/>
    <w:pPr>
      <w:ind w:left="1984"/>
      <w:spacing w:after="57"/>
    </w:pPr>
  </w:style>
  <w:style w:type="paragraph" w:styleId="836">
    <w:name w:val="toc 9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uiPriority w:val="99"/>
    <w:unhideWhenUsed/>
  </w:style>
  <w:style w:type="paragraph" w:styleId="839" w:customStyle="1">
    <w:name w:val="FR2"/>
    <w:rPr>
      <w:sz w:val="24"/>
      <w:lang w:eastAsia="ru-RU"/>
    </w:rPr>
    <w:pPr>
      <w:ind w:firstLine="720"/>
      <w:jc w:val="both"/>
      <w:spacing w:lineRule="auto" w:line="300"/>
      <w:widowControl w:val="off"/>
    </w:pPr>
  </w:style>
  <w:style w:type="paragraph" w:styleId="840">
    <w:name w:val="Normal (Web)"/>
    <w:basedOn w:val="657"/>
    <w:rPr>
      <w:sz w:val="24"/>
      <w:szCs w:val="24"/>
    </w:rPr>
    <w:pPr>
      <w:spacing w:after="100" w:afterAutospacing="1" w:before="100" w:beforeAutospacing="1"/>
    </w:pPr>
  </w:style>
  <w:style w:type="paragraph" w:styleId="841">
    <w:name w:val="Balloon Text"/>
    <w:basedOn w:val="657"/>
    <w:link w:val="842"/>
    <w:rPr>
      <w:rFonts w:ascii="Segoe UI" w:hAnsi="Segoe UI"/>
      <w:sz w:val="18"/>
      <w:szCs w:val="18"/>
    </w:rPr>
  </w:style>
  <w:style w:type="character" w:styleId="842" w:customStyle="1">
    <w:name w:val="Текст выноски Знак"/>
    <w:link w:val="841"/>
    <w:rPr>
      <w:rFonts w:ascii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revision>13</cp:revision>
  <dcterms:created xsi:type="dcterms:W3CDTF">2025-04-25T12:39:00Z</dcterms:created>
  <dcterms:modified xsi:type="dcterms:W3CDTF">2026-05-18T08:23:17Z</dcterms:modified>
</cp:coreProperties>
</file>