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7.xml" ContentType="application/vnd.openxmlformats-officedocument.wordprocessingml.header+xml"/>
  <Override PartName="/word/document.xml" ContentType="application/vnd.openxmlformats-officedocument.wordprocessingml.document.main+xml"/>
  <Override PartName="/word/header6.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footer6.xml" ContentType="application/vnd.openxmlformats-officedocument.wordprocessingml.footer+xml"/>
  <Override PartName="/word/footer5.xml" ContentType="application/vnd.openxmlformats-officedocument.wordprocessingml.footer+xml"/>
  <Override PartName="/word/_rels/document.xml.rels" ContentType="application/vnd.openxmlformats-package.relationships+xml"/>
  <Override PartName="/word/header8.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42"/>
        <w:spacing w:lineRule="auto" w:line="240" w:before="0" w:after="0"/>
        <w:ind w:firstLine="567" w:left="0" w:right="0"/>
        <w:contextualSpacing/>
        <w:jc w:val="center"/>
        <w:rPr>
          <w:b/>
          <w:szCs w:val="24"/>
        </w:rPr>
      </w:pPr>
      <w:r>
        <w:rPr>
          <w:b/>
          <w:szCs w:val="24"/>
        </w:rPr>
        <w:t xml:space="preserve">ГОСУДАРСТВЕННЫЙ КОНТРАКТ № </w:t>
      </w:r>
      <w:r>
        <w:rPr>
          <w:b/>
          <w:szCs w:val="24"/>
          <w:u w:val="single"/>
        </w:rPr>
        <w:t>59</w:t>
      </w:r>
    </w:p>
    <w:p>
      <w:pPr>
        <w:pStyle w:val="42"/>
        <w:spacing w:lineRule="auto" w:line="240" w:before="0" w:after="0"/>
        <w:ind w:firstLine="567" w:left="0" w:right="0"/>
        <w:contextualSpacing/>
        <w:jc w:val="center"/>
        <w:rPr>
          <w:b/>
          <w:szCs w:val="24"/>
        </w:rPr>
      </w:pPr>
      <w:r>
        <w:rPr>
          <w:b/>
          <w:szCs w:val="24"/>
        </w:rPr>
        <w:t>на поставку товара для нужд уголовно-исполнительной системы</w:t>
      </w:r>
    </w:p>
    <w:p>
      <w:pPr>
        <w:pStyle w:val="Normal"/>
        <w:ind w:firstLine="567" w:right="0"/>
        <w:jc w:val="both"/>
        <w:rPr>
          <w:b/>
          <w:szCs w:val="24"/>
        </w:rPr>
      </w:pPr>
      <w:r>
        <w:rPr>
          <w:b/>
          <w:szCs w:val="24"/>
        </w:rPr>
      </w:r>
    </w:p>
    <w:p>
      <w:pPr>
        <w:pStyle w:val="Normal"/>
        <w:ind w:firstLine="567" w:right="0"/>
        <w:jc w:val="both"/>
        <w:rPr/>
      </w:pPr>
      <w:r>
        <w:rPr/>
        <w:t>г. Томск                                                                                                      «___» _________  2026г.</w:t>
      </w:r>
    </w:p>
    <w:p>
      <w:pPr>
        <w:pStyle w:val="Normal"/>
        <w:ind w:firstLine="567" w:right="0"/>
        <w:jc w:val="both"/>
        <w:rPr/>
      </w:pPr>
      <w:r>
        <w:rPr/>
        <w:t xml:space="preserve">ИКЗ </w:t>
      </w:r>
      <w:r>
        <w:rPr>
          <w:bCs/>
          <w:color w:val="000000"/>
          <w:sz w:val="24"/>
          <w:szCs w:val="24"/>
          <w:shd w:fill="FAFAFA" w:val="clear"/>
        </w:rPr>
        <w:t>261701729259470170100100</w:t>
      </w:r>
      <w:r>
        <w:rPr>
          <w:bCs/>
          <w:color w:val="000000"/>
          <w:sz w:val="24"/>
          <w:szCs w:val="24"/>
          <w:shd w:fill="FAFAFA" w:val="clear"/>
          <w:lang w:val="en-US"/>
        </w:rPr>
        <w:t>0</w:t>
      </w:r>
      <w:r>
        <w:rPr>
          <w:bCs/>
          <w:color w:val="000000"/>
          <w:sz w:val="24"/>
          <w:szCs w:val="24"/>
          <w:shd w:fill="FAFAFA" w:val="clear"/>
        </w:rPr>
        <w:t>30000000244</w:t>
      </w:r>
    </w:p>
    <w:p>
      <w:pPr>
        <w:pStyle w:val="Normal"/>
        <w:ind w:firstLine="567" w:right="0"/>
        <w:jc w:val="both"/>
        <w:rPr/>
      </w:pPr>
      <w:r>
        <w:rPr/>
      </w:r>
    </w:p>
    <w:p>
      <w:pPr>
        <w:pStyle w:val="23"/>
        <w:spacing w:lineRule="auto" w:line="240" w:before="0" w:after="0"/>
        <w:ind w:firstLine="567" w:left="0" w:right="0"/>
        <w:contextualSpacing/>
        <w:jc w:val="both"/>
        <w:rPr>
          <w:szCs w:val="24"/>
          <w:lang w:val="ru-RU" w:eastAsia="ru-RU"/>
        </w:rPr>
      </w:pPr>
      <w:r>
        <w:rPr>
          <w:spacing w:val="-4"/>
          <w:szCs w:val="24"/>
        </w:rPr>
        <w:t>Федеральное казенное учреждение Уголовно-исполнительная инспекция Управления федеральной службы исполнения наказаний России по Томской области (ФКУ УИИ УФСИН России по Томской области)</w:t>
      </w:r>
      <w:r>
        <w:rPr>
          <w:szCs w:val="24"/>
        </w:rPr>
        <w:t xml:space="preserve">, именуемое в дальнейшем Государственный заказчик, выступая от имени Российской Федерации, в целях обеспечения государственных нужд, в лице врио начальника учреждения Сыренкова Александра Александровича, действующего на основании Устава, с одной стороны, и </w:t>
      </w:r>
      <w:r>
        <w:rPr>
          <w:rFonts w:cs="XO Thames"/>
          <w:b w:val="false"/>
          <w:bCs w:val="false"/>
          <w:color w:val="000000"/>
          <w:sz w:val="24"/>
          <w:szCs w:val="24"/>
        </w:rPr>
        <w:t>Акционерное общество «Центр информационно-технического обеспечения и связи» (АО «ЦИТОС»)</w:t>
      </w:r>
      <w:r>
        <w:rPr>
          <w:b w:val="false"/>
          <w:bCs w:val="false"/>
          <w:szCs w:val="24"/>
        </w:rPr>
        <w:t xml:space="preserve">, </w:t>
      </w:r>
      <w:r>
        <w:rPr>
          <w:szCs w:val="24"/>
        </w:rPr>
        <w:t xml:space="preserve"> именуемое в дальнейшем «Поставщик», в лице генерального директора Тарасова Юрия Петровича, действующего на основании Устава и Распоряжение № 145-рот от 16.07.2025 г., с другой стороны, совместно именуемые в дальнейшем Стороны, заключили настоящий Государственный контракт (далее – Контракт), с единственным поставщиком в соответствии с пунктом 4 части 1 статьи 93 и с учетом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Cs w:val="24"/>
          <w:lang w:val="ru-RU" w:eastAsia="ru-RU"/>
        </w:rPr>
        <w:t xml:space="preserve"> о нижеследующем:</w:t>
      </w:r>
      <w:r>
        <w:rPr>
          <w:szCs w:val="24"/>
        </w:rPr>
        <w:t xml:space="preserve"> </w:t>
      </w:r>
    </w:p>
    <w:p>
      <w:pPr>
        <w:pStyle w:val="p008d83ec890a0e2d824458fb0c471908"/>
        <w:spacing w:before="0" w:after="0"/>
        <w:ind w:firstLine="567" w:right="0"/>
        <w:jc w:val="both"/>
        <w:rPr>
          <w:szCs w:val="24"/>
          <w:lang w:val="ru-RU" w:eastAsia="ru-RU"/>
        </w:rPr>
      </w:pPr>
      <w:r>
        <w:rPr>
          <w:szCs w:val="24"/>
          <w:lang w:val="ru-RU" w:eastAsia="ru-RU"/>
        </w:rPr>
      </w:r>
    </w:p>
    <w:p>
      <w:pPr>
        <w:pStyle w:val="Normal"/>
        <w:ind w:firstLine="567" w:right="0"/>
        <w:jc w:val="center"/>
        <w:rPr>
          <w:lang w:val="ru-RU" w:eastAsia="ru-RU"/>
        </w:rPr>
      </w:pPr>
      <w:r>
        <w:rPr>
          <w:b/>
        </w:rPr>
        <w:t>1. Предмет Контракта</w:t>
      </w:r>
    </w:p>
    <w:p>
      <w:pPr>
        <w:pStyle w:val="Normal"/>
        <w:ind w:firstLine="567" w:right="0"/>
        <w:jc w:val="both"/>
        <w:rPr>
          <w:lang w:val="ru-RU" w:eastAsia="ru-RU"/>
        </w:rPr>
      </w:pPr>
      <w:r>
        <w:rPr>
          <w:lang w:val="ru-RU" w:eastAsia="ru-RU"/>
        </w:rPr>
        <w:t>1.1. Поставщик обязуется передать Государственному заказчику расходные материалы и комплектующие к оборудованию Системы электронного мониторинга подконтрольных лиц ФСИН России (ФГИС СЭМПЛ) (далее – товар) по адресу, цене, в количестве и в сроки, предусмотренные ведомостью поставки (приложение № 1 к Контракту), с техническими, функциональными характеристиками, предусмотренными Техническим заданием (приложение № 3 к Контракту), а Государственный заказчик обязуется обеспечить приемку и оплату товара согласно условиям Контракта.</w:t>
      </w:r>
    </w:p>
    <w:p>
      <w:pPr>
        <w:pStyle w:val="Normal"/>
        <w:ind w:firstLine="567" w:right="0"/>
        <w:jc w:val="both"/>
        <w:rPr>
          <w:lang w:val="ru-RU" w:eastAsia="ru-RU"/>
        </w:rPr>
      </w:pPr>
      <w:r>
        <w:rPr>
          <w:lang w:val="ru-RU" w:eastAsia="ru-RU"/>
        </w:rPr>
      </w:r>
    </w:p>
    <w:p>
      <w:pPr>
        <w:pStyle w:val="Normal"/>
        <w:ind w:firstLine="567" w:right="0"/>
        <w:jc w:val="center"/>
        <w:rPr>
          <w:rFonts w:ascii="Times New Roman" w:hAnsi="Times New Roman" w:cs="Times New Roman"/>
          <w:szCs w:val="24"/>
        </w:rPr>
      </w:pPr>
      <w:r>
        <w:rPr>
          <w:b/>
        </w:rPr>
        <w:t>2.СУММА КОНТРАКТА, ПОРЯДОК, СРОКИ ОПЛАТЫ ТОВАРА</w:t>
      </w:r>
    </w:p>
    <w:p>
      <w:pPr>
        <w:pStyle w:val="BodyText"/>
        <w:overflowPunct w:val="false"/>
        <w:spacing w:before="0" w:after="0"/>
        <w:ind w:firstLine="567" w:left="0" w:right="0"/>
        <w:rPr>
          <w:rFonts w:ascii="Times New Roman" w:hAnsi="Times New Roman" w:cs="Times New Roman"/>
          <w:szCs w:val="24"/>
        </w:rPr>
      </w:pPr>
      <w:r>
        <w:rPr>
          <w:rFonts w:cs="Times New Roman" w:ascii="Times New Roman" w:hAnsi="Times New Roman"/>
          <w:szCs w:val="24"/>
        </w:rPr>
        <w:t>2.1. Товар оплачивается «Государственным заказчиком» в строгом соответствии с объемами и источниками выделенных бюджетных ассигнований.</w:t>
      </w:r>
    </w:p>
    <w:p>
      <w:pPr>
        <w:pStyle w:val="BodyText"/>
        <w:overflowPunct w:val="false"/>
        <w:spacing w:before="0" w:after="0"/>
        <w:ind w:firstLine="567" w:left="0" w:right="0"/>
        <w:rPr>
          <w:rFonts w:ascii="Times New Roman" w:hAnsi="Times New Roman" w:cs="Times New Roman"/>
          <w:szCs w:val="24"/>
        </w:rPr>
      </w:pPr>
      <w:r>
        <w:rPr>
          <w:rFonts w:cs="Times New Roman" w:ascii="Times New Roman" w:hAnsi="Times New Roman"/>
          <w:szCs w:val="24"/>
        </w:rPr>
        <w:t xml:space="preserve">2.2. Валюта, используемая для расчетов - рубль Российской Федерации. </w:t>
      </w:r>
    </w:p>
    <w:p>
      <w:pPr>
        <w:pStyle w:val="BodyText"/>
        <w:overflowPunct w:val="false"/>
        <w:spacing w:before="0" w:after="0"/>
        <w:ind w:firstLine="567" w:left="0" w:right="0"/>
        <w:rPr>
          <w:rFonts w:ascii="Times New Roman" w:hAnsi="Times New Roman" w:cs="Times New Roman"/>
          <w:szCs w:val="24"/>
        </w:rPr>
      </w:pPr>
      <w:r>
        <w:rPr>
          <w:rFonts w:cs="Times New Roman" w:ascii="Times New Roman" w:hAnsi="Times New Roman"/>
          <w:szCs w:val="24"/>
        </w:rPr>
        <w:t>2.3. Источник финансирования: федеральный бюджет Российской Федерации.</w:t>
      </w:r>
    </w:p>
    <w:p>
      <w:pPr>
        <w:pStyle w:val="Normal"/>
        <w:ind w:firstLine="567" w:right="0"/>
        <w:jc w:val="both"/>
        <w:rPr/>
      </w:pPr>
      <w:r>
        <w:rPr/>
        <w:t>2.4.</w:t>
      </w:r>
      <w:r>
        <w:rPr>
          <w:color w:val="FF0000"/>
        </w:rPr>
        <w:t xml:space="preserve"> </w:t>
      </w:r>
      <w:r>
        <w:rPr>
          <w:rFonts w:eastAsia="Arial Unicode MS"/>
          <w:kern w:val="2"/>
          <w:lang w:eastAsia="ar-SA"/>
        </w:rPr>
        <w:t>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ind w:firstLine="567" w:right="0"/>
        <w:jc w:val="both"/>
        <w:rPr/>
      </w:pPr>
      <w:r>
        <w:rPr/>
        <w:t>2.5. Сумма настоящего Контракта составляет</w:t>
      </w:r>
      <w:r>
        <w:rPr>
          <w:b/>
        </w:rPr>
        <w:t xml:space="preserve"> 9 910,00 (девять тысяч девятьсот десять рублей 00 копеек) в том числе НДС 22% - 1 787,05 рублей.</w:t>
      </w:r>
    </w:p>
    <w:p>
      <w:pPr>
        <w:pStyle w:val="Normal"/>
        <w:ind w:firstLine="567" w:right="0"/>
        <w:jc w:val="both"/>
        <w:rPr>
          <w:rFonts w:ascii="Times New Roman" w:hAnsi="Times New Roman" w:cs="Times New Roman"/>
        </w:rPr>
      </w:pPr>
      <w:r>
        <w:rPr/>
        <w:t>Цена Контракта на период действия Контракта является твердой, определяется на весь срок исполнения настоящего контракта.</w:t>
      </w:r>
    </w:p>
    <w:p>
      <w:pPr>
        <w:pStyle w:val="ConsPlusNormal1"/>
        <w:ind w:firstLine="567" w:left="0" w:right="0"/>
        <w:jc w:val="both"/>
        <w:rPr/>
      </w:pPr>
      <w:r>
        <w:rPr>
          <w:rFonts w:cs="Times New Roman" w:ascii="Times New Roman" w:hAnsi="Times New Roman"/>
        </w:rPr>
        <w:t xml:space="preserve">Изменение существенных условий контракта при его исполнении не допускается, за исключением случаев </w:t>
      </w:r>
      <w:r>
        <w:rPr>
          <w:rFonts w:cs="Times New Roman" w:ascii="Times New Roman" w:hAnsi="Times New Roman"/>
          <w:color w:val="000000"/>
        </w:rPr>
        <w:t>предусмотренных п. 1.1., п. 1.2.  ч. 1 ст. 95 Федерального закона от 05.04.2013 N 44-ФЗ. Цена Контракта была определена методом сопоставимых рыночных цен (анализ рынка)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 и нормативным методом.</w:t>
      </w:r>
    </w:p>
    <w:p>
      <w:pPr>
        <w:pStyle w:val="Normal"/>
        <w:ind w:firstLine="567" w:right="0"/>
        <w:jc w:val="both"/>
        <w:rPr/>
      </w:pPr>
      <w:r>
        <w:rPr/>
        <w:t>2.6.</w:t>
      </w:r>
      <w:r>
        <w:rPr>
          <w:color w:val="FF0000"/>
        </w:rPr>
        <w:t xml:space="preserve"> </w:t>
      </w:r>
      <w:r>
        <w:rPr/>
        <w:t>Оплата «Государственным заказчиком» фактически поставленного «Поставщиком» товара осуществляется на основании счета, счет-фактуры (при наличии), выставленных «Поставщиком» с приложением подписанного «Государственным заказчиком» товарной накладной.</w:t>
      </w:r>
    </w:p>
    <w:p>
      <w:pPr>
        <w:pStyle w:val="Normal"/>
        <w:ind w:firstLine="567" w:right="0"/>
        <w:jc w:val="both"/>
        <w:rPr/>
      </w:pPr>
      <w:r>
        <w:rPr/>
        <w:t xml:space="preserve">2.7. </w:t>
      </w:r>
      <w:r>
        <w:rPr>
          <w:bCs/>
          <w:color w:val="000000"/>
        </w:rPr>
        <w:t xml:space="preserve">Оплата за поставленный Товар производится </w:t>
      </w:r>
      <w:r>
        <w:rPr>
          <w:color w:val="000000"/>
        </w:rPr>
        <w:t xml:space="preserve">путем перечисления денежных средств </w:t>
        <w:br/>
        <w:t xml:space="preserve">на расчетный счет  Поставщика в течение  не более 10 (десяти)  рабочих  дней после подписания </w:t>
      </w:r>
      <w:r>
        <w:rPr>
          <w:rFonts w:eastAsia=""/>
          <w:color w:val="000000"/>
          <w:lang w:eastAsia="ja-JP"/>
        </w:rPr>
        <w:t xml:space="preserve">документа о приемке Товара и </w:t>
      </w:r>
      <w:r>
        <w:rPr>
          <w:bCs/>
          <w:color w:val="000000"/>
        </w:rPr>
        <w:t xml:space="preserve">предоставления Государственному заказчику документов, подтверждающих осуществление поставки Товара, оформленных  надлежащим  образом. </w:t>
      </w:r>
    </w:p>
    <w:p>
      <w:pPr>
        <w:pStyle w:val="Normal"/>
        <w:ind w:firstLine="567" w:right="0"/>
        <w:jc w:val="both"/>
        <w:rPr/>
      </w:pPr>
      <w:r>
        <w:rPr/>
        <w:t xml:space="preserve">2.8. Оплата по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Контракте. </w:t>
      </w:r>
    </w:p>
    <w:p>
      <w:pPr>
        <w:pStyle w:val="311"/>
        <w:ind w:firstLine="567" w:left="0" w:right="0"/>
        <w:rPr/>
      </w:pPr>
      <w:r>
        <w:rPr/>
        <w:t xml:space="preserve">2.9. В настоящем Контракте указываются цены, включая стоимость товара, расходов по доставке, тары, упаковки, маркировки, страхования, уплаты налогов, сборов и других обязательных платежей. </w:t>
      </w:r>
    </w:p>
    <w:p>
      <w:pPr>
        <w:pStyle w:val="311"/>
        <w:ind w:firstLine="567" w:left="0" w:right="0"/>
        <w:rPr/>
      </w:pPr>
      <w:r>
        <w:rPr/>
      </w:r>
    </w:p>
    <w:p>
      <w:pPr>
        <w:pStyle w:val="311"/>
        <w:ind w:firstLine="567" w:left="0" w:right="0"/>
        <w:jc w:val="center"/>
        <w:rPr/>
      </w:pPr>
      <w:r>
        <w:rPr/>
        <w:t>3. УСЛОВИЯ, СРОКИ ПОСТАВКИ И ЭТАПЫ ИСПОЛНЕНИЯ КОНТРАКТА</w:t>
      </w:r>
    </w:p>
    <w:p>
      <w:pPr>
        <w:pStyle w:val="Style26"/>
        <w:ind w:firstLine="567" w:left="0" w:right="0"/>
        <w:jc w:val="both"/>
        <w:rPr>
          <w:color w:val="000000"/>
        </w:rPr>
      </w:pPr>
      <w:r>
        <w:rPr/>
        <w:t>3.1. Поставка товара осуществляется одной партией</w:t>
      </w:r>
      <w:r>
        <w:rPr>
          <w:shd w:fill="auto" w:val="clear"/>
        </w:rPr>
        <w:t xml:space="preserve"> по 30 октября 2026 года.</w:t>
      </w:r>
    </w:p>
    <w:p>
      <w:pPr>
        <w:pStyle w:val="Normal"/>
        <w:ind w:firstLine="567" w:right="0"/>
        <w:jc w:val="both"/>
        <w:rPr/>
      </w:pPr>
      <w:r>
        <w:rPr>
          <w:color w:val="000000"/>
        </w:rPr>
        <w:t>3.2. Поставка товара производится транспортом и за счет средств «Поставщика» до места нахождения</w:t>
      </w:r>
      <w:r>
        <w:rPr/>
        <w:t xml:space="preserve"> «Государственного заказчика», находящегося по адресу: город Томск, улица Пушкина, 3</w:t>
      </w:r>
      <w:r>
        <w:rPr>
          <w:color w:val="000000"/>
        </w:rPr>
        <w:t>.</w:t>
      </w:r>
    </w:p>
    <w:p>
      <w:pPr>
        <w:pStyle w:val="211"/>
        <w:spacing w:lineRule="auto" w:line="240" w:before="0" w:after="0"/>
        <w:ind w:firstLine="567" w:left="0" w:right="0"/>
        <w:jc w:val="both"/>
        <w:rPr/>
      </w:pPr>
      <w:r>
        <w:rPr/>
        <w:t>3.3. «Поставщик» имеет право исполнить обязательство  досрочно по согласованию с «Государственным заказчиком».</w:t>
      </w:r>
    </w:p>
    <w:p>
      <w:pPr>
        <w:pStyle w:val="211"/>
        <w:spacing w:lineRule="auto" w:line="240" w:before="0" w:after="0"/>
        <w:ind w:firstLine="567" w:left="0" w:right="0"/>
        <w:jc w:val="both"/>
        <w:rPr/>
      </w:pPr>
      <w:r>
        <w:rPr/>
        <w:t>3.4. Обязанность «Поставщика» передать товар «Государственному заказчику» считается исполненной в момент передачи товара «Государственному заказчику» на склад.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pPr>
        <w:pStyle w:val="Normal"/>
        <w:ind w:firstLine="567" w:right="0"/>
        <w:jc w:val="both"/>
        <w:rPr/>
      </w:pPr>
      <w:r>
        <w:rPr/>
        <w:t>3.5. «Поставщик» обязуется передать «Государственному заказчику» товар, не обремененный правами третьих лиц.</w:t>
      </w:r>
    </w:p>
    <w:p>
      <w:pPr>
        <w:pStyle w:val="Normal"/>
        <w:ind w:firstLine="567" w:right="0"/>
        <w:jc w:val="both"/>
        <w:rPr/>
      </w:pPr>
      <w:r>
        <w:rPr/>
        <w:t xml:space="preserve">3.6. «Поставщик» обязуется представить 2 экземпляра товарной накладной, при этом оформление товарных накладных должно быть произведено в строгом соответствии с требованиями бухгалтерского учета. В случае представления товарных накладных несоответствующих требованиям бухгалтерского учета их переоформление производится «Поставщиком» за свой счет.  </w:t>
      </w:r>
    </w:p>
    <w:p>
      <w:pPr>
        <w:pStyle w:val="Normal"/>
        <w:ind w:firstLine="567" w:right="0"/>
        <w:jc w:val="both"/>
        <w:rPr>
          <w:rFonts w:ascii="Times New Roman" w:hAnsi="Times New Roman" w:cs="Times New Roman"/>
          <w:sz w:val="24"/>
          <w:szCs w:val="24"/>
        </w:rPr>
      </w:pPr>
      <w:r>
        <w:rPr/>
        <w:t>3.7. Товар транспортируют в крытых транспортных средствах всех видов в соответствии с правилами перевозок грузов, действующими на транспорте данного вида.</w:t>
      </w:r>
    </w:p>
    <w:p>
      <w:pPr>
        <w:pStyle w:val="Style25"/>
        <w:ind w:firstLine="567" w:right="0"/>
        <w:jc w:val="both"/>
        <w:rPr>
          <w:rFonts w:ascii="Times New Roman" w:hAnsi="Times New Roman" w:cs="Times New Roman"/>
          <w:sz w:val="24"/>
          <w:szCs w:val="24"/>
        </w:rPr>
      </w:pPr>
      <w:r>
        <w:rPr>
          <w:rFonts w:cs="Times New Roman" w:ascii="Times New Roman" w:hAnsi="Times New Roman"/>
          <w:sz w:val="24"/>
          <w:szCs w:val="24"/>
        </w:rPr>
        <w:t xml:space="preserve">3.8. Днем исполнения «Поставщиком» обязательств по настоящему Контракту считается дата фактической передачи товара «Государственному заказчику», либо представителю «Государственного заказчика», что подтверждается датой подписания соответствующих документов в момент передачи товара (счет–фактуры, товарно – транспортной накладной и др.) обеими Сторонами настоящего Контракта. </w:t>
      </w:r>
    </w:p>
    <w:p>
      <w:pPr>
        <w:pStyle w:val="Style25"/>
        <w:ind w:firstLine="567" w:right="0"/>
        <w:jc w:val="both"/>
        <w:rPr>
          <w:rFonts w:ascii="Times New Roman" w:hAnsi="Times New Roman" w:cs="Times New Roman"/>
          <w:sz w:val="24"/>
          <w:szCs w:val="24"/>
        </w:rPr>
      </w:pPr>
      <w:r>
        <w:rPr>
          <w:rFonts w:cs="Times New Roman" w:ascii="Times New Roman" w:hAnsi="Times New Roman"/>
          <w:sz w:val="24"/>
          <w:szCs w:val="24"/>
        </w:rPr>
        <w:t>3.9. Вместе с товаром «Поставщик» передает «Государственному  заказчику» относящуюся к товару документацию:</w:t>
      </w:r>
    </w:p>
    <w:p>
      <w:pPr>
        <w:pStyle w:val="Style25"/>
        <w:ind w:firstLine="567" w:right="0"/>
        <w:jc w:val="both"/>
        <w:rPr>
          <w:rFonts w:ascii="Times New Roman" w:hAnsi="Times New Roman" w:cs="Times New Roman"/>
          <w:sz w:val="24"/>
          <w:szCs w:val="24"/>
        </w:rPr>
      </w:pPr>
      <w:r>
        <w:rPr>
          <w:rFonts w:cs="Times New Roman" w:ascii="Times New Roman" w:hAnsi="Times New Roman"/>
          <w:sz w:val="24"/>
          <w:szCs w:val="24"/>
        </w:rPr>
        <w:t>счет;</w:t>
      </w:r>
    </w:p>
    <w:p>
      <w:pPr>
        <w:pStyle w:val="Style25"/>
        <w:ind w:firstLine="567" w:right="0"/>
        <w:jc w:val="both"/>
        <w:rPr>
          <w:rFonts w:ascii="Times New Roman" w:hAnsi="Times New Roman" w:cs="Times New Roman"/>
          <w:sz w:val="24"/>
          <w:szCs w:val="24"/>
        </w:rPr>
      </w:pPr>
      <w:r>
        <w:rPr>
          <w:rFonts w:cs="Times New Roman" w:ascii="Times New Roman" w:hAnsi="Times New Roman"/>
          <w:sz w:val="24"/>
          <w:szCs w:val="24"/>
        </w:rPr>
        <w:tab/>
        <w:t>счет – фактуру (при наличии);</w:t>
      </w:r>
    </w:p>
    <w:p>
      <w:pPr>
        <w:pStyle w:val="32"/>
        <w:ind w:firstLine="567" w:left="0" w:right="0"/>
        <w:rPr>
          <w:rFonts w:ascii="Times New Roman" w:hAnsi="Times New Roman" w:cs="Times New Roman"/>
          <w:sz w:val="24"/>
          <w:szCs w:val="24"/>
        </w:rPr>
      </w:pPr>
      <w:r>
        <w:rPr/>
        <w:t>товарную накладную (код формы 0330212 по ОКУД), с печатью «Поставщика»;</w:t>
      </w:r>
    </w:p>
    <w:p>
      <w:pPr>
        <w:pStyle w:val="Style25"/>
        <w:ind w:firstLine="567" w:right="0"/>
        <w:jc w:val="both"/>
        <w:rPr>
          <w:rFonts w:ascii="Times New Roman" w:hAnsi="Times New Roman" w:cs="Times New Roman"/>
          <w:sz w:val="24"/>
          <w:szCs w:val="24"/>
        </w:rPr>
      </w:pPr>
      <w:r>
        <w:rPr>
          <w:rFonts w:cs="Times New Roman" w:ascii="Times New Roman" w:hAnsi="Times New Roman"/>
          <w:sz w:val="24"/>
          <w:szCs w:val="24"/>
        </w:rPr>
        <w:t>документ о соответствии товара обязательным требованиям «Государственного заказчика» (при наличии).</w:t>
      </w:r>
    </w:p>
    <w:p>
      <w:pPr>
        <w:pStyle w:val="Style25"/>
        <w:ind w:firstLine="567" w:right="0"/>
        <w:jc w:val="both"/>
        <w:rPr>
          <w:rFonts w:ascii="Times New Roman" w:hAnsi="Times New Roman" w:cs="Times New Roman"/>
          <w:sz w:val="24"/>
          <w:szCs w:val="24"/>
        </w:rPr>
      </w:pPr>
      <w:r>
        <w:rPr>
          <w:rFonts w:cs="Times New Roman" w:ascii="Times New Roman" w:hAnsi="Times New Roman"/>
          <w:sz w:val="24"/>
          <w:szCs w:val="24"/>
        </w:rPr>
        <w:t>3.10. В случае, если документы, указанные в пункте 3.9. Контракта, не переданы «Поставщиком»  одновременно с  товаром, товар считается не поставленным и приемке не подлежит.</w:t>
      </w:r>
    </w:p>
    <w:p>
      <w:pPr>
        <w:pStyle w:val="32"/>
        <w:ind w:firstLine="567" w:left="0" w:right="0"/>
        <w:rPr/>
      </w:pPr>
      <w:r>
        <w:rPr/>
        <w:t>3.11. У</w:t>
      </w:r>
      <w:r>
        <w:rPr>
          <w:lang w:val="ru-RU" w:eastAsia="ru-RU"/>
        </w:rPr>
        <w:t>паковка товара возврату не подлежат, залог за упаковку не взыскивается,  её стоимость включена в цену Контракта.</w:t>
      </w:r>
    </w:p>
    <w:p>
      <w:pPr>
        <w:pStyle w:val="32"/>
        <w:ind w:firstLine="567" w:left="0" w:right="0"/>
        <w:rPr/>
      </w:pPr>
      <w:r>
        <w:rPr/>
        <w:t>3.12.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pPr>
        <w:pStyle w:val="32"/>
        <w:overflowPunct w:val="false"/>
        <w:ind w:firstLine="567" w:left="0" w:right="0"/>
        <w:rPr>
          <w:b/>
        </w:rPr>
      </w:pPr>
      <w:r>
        <w:rPr/>
        <w:t>3.13. Этап исполнения Контракта соотносить со сроком поставки и оплаты товара по Контракту.</w:t>
      </w:r>
    </w:p>
    <w:p>
      <w:pPr>
        <w:pStyle w:val="Normal"/>
        <w:overflowPunct w:val="false"/>
        <w:ind w:firstLine="567" w:right="0"/>
        <w:jc w:val="center"/>
        <w:rPr>
          <w:b/>
        </w:rPr>
      </w:pPr>
      <w:r>
        <w:rPr>
          <w:b/>
        </w:rPr>
        <w:t>4.ОБЯЗАТЕЛЬСТВА СТОРОН</w:t>
      </w:r>
    </w:p>
    <w:p>
      <w:pPr>
        <w:pStyle w:val="Normal"/>
        <w:ind w:firstLine="567" w:right="0"/>
        <w:jc w:val="both"/>
        <w:rPr/>
      </w:pPr>
      <w:r>
        <w:rPr/>
        <w:t>4.1. Поставщик обязан:</w:t>
      </w:r>
    </w:p>
    <w:p>
      <w:pPr>
        <w:pStyle w:val="Normal"/>
        <w:ind w:firstLine="567" w:right="0"/>
        <w:jc w:val="both"/>
        <w:rPr/>
      </w:pPr>
      <w:r>
        <w:rPr/>
        <w:t>4.1.1. поставить Товар в порядке, количестве, в срок и на условиях, предусмотренных Контрактом;</w:t>
      </w:r>
    </w:p>
    <w:p>
      <w:pPr>
        <w:pStyle w:val="Normal"/>
        <w:ind w:firstLine="567" w:right="0"/>
        <w:jc w:val="both"/>
        <w:rPr/>
      </w:pPr>
      <w:bookmarkStart w:id="0" w:name="Par87"/>
      <w:bookmarkEnd w:id="0"/>
      <w:r>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pPr>
        <w:pStyle w:val="Normal"/>
        <w:ind w:firstLine="567" w:right="0"/>
        <w:jc w:val="both"/>
        <w:rPr/>
      </w:pPr>
      <w:r>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ind w:firstLine="567" w:right="0"/>
        <w:jc w:val="both"/>
        <w:rPr/>
      </w:pPr>
      <w:r>
        <w:rPr/>
        <w:t xml:space="preserve">4.1.4. </w:t>
      </w:r>
      <w:bookmarkStart w:id="1" w:name="Par92"/>
      <w:bookmarkEnd w:id="1"/>
      <w:r>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w:t>
      </w:r>
    </w:p>
    <w:p>
      <w:pPr>
        <w:pStyle w:val="Normal"/>
        <w:ind w:firstLine="567" w:right="0"/>
        <w:jc w:val="both"/>
        <w:rPr/>
      </w:pPr>
      <w:bookmarkStart w:id="2" w:name="Par93"/>
      <w:bookmarkEnd w:id="2"/>
      <w:r>
        <w:rPr/>
        <w:t>4.1.5.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bookmarkStart w:id="3" w:name="Par95"/>
      <w:bookmarkEnd w:id="3"/>
    </w:p>
    <w:p>
      <w:pPr>
        <w:pStyle w:val="Normal"/>
        <w:ind w:firstLine="567" w:right="0"/>
        <w:jc w:val="both"/>
        <w:rPr/>
      </w:pPr>
      <w:r>
        <w:rPr/>
        <w:t>4.2. Поставщик вправе:</w:t>
      </w:r>
    </w:p>
    <w:p>
      <w:pPr>
        <w:pStyle w:val="Normal"/>
        <w:ind w:firstLine="567" w:right="0"/>
        <w:jc w:val="both"/>
        <w:rPr/>
      </w:pPr>
      <w:r>
        <w:rPr/>
        <w:t>4.2.1. требовать от Государственного заказчика произвести приемку Товара в порядке и в сроки, предусмотренные Контрактом;</w:t>
      </w:r>
    </w:p>
    <w:p>
      <w:pPr>
        <w:pStyle w:val="Normal"/>
        <w:ind w:firstLine="567" w:right="0"/>
        <w:jc w:val="both"/>
        <w:rPr/>
      </w:pPr>
      <w:bookmarkStart w:id="4" w:name="Par106"/>
      <w:bookmarkEnd w:id="4"/>
      <w:r>
        <w:rPr/>
        <w:t>4.2.2.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pPr>
        <w:pStyle w:val="Normal"/>
        <w:ind w:firstLine="567" w:right="0"/>
        <w:jc w:val="both"/>
        <w:rPr/>
      </w:pPr>
      <w:bookmarkStart w:id="5" w:name="Par107"/>
      <w:bookmarkEnd w:id="5"/>
      <w:r>
        <w:rPr/>
        <w:t>4.2.3. принять решение об одностороннем отказе от исполнения Контракта в соответствии с гражданским законодательством;</w:t>
      </w:r>
    </w:p>
    <w:p>
      <w:pPr>
        <w:pStyle w:val="Normal"/>
        <w:ind w:firstLine="567" w:right="0"/>
        <w:jc w:val="both"/>
        <w:rPr/>
      </w:pPr>
      <w:r>
        <w:rPr/>
        <w:t xml:space="preserve">4.2.4. требовать возмещения убытков, уплаты неустоек (штрафов, пеней) в соответствии с разделом </w:t>
      </w:r>
      <w:r>
        <w:rPr>
          <w:b/>
        </w:rPr>
        <w:t xml:space="preserve"> </w:t>
      </w:r>
      <w:r>
        <w:rPr/>
        <w:t>6  Контракта;</w:t>
      </w:r>
    </w:p>
    <w:p>
      <w:pPr>
        <w:pStyle w:val="Normal"/>
        <w:ind w:firstLine="567" w:right="0"/>
        <w:jc w:val="both"/>
        <w:rPr/>
      </w:pPr>
      <w:bookmarkStart w:id="6" w:name="Par109"/>
      <w:bookmarkEnd w:id="6"/>
      <w:r>
        <w:rPr/>
        <w:t>4.3. Государственный заказчик обязан:</w:t>
      </w:r>
    </w:p>
    <w:p>
      <w:pPr>
        <w:pStyle w:val="Normal"/>
        <w:ind w:firstLine="567" w:right="0"/>
        <w:jc w:val="both"/>
        <w:rPr/>
      </w:pPr>
      <w:r>
        <w:rPr/>
        <w:t>4.3.1. обеспечить своевременную приемку и оплату поставленного Товара надлежащего качества в порядке и сроки, предусмотренные Контрактом;</w:t>
      </w:r>
    </w:p>
    <w:p>
      <w:pPr>
        <w:pStyle w:val="Normal"/>
        <w:ind w:firstLine="567" w:right="0"/>
        <w:jc w:val="both"/>
        <w:rPr/>
      </w:pPr>
      <w:bookmarkStart w:id="7" w:name="Par113"/>
      <w:bookmarkEnd w:id="7"/>
      <w:r>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pPr>
        <w:pStyle w:val="Normal"/>
        <w:ind w:firstLine="567" w:right="0"/>
        <w:jc w:val="both"/>
        <w:rPr/>
      </w:pPr>
      <w:bookmarkStart w:id="8" w:name="Par114"/>
      <w:bookmarkEnd w:id="8"/>
      <w:r>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Поставщику; </w:t>
      </w:r>
    </w:p>
    <w:p>
      <w:pPr>
        <w:pStyle w:val="Normal"/>
        <w:ind w:firstLine="567" w:right="0"/>
        <w:jc w:val="both"/>
        <w:rPr/>
      </w:pPr>
      <w:r>
        <w:rPr/>
        <w:t>4.3.4. требовать уплаты неустоек (штрафов, пеней) в соответствии с разделом 6 Контракта;</w:t>
      </w:r>
    </w:p>
    <w:p>
      <w:pPr>
        <w:pStyle w:val="Normal"/>
        <w:ind w:firstLine="567" w:right="0"/>
        <w:jc w:val="both"/>
        <w:rPr/>
      </w:pPr>
      <w:r>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ind w:firstLine="567" w:right="0"/>
        <w:jc w:val="both"/>
        <w:rPr/>
      </w:pPr>
      <w:bookmarkStart w:id="9" w:name="Par117"/>
      <w:bookmarkEnd w:id="9"/>
      <w:r>
        <w:rPr/>
        <w:t>4.4. Государственный заказчик вправе:</w:t>
      </w:r>
    </w:p>
    <w:p>
      <w:pPr>
        <w:pStyle w:val="Normal"/>
        <w:ind w:firstLine="567" w:right="0"/>
        <w:jc w:val="both"/>
        <w:rPr/>
      </w:pPr>
      <w:r>
        <w:rPr/>
        <w:t>4.4.1. требовать от Поставщика надлежащего исполнения обязательств по Контракту;</w:t>
      </w:r>
    </w:p>
    <w:p>
      <w:pPr>
        <w:pStyle w:val="Normal"/>
        <w:ind w:firstLine="567" w:right="0"/>
        <w:jc w:val="both"/>
        <w:rPr/>
      </w:pPr>
      <w:r>
        <w:rPr/>
        <w:t xml:space="preserve">4.4.2. требовать от Поставщика своевременного устранения недостатков, выявленных в ходе приемки; </w:t>
      </w:r>
    </w:p>
    <w:p>
      <w:pPr>
        <w:pStyle w:val="Normal"/>
        <w:ind w:firstLine="567" w:right="0"/>
        <w:jc w:val="both"/>
        <w:rPr/>
      </w:pPr>
      <w:r>
        <w:rPr/>
        <w:t>4.4.3.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ind w:firstLine="567" w:right="0"/>
        <w:jc w:val="both"/>
        <w:rPr/>
      </w:pPr>
      <w:r>
        <w:rPr/>
        <w:t>4.4.4. требовать возмещения убытков в соответствии с разделом 6 Контракта, причиненных по вине Поставщика;</w:t>
      </w:r>
    </w:p>
    <w:p>
      <w:pPr>
        <w:pStyle w:val="Normal"/>
        <w:ind w:firstLine="567" w:right="0"/>
        <w:jc w:val="both"/>
        <w:rPr/>
      </w:pPr>
      <w:bookmarkStart w:id="10" w:name="Par122"/>
      <w:bookmarkEnd w:id="10"/>
      <w:r>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pPr>
        <w:pStyle w:val="Normal"/>
        <w:ind w:firstLine="567" w:right="0"/>
        <w:jc w:val="both"/>
        <w:rPr/>
      </w:pPr>
      <w:r>
        <w:rPr/>
        <w:t>4.4.6. отказаться от приемки и оплаты Товара, не соответствующего условиям Контракта;</w:t>
      </w:r>
    </w:p>
    <w:p>
      <w:pPr>
        <w:pStyle w:val="Normal"/>
        <w:ind w:firstLine="567" w:right="0"/>
        <w:jc w:val="both"/>
        <w:rPr/>
      </w:pPr>
      <w:bookmarkStart w:id="11" w:name="Par124"/>
      <w:bookmarkEnd w:id="11"/>
      <w:r>
        <w:rPr/>
        <w:t>4.4.7. принять решение об одностороннем отказе от исполнения Контракта в соответствии с гражданским законодательством;</w:t>
      </w:r>
    </w:p>
    <w:p>
      <w:pPr>
        <w:pStyle w:val="Normal"/>
        <w:tabs>
          <w:tab w:val="clear" w:pos="708"/>
          <w:tab w:val="left" w:pos="0" w:leader="none"/>
        </w:tabs>
        <w:overflowPunct w:val="false"/>
        <w:ind w:firstLine="567" w:right="0"/>
        <w:jc w:val="both"/>
        <w:rPr>
          <w:b/>
        </w:rPr>
      </w:pPr>
      <w:bookmarkStart w:id="12" w:name="Par125"/>
      <w:bookmarkEnd w:id="12"/>
      <w:r>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pPr>
        <w:pStyle w:val="Normal"/>
        <w:tabs>
          <w:tab w:val="clear" w:pos="708"/>
          <w:tab w:val="left" w:pos="0" w:leader="none"/>
        </w:tabs>
        <w:overflowPunct w:val="false"/>
        <w:ind w:firstLine="567" w:right="0"/>
        <w:jc w:val="both"/>
        <w:rPr>
          <w:b/>
        </w:rPr>
      </w:pPr>
      <w:r>
        <w:rPr>
          <w:b/>
        </w:rPr>
      </w:r>
    </w:p>
    <w:p>
      <w:pPr>
        <w:pStyle w:val="Normal"/>
        <w:ind w:firstLine="567" w:right="0"/>
        <w:jc w:val="center"/>
        <w:rPr>
          <w:rStyle w:val="blk"/>
          <w:b/>
        </w:rPr>
      </w:pPr>
      <w:r>
        <w:rPr>
          <w:b/>
        </w:rPr>
        <w:t>5. ИСПОЛНЕНИЕ КОНТРАКТА</w:t>
      </w:r>
    </w:p>
    <w:p>
      <w:pPr>
        <w:pStyle w:val="Normal"/>
        <w:shd w:val="clear" w:fill="FFFFFF"/>
        <w:ind w:firstLine="567" w:right="0"/>
        <w:jc w:val="both"/>
        <w:rPr>
          <w:rStyle w:val="blk"/>
        </w:rPr>
      </w:pPr>
      <w:r>
        <w:rPr>
          <w:rStyle w:val="blk"/>
        </w:rPr>
        <w:t>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«Поставщиком» в соответствии с гражданским законодательством и Федеральным законом от 05.04.2013 №44-ФЗ, в том числе:</w:t>
      </w:r>
    </w:p>
    <w:p>
      <w:pPr>
        <w:pStyle w:val="Normal"/>
        <w:shd w:val="clear" w:fill="FFFFFF"/>
        <w:ind w:firstLine="567" w:right="0"/>
        <w:jc w:val="both"/>
        <w:rPr>
          <w:rStyle w:val="blk"/>
        </w:rPr>
      </w:pPr>
      <w:bookmarkStart w:id="13" w:name="dst101292"/>
      <w:bookmarkEnd w:id="13"/>
      <w:r>
        <w:rPr>
          <w:rStyle w:val="blk"/>
        </w:rPr>
        <w:t>1) приемку поставленного товара, а также отдельных этапов поставки товара (далее - отдельный этап исполнения контракта), предусмотренных Контрактом, включая проведение экспертизы поставленного товара, а также отдельных этапов исполнения контракта;</w:t>
      </w:r>
    </w:p>
    <w:p>
      <w:pPr>
        <w:pStyle w:val="Normal"/>
        <w:shd w:val="clear" w:fill="FFFFFF"/>
        <w:ind w:firstLine="567" w:right="0"/>
        <w:jc w:val="both"/>
        <w:rPr>
          <w:rStyle w:val="blk"/>
        </w:rPr>
      </w:pPr>
      <w:bookmarkStart w:id="14" w:name="dst101293"/>
      <w:bookmarkEnd w:id="14"/>
      <w:r>
        <w:rPr>
          <w:rStyle w:val="blk"/>
        </w:rPr>
        <w:t>2) оплату «Государственным заказчиком» поставленного товара, а также отдельных этапов исполнения Контракта;</w:t>
      </w:r>
    </w:p>
    <w:p>
      <w:pPr>
        <w:pStyle w:val="Normal"/>
        <w:shd w:val="clear" w:fill="FFFFFF"/>
        <w:ind w:firstLine="567" w:right="0"/>
        <w:jc w:val="both"/>
        <w:rPr>
          <w:bCs/>
        </w:rPr>
      </w:pPr>
      <w:bookmarkStart w:id="15" w:name="dst101294"/>
      <w:bookmarkEnd w:id="15"/>
      <w:r>
        <w:rPr>
          <w:rStyle w:val="blk"/>
        </w:rPr>
        <w:t>3) взаимодействие «Государственного заказчика» с «Поставщиком» при изменении, расторжении контракта в соответствии со ст.95 Федерального закона от 05.04.2013   №44-ФЗ, применении мер ответственности и совершении иных действий в случае нарушения «Поставщиком» или «Государственным заказчиком» условий Контракта.</w:t>
      </w:r>
    </w:p>
    <w:p>
      <w:pPr>
        <w:pStyle w:val="Normal"/>
        <w:ind w:firstLine="567" w:right="0"/>
        <w:jc w:val="both"/>
        <w:rPr>
          <w:b/>
          <w:bCs/>
        </w:rPr>
      </w:pPr>
      <w:r>
        <w:rPr>
          <w:bCs/>
        </w:rPr>
        <w:t xml:space="preserve">5.2. При исполнении Контракта (за исключением случаев, которые предусмотрены нормативными правовыми актами, принятыми в соответствии с </w:t>
      </w:r>
      <w:hyperlink r:id="rId2">
        <w:r>
          <w:rPr>
            <w:rStyle w:val="Hyperlink"/>
            <w:bCs/>
          </w:rPr>
          <w:t>частью 6 статьи 14</w:t>
        </w:r>
      </w:hyperlink>
      <w:r>
        <w:rPr>
          <w:bCs/>
        </w:rPr>
        <w:t xml:space="preserve"> </w:t>
      </w:r>
      <w:r>
        <w:rPr/>
        <w:t xml:space="preserve">44-ФЗ </w:t>
      </w:r>
      <w:r>
        <w:rPr>
          <w:lang w:val="ru-RU" w:eastAsia="ru-RU"/>
        </w:rPr>
        <w:t>«О контрактной системе в сфере закупок товаров,  работ,  услуг для обеспечения государственных и муниципальных нужд»</w:t>
      </w:r>
      <w:r>
        <w:rPr>
          <w:bCs/>
        </w:rPr>
        <w:t xml:space="preserve">)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Normal"/>
        <w:ind w:firstLine="567" w:right="0"/>
        <w:jc w:val="center"/>
        <w:rPr>
          <w:b/>
          <w:bCs/>
        </w:rPr>
      </w:pPr>
      <w:r>
        <w:rPr>
          <w:b/>
          <w:bCs/>
        </w:rPr>
      </w:r>
    </w:p>
    <w:p>
      <w:pPr>
        <w:pStyle w:val="Normal"/>
        <w:ind w:firstLine="567" w:right="0"/>
        <w:jc w:val="center"/>
        <w:rPr>
          <w:b/>
        </w:rPr>
      </w:pPr>
      <w:r>
        <w:rPr>
          <w:b/>
        </w:rPr>
        <w:t xml:space="preserve">6. ПОРЯДОК И СРОКИ ПРИЕМКИ ПОСТАВЛЕННОГО ТОВАРА </w:t>
      </w:r>
    </w:p>
    <w:p>
      <w:pPr>
        <w:pStyle w:val="Normal"/>
        <w:ind w:firstLine="567" w:right="0"/>
        <w:jc w:val="both"/>
        <w:rPr/>
      </w:pPr>
      <w:r>
        <w:rPr/>
        <w:t>6.1.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и условиям настоящего Контракта.</w:t>
      </w:r>
    </w:p>
    <w:p>
      <w:pPr>
        <w:pStyle w:val="Normal"/>
        <w:ind w:firstLine="567" w:right="0"/>
        <w:jc w:val="both"/>
        <w:rPr/>
      </w:pPr>
      <w:r>
        <w:rPr/>
        <w:t>6.2. Приемка товара по количеству производится Государственным заказчиком  в сроки и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 П-6), в части не противоречащей требованиям законодательства и условиям Контракта.</w:t>
      </w:r>
    </w:p>
    <w:p>
      <w:pPr>
        <w:pStyle w:val="Normal"/>
        <w:ind w:firstLine="567" w:right="0"/>
        <w:jc w:val="both"/>
        <w:rPr/>
      </w:pPr>
      <w:r>
        <w:rPr/>
        <w:t>6.3. Приемка товара по качеству производится Грузополучателем в сроки и в соответствии с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 П-7), в части не противоречащей требованиям законодательства и условиям Контракта.</w:t>
      </w:r>
    </w:p>
    <w:p>
      <w:pPr>
        <w:pStyle w:val="Normal"/>
        <w:ind w:firstLine="567" w:right="0"/>
        <w:jc w:val="both"/>
        <w:rPr/>
      </w:pPr>
      <w:r>
        <w:rPr/>
        <w:t>6.4. Упаковка должна гарантировать целостность и сохранность продукции при перевозке и хранении. Т</w:t>
      </w:r>
      <w:r>
        <w:rPr>
          <w:lang w:val="ru-RU" w:eastAsia="ru-RU"/>
        </w:rPr>
        <w:t>ара и упаковка возврату не подлежат, залог за тару и упаковку не взыскивается, их стоимость включена в цену Контракта.</w:t>
      </w:r>
    </w:p>
    <w:p>
      <w:pPr>
        <w:pStyle w:val="Normal"/>
        <w:ind w:firstLine="567" w:right="0"/>
        <w:jc w:val="both"/>
        <w:rPr/>
      </w:pPr>
      <w:r>
        <w:rPr/>
        <w:t xml:space="preserve">6.5.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
    <w:p>
      <w:pPr>
        <w:pStyle w:val="Normal"/>
        <w:ind w:firstLine="567" w:right="0"/>
        <w:jc w:val="both"/>
        <w:rPr/>
      </w:pPr>
      <w:r>
        <w:rPr/>
        <w:t xml:space="preserve">6.6. По факту приемки товара уполномоченные представители «Государственного заказчика» подписывают товарную накладную в 2 (трех) экземплярах, по одному для «Государственного заказчика»  и «Поставщика». </w:t>
      </w:r>
    </w:p>
    <w:p>
      <w:pPr>
        <w:pStyle w:val="Normal"/>
        <w:ind w:firstLine="567" w:right="0"/>
        <w:jc w:val="both"/>
        <w:rPr/>
      </w:pPr>
      <w:r>
        <w:rPr/>
      </w:r>
    </w:p>
    <w:p>
      <w:pPr>
        <w:pStyle w:val="Normal"/>
        <w:ind w:firstLine="567" w:right="0"/>
        <w:jc w:val="center"/>
        <w:rPr>
          <w:szCs w:val="24"/>
        </w:rPr>
      </w:pPr>
      <w:r>
        <w:rPr>
          <w:b/>
        </w:rPr>
        <w:t xml:space="preserve">7. ПОРЯДОК И СРОКИ ОФОРМЛЕНИЯ РЕЗУЛЬТАТОВ ПРИЕМКИ ПОСТАВЛЕННОГО ТОВАРА  </w:t>
      </w:r>
    </w:p>
    <w:p>
      <w:pPr>
        <w:pStyle w:val="31"/>
        <w:spacing w:lineRule="auto" w:line="240" w:before="0" w:after="0"/>
        <w:ind w:firstLine="567" w:left="0" w:right="0"/>
        <w:contextualSpacing/>
        <w:rPr>
          <w:szCs w:val="24"/>
        </w:rPr>
      </w:pPr>
      <w:r>
        <w:rPr>
          <w:szCs w:val="24"/>
        </w:rPr>
        <w:t xml:space="preserve">7.1.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 в соответствии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pPr>
        <w:pStyle w:val="31"/>
        <w:spacing w:lineRule="auto" w:line="240" w:before="0" w:after="0"/>
        <w:ind w:firstLine="567" w:left="0" w:right="0"/>
        <w:contextualSpacing/>
        <w:rPr>
          <w:szCs w:val="24"/>
        </w:rPr>
      </w:pPr>
      <w:r>
        <w:rPr>
          <w:szCs w:val="24"/>
        </w:rPr>
        <w:t xml:space="preserve">7.2. Для приемки результатов исполнения контракта создается приемочная комиссия. Результат проведения экспертизы оформляется актом экспертизы.  </w:t>
      </w:r>
    </w:p>
    <w:p>
      <w:pPr>
        <w:pStyle w:val="Normal"/>
        <w:ind w:firstLine="567" w:right="0"/>
        <w:jc w:val="both"/>
        <w:rPr/>
      </w:pPr>
      <w:r>
        <w:rPr/>
        <w:t>7.3.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ind w:firstLine="567" w:right="0"/>
        <w:jc w:val="both"/>
        <w:rPr/>
      </w:pPr>
      <w:r>
        <w:rPr/>
        <w:t>7.4.  «Государственный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pPr>
        <w:pStyle w:val="Normal"/>
        <w:widowControl w:val="false"/>
        <w:ind w:firstLine="567" w:right="0"/>
        <w:jc w:val="both"/>
        <w:rPr/>
      </w:pPr>
      <w:r>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pPr>
        <w:pStyle w:val="Normal"/>
        <w:ind w:firstLine="567" w:right="0"/>
        <w:jc w:val="both"/>
        <w:rPr/>
      </w:pPr>
      <w:r>
        <w:rPr/>
        <w:t>7.5. Приемка результатов исполнения контракта, а также поставленного товара, осуществляется в порядке и в сроки, которые установлены п.6.2. и п.6.3.Контракта. Фактом приемки товара является подписание сторонами товарных накладных.</w:t>
      </w:r>
    </w:p>
    <w:p>
      <w:pPr>
        <w:pStyle w:val="Normal"/>
        <w:ind w:firstLine="567" w:right="0"/>
        <w:jc w:val="both"/>
        <w:rPr/>
      </w:pPr>
      <w:r>
        <w:rPr/>
        <w:t xml:space="preserve"> </w:t>
      </w:r>
      <w:r>
        <w:rPr/>
        <w:t>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pPr>
        <w:pStyle w:val="Normal"/>
        <w:ind w:firstLine="567" w:right="0"/>
        <w:jc w:val="both"/>
        <w:rPr/>
      </w:pPr>
      <w:r>
        <w:rPr/>
      </w:r>
    </w:p>
    <w:p>
      <w:pPr>
        <w:pStyle w:val="15"/>
        <w:spacing w:lineRule="auto" w:line="240"/>
        <w:ind w:firstLine="567" w:left="0" w:right="0"/>
        <w:jc w:val="center"/>
        <w:rPr>
          <w:rFonts w:ascii="Times New Roman" w:hAnsi="Times New Roman" w:cs="Times New Roman"/>
          <w:sz w:val="24"/>
          <w:szCs w:val="24"/>
        </w:rPr>
      </w:pPr>
      <w:r>
        <w:rPr>
          <w:b/>
          <w:szCs w:val="24"/>
        </w:rPr>
        <w:t>8. ГАРАНТИЙНЫЕ ОБЯЗАТЕЛЬСТВА</w:t>
      </w:r>
    </w:p>
    <w:p>
      <w:pPr>
        <w:pStyle w:val="NoSpacing"/>
        <w:ind w:firstLine="567" w:right="0"/>
        <w:jc w:val="both"/>
        <w:rPr>
          <w:rFonts w:ascii="Times New Roman" w:hAnsi="Times New Roman" w:cs="Times New Roman"/>
          <w:sz w:val="24"/>
          <w:szCs w:val="24"/>
        </w:rPr>
      </w:pPr>
      <w:r>
        <w:rPr>
          <w:rFonts w:cs="Times New Roman" w:ascii="Times New Roman" w:hAnsi="Times New Roman"/>
          <w:sz w:val="24"/>
          <w:szCs w:val="24"/>
        </w:rPr>
        <w:t>8.1.</w:t>
      </w:r>
      <w:r>
        <w:rPr>
          <w:rFonts w:cs="Times New Roman" w:ascii="Times New Roman" w:hAnsi="Times New Roman"/>
          <w:color w:val="FF0000"/>
          <w:sz w:val="24"/>
          <w:szCs w:val="24"/>
        </w:rPr>
        <w:t xml:space="preserve"> </w:t>
      </w:r>
      <w:r>
        <w:rPr>
          <w:rFonts w:cs="Times New Roman" w:ascii="Times New Roman" w:hAnsi="Times New Roman"/>
          <w:color w:val="000000"/>
          <w:sz w:val="24"/>
          <w:szCs w:val="24"/>
        </w:rPr>
        <w:t>«Поставщик» гарантирует:</w:t>
      </w:r>
    </w:p>
    <w:p>
      <w:pPr>
        <w:pStyle w:val="NoSpacing"/>
        <w:ind w:firstLine="567" w:right="0"/>
        <w:jc w:val="both"/>
        <w:rPr>
          <w:rFonts w:ascii="Times New Roman" w:hAnsi="Times New Roman" w:cs="Times New Roman"/>
          <w:sz w:val="24"/>
          <w:szCs w:val="24"/>
        </w:rPr>
      </w:pPr>
      <w:r>
        <w:rPr>
          <w:rFonts w:cs="Times New Roman" w:ascii="Times New Roman" w:hAnsi="Times New Roman"/>
          <w:sz w:val="24"/>
          <w:szCs w:val="24"/>
        </w:rPr>
        <w:t xml:space="preserve">соответствие качества поставляемого товара требованиям законодательства Российской Федерации, и условиям Контракта. </w:t>
      </w:r>
    </w:p>
    <w:p>
      <w:pPr>
        <w:pStyle w:val="Normal"/>
        <w:spacing w:before="0" w:after="0"/>
        <w:ind w:firstLine="567" w:right="0"/>
        <w:contextualSpacing/>
        <w:jc w:val="both"/>
        <w:rPr>
          <w:rFonts w:ascii="Times New Roman" w:hAnsi="Times New Roman" w:cs="Times New Roman"/>
          <w:sz w:val="24"/>
          <w:szCs w:val="24"/>
        </w:rPr>
      </w:pPr>
      <w:r>
        <w:rPr/>
        <w:t>8.2.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pPr>
        <w:pStyle w:val="NoSpacing"/>
        <w:ind w:firstLine="567" w:right="0"/>
        <w:jc w:val="both"/>
        <w:rPr>
          <w:rFonts w:ascii="Times New Roman" w:hAnsi="Times New Roman" w:cs="Times New Roman"/>
          <w:sz w:val="24"/>
          <w:szCs w:val="24"/>
        </w:rPr>
      </w:pPr>
      <w:r>
        <w:rPr>
          <w:rFonts w:cs="Times New Roman" w:ascii="Times New Roman" w:hAnsi="Times New Roman"/>
          <w:sz w:val="24"/>
          <w:szCs w:val="24"/>
        </w:rPr>
        <w:t>8.3. При замене товара срок годности на него исчисляется заново со дня приемки товара Грузополучателем.</w:t>
      </w:r>
    </w:p>
    <w:p>
      <w:pPr>
        <w:pStyle w:val="NoSpacing"/>
        <w:ind w:firstLine="567" w:right="0"/>
        <w:jc w:val="both"/>
        <w:rPr>
          <w:rFonts w:ascii="Times New Roman" w:hAnsi="Times New Roman" w:cs="Times New Roman"/>
          <w:color w:val="000000"/>
          <w:sz w:val="24"/>
          <w:szCs w:val="24"/>
          <w:lang w:val="ru-RU" w:eastAsia="ru-RU"/>
        </w:rPr>
      </w:pPr>
      <w:r>
        <w:rPr>
          <w:rFonts w:cs="Times New Roman" w:ascii="Times New Roman" w:hAnsi="Times New Roman"/>
          <w:sz w:val="24"/>
          <w:szCs w:val="24"/>
        </w:rPr>
        <w:t>8.4. Все расходы, связанные с заменой товара ненадлежащего качества</w:t>
      </w:r>
      <w:r>
        <w:rPr>
          <w:rFonts w:cs="Times New Roman" w:ascii="Times New Roman" w:hAnsi="Times New Roman"/>
          <w:color w:val="FF0000"/>
          <w:sz w:val="24"/>
          <w:szCs w:val="24"/>
        </w:rPr>
        <w:t xml:space="preserve"> </w:t>
      </w:r>
      <w:r>
        <w:rPr>
          <w:rFonts w:cs="Times New Roman" w:ascii="Times New Roman" w:hAnsi="Times New Roman"/>
          <w:i/>
          <w:iCs/>
          <w:color w:val="FF0000"/>
          <w:sz w:val="24"/>
          <w:szCs w:val="24"/>
        </w:rPr>
        <w:t xml:space="preserve"> </w:t>
      </w:r>
      <w:r>
        <w:rPr>
          <w:rFonts w:cs="Times New Roman" w:ascii="Times New Roman" w:hAnsi="Times New Roman"/>
          <w:sz w:val="24"/>
          <w:szCs w:val="24"/>
        </w:rPr>
        <w:t>в период срока годности товара оплачиваются за счет «Поставщика».</w:t>
      </w:r>
    </w:p>
    <w:p>
      <w:pPr>
        <w:pStyle w:val="NoSpacing"/>
        <w:ind w:firstLine="567" w:right="0"/>
        <w:jc w:val="both"/>
        <w:rPr>
          <w:rFonts w:ascii="Times New Roman" w:hAnsi="Times New Roman" w:cs="Times New Roman"/>
          <w:color w:val="000000"/>
          <w:sz w:val="24"/>
          <w:szCs w:val="24"/>
          <w:lang w:val="ru-RU" w:eastAsia="ru-RU"/>
        </w:rPr>
      </w:pPr>
      <w:r>
        <w:rPr>
          <w:rFonts w:cs="Times New Roman" w:ascii="Times New Roman" w:hAnsi="Times New Roman"/>
          <w:color w:val="000000"/>
          <w:sz w:val="24"/>
          <w:szCs w:val="24"/>
          <w:lang w:val="ru-RU" w:eastAsia="ru-RU"/>
        </w:rPr>
      </w:r>
    </w:p>
    <w:p>
      <w:pPr>
        <w:pStyle w:val="NoSpacing"/>
        <w:ind w:firstLine="567" w:right="0"/>
        <w:jc w:val="center"/>
        <w:rPr>
          <w:rFonts w:ascii="Times New Roman" w:hAnsi="Times New Roman" w:cs="Times New Roman"/>
          <w:b/>
          <w:sz w:val="24"/>
          <w:szCs w:val="24"/>
        </w:rPr>
      </w:pPr>
      <w:r>
        <w:rPr>
          <w:rFonts w:cs="Times New Roman" w:ascii="Times New Roman" w:hAnsi="Times New Roman"/>
          <w:b/>
          <w:sz w:val="24"/>
          <w:szCs w:val="24"/>
        </w:rPr>
        <w:t>9. ИМУЩЕСТВЕННАЯ ОТВЕТСТВЕННОСТЬ</w:t>
      </w:r>
    </w:p>
    <w:p>
      <w:pPr>
        <w:pStyle w:val="211"/>
        <w:spacing w:lineRule="auto" w:line="240" w:before="0" w:after="0"/>
        <w:ind w:firstLine="567" w:left="0" w:right="0"/>
        <w:jc w:val="both"/>
        <w:rPr/>
      </w:pPr>
      <w:r>
        <w:rPr/>
        <w:t xml:space="preserve"> </w:t>
      </w:r>
      <w:r>
        <w:rPr>
          <w:rFonts w:eastAsia="Calibri"/>
        </w:rPr>
        <w:t>9.1.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pPr>
        <w:pStyle w:val="Normal"/>
        <w:ind w:firstLine="567" w:right="0"/>
        <w:jc w:val="both"/>
        <w:rPr/>
      </w:pPr>
      <w:r>
        <w:rPr/>
        <w:t xml:space="preserve">9.2. </w:t>
      </w:r>
      <w:r>
        <w:rPr>
          <w:bCs/>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w:t>
      </w:r>
    </w:p>
    <w:p>
      <w:pPr>
        <w:pStyle w:val="Normal"/>
        <w:ind w:firstLine="567" w:right="0"/>
        <w:jc w:val="both"/>
        <w:rPr/>
      </w:pPr>
      <w:r>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Normal"/>
        <w:ind w:firstLine="567" w:right="0"/>
        <w:jc w:val="both"/>
        <w:rPr/>
      </w:pPr>
      <w:r>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
    <w:p>
      <w:pPr>
        <w:pStyle w:val="Normal"/>
        <w:ind w:firstLine="567" w:right="0"/>
        <w:jc w:val="both"/>
        <w:rPr/>
      </w:pPr>
      <w:r>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Normal"/>
        <w:ind w:firstLine="567" w:right="0"/>
        <w:jc w:val="both"/>
        <w:rPr/>
      </w:pPr>
      <w:r>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3">
        <w:r>
          <w:rPr>
            <w:rStyle w:val="Hyperlink"/>
          </w:rPr>
          <w:t>порядке</w:t>
        </w:r>
      </w:hyperlink>
      <w:r>
        <w:rPr/>
        <w:t>, установленном Правительством Российской Федерации.</w:t>
      </w:r>
    </w:p>
    <w:p>
      <w:pPr>
        <w:pStyle w:val="Normal"/>
        <w:ind w:firstLine="567" w:right="0"/>
        <w:jc w:val="both"/>
        <w:rPr>
          <w:rFonts w:eastAsia="Calibri"/>
        </w:rPr>
      </w:pPr>
      <w:r>
        <w:rPr/>
        <w:t xml:space="preserve">9.5.Штрафы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pPr>
        <w:pStyle w:val="Style29"/>
        <w:spacing w:before="0" w:after="0"/>
        <w:ind w:firstLine="567" w:right="0"/>
        <w:jc w:val="both"/>
        <w:rPr/>
      </w:pPr>
      <w:r>
        <w:rPr>
          <w:rFonts w:eastAsia="Calibri"/>
        </w:rPr>
        <w:t>9.6.</w:t>
      </w:r>
      <w:r>
        <w:rPr/>
        <w:t xml:space="preserve"> Размер штрафа устанавливается контрактом в соответствии с </w:t>
      </w:r>
      <w:hyperlink r:id="rId4">
        <w:r>
          <w:rPr>
            <w:rStyle w:val="Hyperlink"/>
          </w:rPr>
          <w:t>пунктами 3</w:t>
        </w:r>
      </w:hyperlink>
      <w:r>
        <w:rPr/>
        <w:t xml:space="preserve"> - </w:t>
      </w:r>
      <w:hyperlink r:id="rId5">
        <w:r>
          <w:rPr>
            <w:rStyle w:val="Hyperlink"/>
          </w:rPr>
          <w:t>9</w:t>
        </w:r>
      </w:hyperlink>
      <w:r>
        <w:rPr/>
        <w:t xml:space="preserve"> Правил, утвержденными постановлением Правительства Российской Федерации от 30.08.2017 № 1042 в редакции </w:t>
      </w:r>
      <w:hyperlink r:id="rId6">
        <w:r>
          <w:rPr>
            <w:rStyle w:val="Hyperlink"/>
          </w:rPr>
          <w:t>Постановления</w:t>
        </w:r>
      </w:hyperlink>
      <w:r>
        <w:rPr/>
        <w:t xml:space="preserve"> Правительства РФ от 02.08.2019 № 1011 (далее по тексту - Правила), за исключением случая, предусмотренного </w:t>
      </w:r>
      <w:hyperlink r:id="rId7">
        <w:r>
          <w:rPr>
            <w:rStyle w:val="Hyperlink"/>
          </w:rPr>
          <w:t>пунктом 13</w:t>
        </w:r>
      </w:hyperlink>
      <w:r>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pPr>
        <w:pStyle w:val="Normal"/>
        <w:ind w:firstLine="567" w:right="0"/>
        <w:jc w:val="both"/>
        <w:rPr/>
      </w:pPr>
      <w:r>
        <w:rPr/>
        <w:t>9.7.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10 процентов цены контракта (этапа) в случае, если цена контракта (этапа) не превышает 3 млн. рублей.</w:t>
      </w:r>
    </w:p>
    <w:p>
      <w:pPr>
        <w:pStyle w:val="Style29"/>
        <w:spacing w:before="0" w:after="0"/>
        <w:ind w:firstLine="567" w:right="0"/>
        <w:jc w:val="both"/>
        <w:rPr/>
      </w:pPr>
      <w:r>
        <w:rPr/>
        <w:t xml:space="preserve">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порядке:(в ред. </w:t>
      </w:r>
      <w:hyperlink r:id="rId8">
        <w:r>
          <w:rPr>
            <w:rStyle w:val="Hyperlink"/>
          </w:rPr>
          <w:t>Постановления</w:t>
        </w:r>
      </w:hyperlink>
      <w:r>
        <w:rPr/>
        <w:t xml:space="preserve"> Правительства РФ от 02.08.2019 № 1011)</w:t>
      </w:r>
    </w:p>
    <w:p>
      <w:pPr>
        <w:pStyle w:val="Normal"/>
        <w:ind w:firstLine="567" w:right="0"/>
        <w:jc w:val="both"/>
        <w:rPr/>
      </w:pPr>
      <w:r>
        <w:rPr/>
        <w:t>а) 1000 рублей, если цена контракта не превышает 3 млн. рублей.</w:t>
      </w:r>
    </w:p>
    <w:p>
      <w:pPr>
        <w:pStyle w:val="Normal"/>
        <w:ind w:firstLine="567" w:right="0"/>
        <w:jc w:val="both"/>
        <w:rPr/>
      </w:pPr>
      <w:r>
        <w:rPr/>
        <w:t xml:space="preserve">9.9.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порядке:(в ред. </w:t>
      </w:r>
      <w:hyperlink r:id="rId9">
        <w:r>
          <w:rPr>
            <w:rStyle w:val="Hyperlink"/>
          </w:rPr>
          <w:t>Постановления</w:t>
        </w:r>
      </w:hyperlink>
      <w:r>
        <w:rPr/>
        <w:t xml:space="preserve"> Правительства РФ от 02.08.2019 № 1011)</w:t>
      </w:r>
    </w:p>
    <w:p>
      <w:pPr>
        <w:pStyle w:val="Normal"/>
        <w:ind w:firstLine="567" w:right="0"/>
        <w:jc w:val="both"/>
        <w:rPr/>
      </w:pPr>
      <w:r>
        <w:rPr/>
        <w:t>а) 1000 рублей, если цена контракта не превышает 3 млн. рублей (включительно).</w:t>
      </w:r>
    </w:p>
    <w:p>
      <w:pPr>
        <w:pStyle w:val="Normal"/>
        <w:ind w:firstLine="567" w:right="0"/>
        <w:jc w:val="both"/>
        <w:rPr/>
      </w:pPr>
      <w:r>
        <w:rPr/>
        <w:t>9.10.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pPr>
        <w:pStyle w:val="Style29"/>
        <w:spacing w:before="0" w:after="0"/>
        <w:ind w:firstLine="567" w:right="0"/>
        <w:jc w:val="both"/>
        <w:rPr/>
      </w:pPr>
      <w:r>
        <w:rPr/>
        <w:t xml:space="preserve">9.11.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pPr>
        <w:pStyle w:val="Normal"/>
        <w:ind w:firstLine="567" w:right="0"/>
        <w:jc w:val="both"/>
        <w:rPr/>
      </w:pPr>
      <w:r>
        <w:rPr/>
        <w:t>9.12.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tabs>
          <w:tab w:val="clear" w:pos="708"/>
          <w:tab w:val="left" w:pos="1276" w:leader="none"/>
        </w:tabs>
        <w:ind w:firstLine="567" w:right="0"/>
        <w:jc w:val="both"/>
        <w:rPr/>
      </w:pPr>
      <w:r>
        <w:rPr/>
        <w:t>9.13.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pPr>
        <w:pStyle w:val="Normal"/>
        <w:tabs>
          <w:tab w:val="clear" w:pos="708"/>
          <w:tab w:val="left" w:pos="1276" w:leader="none"/>
        </w:tabs>
        <w:ind w:firstLine="567" w:right="0"/>
        <w:jc w:val="both"/>
        <w:rPr/>
      </w:pPr>
      <w:r>
        <w:rPr/>
        <w:t>9.14.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pPr>
        <w:pStyle w:val="-1"/>
        <w:numPr>
          <w:ilvl w:val="0"/>
          <w:numId w:val="0"/>
        </w:numPr>
        <w:tabs>
          <w:tab w:val="left" w:pos="708" w:leader="none"/>
          <w:tab w:val="left" w:pos="1391" w:leader="none"/>
        </w:tabs>
        <w:ind w:firstLine="567" w:left="0" w:right="0"/>
        <w:rPr>
          <w:b/>
          <w:bCs/>
          <w:color w:val="000000"/>
        </w:rPr>
      </w:pPr>
      <w:r>
        <w:rPr/>
        <w:t>9.15. Уплата «Поставщиком» неустойки  или применение иной формы ответственности не освобождает  его от исполнения обязательств  по Контракту.</w:t>
      </w:r>
    </w:p>
    <w:p>
      <w:pPr>
        <w:pStyle w:val="211"/>
        <w:tabs>
          <w:tab w:val="clear" w:pos="708"/>
          <w:tab w:val="left" w:pos="284" w:leader="none"/>
          <w:tab w:val="left" w:pos="567" w:leader="none"/>
        </w:tabs>
        <w:spacing w:lineRule="auto" w:line="240" w:before="0" w:after="0"/>
        <w:ind w:firstLine="567" w:left="0" w:right="0"/>
        <w:rPr>
          <w:b/>
          <w:bCs/>
          <w:color w:val="000000"/>
        </w:rPr>
      </w:pPr>
      <w:r>
        <w:rPr>
          <w:b/>
          <w:bCs/>
          <w:color w:val="000000"/>
        </w:rPr>
      </w:r>
    </w:p>
    <w:p>
      <w:pPr>
        <w:pStyle w:val="211"/>
        <w:spacing w:lineRule="auto" w:line="240" w:before="0" w:after="0"/>
        <w:ind w:firstLine="567" w:left="0" w:right="0"/>
        <w:jc w:val="center"/>
        <w:rPr>
          <w:szCs w:val="24"/>
          <w:lang w:val="ru-RU" w:eastAsia="ru-RU"/>
        </w:rPr>
      </w:pPr>
      <w:r>
        <w:rPr>
          <w:b/>
          <w:bCs/>
          <w:color w:val="000000"/>
        </w:rPr>
        <w:t>10. ОСНОВАНИЯ И ПОРЯДОК ИЗМЕНЕНИЯ И РАСТОРЖЕНИЯ КОНТРАКТА</w:t>
      </w:r>
    </w:p>
    <w:p>
      <w:pPr>
        <w:pStyle w:val="15"/>
        <w:spacing w:lineRule="auto" w:line="240"/>
        <w:ind w:firstLine="567" w:left="0" w:right="0"/>
        <w:rPr>
          <w:szCs w:val="24"/>
          <w:lang w:val="ru-RU" w:eastAsia="ru-RU"/>
        </w:rPr>
      </w:pPr>
      <w:r>
        <w:rPr>
          <w:szCs w:val="24"/>
          <w:lang w:val="ru-RU"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pPr>
        <w:pStyle w:val="15"/>
        <w:spacing w:lineRule="auto" w:line="240"/>
        <w:ind w:firstLine="567" w:left="0" w:right="0"/>
        <w:rPr>
          <w:szCs w:val="24"/>
          <w:lang w:val="ru-RU" w:eastAsia="ru-RU"/>
        </w:rPr>
      </w:pPr>
      <w:r>
        <w:rPr>
          <w:szCs w:val="24"/>
          <w:lang w:val="ru-RU" w:eastAsia="ru-RU"/>
        </w:rPr>
        <w:t>10.2. Все изменения к Контракту действительны, если они оформлены в виде дополнительного соглашения к Контракту и подписаны «Сторонами».</w:t>
      </w:r>
    </w:p>
    <w:p>
      <w:pPr>
        <w:pStyle w:val="15"/>
        <w:spacing w:lineRule="auto" w:line="240"/>
        <w:ind w:firstLine="567" w:left="0" w:right="0"/>
        <w:rPr>
          <w:lang w:eastAsia="en-US"/>
        </w:rPr>
      </w:pPr>
      <w:r>
        <w:rPr>
          <w:szCs w:val="24"/>
          <w:lang w:val="ru-RU" w:eastAsia="ru-RU"/>
        </w:rPr>
        <w:t xml:space="preserve">10.3. </w:t>
      </w:r>
      <w:r>
        <w:rPr>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w:t>
      </w:r>
    </w:p>
    <w:p>
      <w:pPr>
        <w:pStyle w:val="Normal"/>
        <w:widowControl w:val="false"/>
        <w:tabs>
          <w:tab w:val="clear" w:pos="708"/>
          <w:tab w:val="left" w:pos="0" w:leader="none"/>
        </w:tabs>
        <w:spacing w:before="0" w:after="0"/>
        <w:ind w:firstLine="567" w:right="0"/>
        <w:contextualSpacing/>
        <w:jc w:val="both"/>
        <w:rPr>
          <w:lang w:eastAsia="en-US"/>
        </w:rPr>
      </w:pPr>
      <w:r>
        <w:rPr>
          <w:lang w:eastAsia="en-US"/>
        </w:rPr>
        <w:t>Перечень случаев отказа от исполнения Контракта, являющихся основаниями, предусмотренными Гражданским кодексом Российской Федерации для одностороннего отказа от исполнения обязательств:</w:t>
      </w:r>
    </w:p>
    <w:p>
      <w:pPr>
        <w:pStyle w:val="Normal"/>
        <w:widowControl w:val="false"/>
        <w:tabs>
          <w:tab w:val="clear" w:pos="708"/>
          <w:tab w:val="left" w:pos="0" w:leader="none"/>
        </w:tabs>
        <w:spacing w:before="0" w:after="0"/>
        <w:ind w:firstLine="567" w:right="0"/>
        <w:contextualSpacing/>
        <w:jc w:val="both"/>
        <w:rPr>
          <w:lang w:eastAsia="en-US"/>
        </w:rPr>
      </w:pPr>
      <w:r>
        <w:rPr>
          <w:lang w:eastAsia="en-US"/>
        </w:rPr>
        <w:t>- отказ «Поставщика» передать «Государственному заказчику» товар или принадлежности к нему (пункт 1 статьи 463, абзац второй статьи 464 ГК РФ);</w:t>
      </w:r>
    </w:p>
    <w:p>
      <w:pPr>
        <w:pStyle w:val="Normal"/>
        <w:widowControl w:val="false"/>
        <w:tabs>
          <w:tab w:val="clear" w:pos="708"/>
          <w:tab w:val="left" w:pos="0" w:leader="none"/>
        </w:tabs>
        <w:spacing w:before="0" w:after="0"/>
        <w:ind w:firstLine="567" w:right="0"/>
        <w:contextualSpacing/>
        <w:jc w:val="both"/>
        <w:rPr>
          <w:lang w:eastAsia="en-US"/>
        </w:rPr>
      </w:pPr>
      <w:r>
        <w:rPr>
          <w:lang w:eastAsia="en-US"/>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pPr>
        <w:pStyle w:val="Normal"/>
        <w:widowControl w:val="false"/>
        <w:tabs>
          <w:tab w:val="clear" w:pos="708"/>
          <w:tab w:val="left" w:pos="0" w:leader="none"/>
        </w:tabs>
        <w:spacing w:before="0" w:after="0"/>
        <w:ind w:firstLine="567" w:right="0"/>
        <w:contextualSpacing/>
        <w:jc w:val="both"/>
        <w:rPr>
          <w:lang w:eastAsia="en-US"/>
        </w:rPr>
      </w:pPr>
      <w:r>
        <w:rPr>
          <w:lang w:eastAsia="en-US"/>
        </w:rPr>
        <w:t>- невыполнение «Поставщиком» в разумный срок требования «Государственного заказчика» о доукомплектовании товара (пункт 1 статьи 480 ГК РФ);</w:t>
      </w:r>
    </w:p>
    <w:p>
      <w:pPr>
        <w:pStyle w:val="Normal"/>
        <w:widowControl w:val="false"/>
        <w:tabs>
          <w:tab w:val="clear" w:pos="708"/>
          <w:tab w:val="left" w:pos="0" w:leader="none"/>
        </w:tabs>
        <w:spacing w:before="0" w:after="0"/>
        <w:ind w:firstLine="567" w:right="0"/>
        <w:contextualSpacing/>
        <w:jc w:val="both"/>
        <w:rPr>
          <w:rFonts w:ascii="Times New Roman" w:hAnsi="Times New Roman" w:cs="Times New Roman"/>
        </w:rPr>
      </w:pPr>
      <w:r>
        <w:rPr>
          <w:lang w:eastAsia="en-US"/>
        </w:rPr>
        <w:t>- неоднократное нарушение «Поставщиком» сроков поставки товаров (пункт 2 статьи 523 ГК РФ).</w:t>
      </w:r>
    </w:p>
    <w:p>
      <w:pPr>
        <w:pStyle w:val="ConsPlusNormal1"/>
        <w:ind w:firstLine="567" w:left="0" w:right="0"/>
        <w:jc w:val="both"/>
        <w:rPr>
          <w:rFonts w:ascii="Times New Roman" w:hAnsi="Times New Roman" w:cs="Times New Roman"/>
        </w:rPr>
      </w:pPr>
      <w:r>
        <w:rPr>
          <w:rFonts w:cs="Times New Roman" w:ascii="Times New Roman" w:hAnsi="Times New Roman"/>
        </w:rPr>
        <w:t xml:space="preserve">10.4.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w:anchor="P1995">
        <w:r>
          <w:rPr>
            <w:rStyle w:val="Hyperlink"/>
            <w:rFonts w:cs="Times New Roman" w:ascii="Times New Roman" w:hAnsi="Times New Roman"/>
          </w:rPr>
          <w:t>ч. 8</w:t>
        </w:r>
      </w:hyperlink>
      <w:r>
        <w:rPr>
          <w:rFonts w:cs="Times New Roman" w:ascii="Times New Roman" w:hAnsi="Times New Roman"/>
        </w:rPr>
        <w:t xml:space="preserve"> ст. 95 Федерального закона от 05.04.2013 № 44-ФЗ.</w:t>
      </w:r>
    </w:p>
    <w:p>
      <w:pPr>
        <w:pStyle w:val="ConsPlusNormal1"/>
        <w:ind w:firstLine="567" w:left="0" w:right="0"/>
        <w:jc w:val="both"/>
        <w:rPr>
          <w:rFonts w:ascii="Times New Roman" w:hAnsi="Times New Roman" w:cs="Times New Roman"/>
        </w:rPr>
      </w:pPr>
      <w:r>
        <w:rPr>
          <w:rFonts w:cs="Times New Roman" w:ascii="Times New Roman" w:hAnsi="Times New Roman"/>
        </w:rPr>
        <w:t>10.5.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pPr>
        <w:pStyle w:val="ConsPlusNormal1"/>
        <w:ind w:firstLine="567" w:left="0" w:right="0"/>
        <w:jc w:val="both"/>
        <w:rPr>
          <w:rFonts w:ascii="Times New Roman" w:hAnsi="Times New Roman" w:cs="Times New Roman"/>
        </w:rPr>
      </w:pPr>
      <w:r>
        <w:rPr>
          <w:rFonts w:cs="Times New Roman" w:ascii="Times New Roman" w:hAnsi="Times New Roman"/>
        </w:rPr>
        <w:t>10.6. 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«Государственным заказчиком»» требований ст. 95 Федерального закона от 05.04.2013 № 44-ФЗ считается надлежащим уведомлением «Поставщика» об одностороннем отказе от исполнения Контракта. Датой такого надлежащего уведомления считается:</w:t>
      </w:r>
    </w:p>
    <w:p>
      <w:pPr>
        <w:pStyle w:val="ConsPlusNormal1"/>
        <w:ind w:firstLine="567" w:left="0" w:right="0"/>
        <w:jc w:val="both"/>
        <w:rPr>
          <w:rFonts w:ascii="Times New Roman" w:hAnsi="Times New Roman" w:cs="Times New Roman"/>
        </w:rPr>
      </w:pPr>
      <w:r>
        <w:rPr>
          <w:rFonts w:cs="Times New Roman" w:ascii="Times New Roman" w:hAnsi="Times New Roman"/>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pPr>
        <w:pStyle w:val="ConsPlusNormal1"/>
        <w:ind w:firstLine="567" w:left="0" w:right="0"/>
        <w:jc w:val="both"/>
        <w:rPr>
          <w:rFonts w:ascii="Times New Roman" w:hAnsi="Times New Roman" w:cs="Times New Roman"/>
        </w:rPr>
      </w:pPr>
      <w:r>
        <w:rPr>
          <w:rFonts w:cs="Times New Roman" w:ascii="Times New Roman" w:hAnsi="Times New Roman"/>
        </w:rPr>
        <w:t>2) дата получения «Государственным заказчиком» подтверждения о вручении «Поставщику» заказного письма, предусмотренного ч. 12.2 ст. 95 Федерального закона от 05.04.2013 № 44-ФЗ, либо дата получения «Государственным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pPr>
        <w:pStyle w:val="ConsPlusNormal1"/>
        <w:ind w:firstLine="567" w:left="0" w:right="0"/>
        <w:jc w:val="both"/>
        <w:rPr>
          <w:rFonts w:ascii="Times New Roman" w:hAnsi="Times New Roman" w:cs="Times New Roman"/>
        </w:rPr>
      </w:pPr>
      <w:r>
        <w:rPr>
          <w:rFonts w:cs="Times New Roman" w:ascii="Times New Roman" w:hAnsi="Times New Roman"/>
        </w:rPr>
        <w:t>10.7.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«Государственным заказчиком» «Поставщика» об одностороннем отказе от исполнения Контракта.</w:t>
      </w:r>
    </w:p>
    <w:p>
      <w:pPr>
        <w:pStyle w:val="ConsPlusNormal1"/>
        <w:ind w:firstLine="567" w:left="0" w:right="0"/>
        <w:jc w:val="both"/>
        <w:rPr>
          <w:rFonts w:ascii="Times New Roman" w:hAnsi="Times New Roman" w:cs="Times New Roman"/>
        </w:rPr>
      </w:pPr>
      <w:r>
        <w:rPr>
          <w:rFonts w:cs="Times New Roman" w:ascii="Times New Roman" w:hAnsi="Times New Roman"/>
        </w:rPr>
        <w:t xml:space="preserve">10.8.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r>
        <w:fldChar w:fldCharType="begin"/>
      </w:r>
      <w:r>
        <w:rPr>
          <w:rStyle w:val="Hyperlink"/>
          <w:rFonts w:cs="Times New Roman" w:ascii="Times New Roman" w:hAnsi="Times New Roman"/>
        </w:rPr>
        <w:instrText xml:space="preserve"> HYPERLINK "http://www.consultant.ru/document/cons_doc_LAW_388926/f4823c3311874efd0ecdfa668c9705968edbc47c/" \l "dst101327"</w:instrText>
      </w:r>
      <w:r>
        <w:rPr>
          <w:rStyle w:val="Hyperlink"/>
          <w:rFonts w:cs="Times New Roman" w:ascii="Times New Roman" w:hAnsi="Times New Roman"/>
        </w:rPr>
        <w:fldChar w:fldCharType="separate"/>
      </w:r>
      <w:r>
        <w:rPr>
          <w:rStyle w:val="Hyperlink"/>
          <w:rFonts w:cs="Times New Roman" w:ascii="Times New Roman" w:hAnsi="Times New Roman"/>
        </w:rPr>
        <w:t>ч. 10</w:t>
      </w:r>
      <w:r>
        <w:rPr>
          <w:rStyle w:val="Hyperlink"/>
          <w:rFonts w:cs="Times New Roman" w:ascii="Times New Roman" w:hAnsi="Times New Roman"/>
        </w:rPr>
        <w:fldChar w:fldCharType="end"/>
      </w:r>
      <w:r>
        <w:rPr>
          <w:rFonts w:cs="Times New Roman" w:ascii="Times New Roman" w:hAnsi="Times New Roman"/>
        </w:rPr>
        <w:t xml:space="preserve"> ст. 95 Федерального закона от 05.04.2013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pPr>
        <w:pStyle w:val="ConsPlusNormal1"/>
        <w:ind w:firstLine="567" w:left="0" w:right="0"/>
        <w:jc w:val="both"/>
        <w:rPr>
          <w:rFonts w:ascii="Times New Roman" w:hAnsi="Times New Roman" w:cs="Times New Roman"/>
        </w:rPr>
      </w:pPr>
      <w:r>
        <w:rPr>
          <w:rFonts w:cs="Times New Roman" w:ascii="Times New Roman" w:hAnsi="Times New Roman"/>
        </w:rPr>
        <w:t>10.9. В случае отмены «Государственным заказчиком» в соответствии с Федеральным законом от 05.04.2013 № 44-ФЗ не вступившего в силу решения об одностороннем отказе от исполнения Контракта, «Государственный заказчик» не позднее 3 (Трех) рабочих дней, следующих за днем такой отмены, передает лицу, имеющему право действовать от имени «Поставщика», лично под расписку или направляет «Поставщику» с соблюдением требований законодательства Российской Федерации о государственной тайне по адресу «Поставщика», указанному в Контракте, уведомление об отмене решения об одностороннем отказе от исполнения Контракта.</w:t>
      </w:r>
    </w:p>
    <w:p>
      <w:pPr>
        <w:pStyle w:val="ConsPlusNormal1"/>
        <w:ind w:firstLine="567" w:left="0" w:right="0"/>
        <w:jc w:val="both"/>
        <w:rPr>
          <w:rFonts w:ascii="Times New Roman" w:hAnsi="Times New Roman" w:cs="Times New Roman"/>
        </w:rPr>
      </w:pPr>
      <w:r>
        <w:rPr>
          <w:rFonts w:cs="Times New Roman" w:ascii="Times New Roman" w:hAnsi="Times New Roman"/>
        </w:rPr>
        <w:t>10.10. «Государственный заказчик» обязан принять решение об одностороннем отказе от исполнения Контракта в случаях:</w:t>
      </w:r>
    </w:p>
    <w:p>
      <w:pPr>
        <w:pStyle w:val="ConsPlusNormal1"/>
        <w:ind w:firstLine="567" w:left="0" w:right="0"/>
        <w:jc w:val="both"/>
        <w:rPr>
          <w:rFonts w:ascii="Times New Roman" w:hAnsi="Times New Roman" w:cs="Times New Roman"/>
        </w:rPr>
      </w:pPr>
      <w:r>
        <w:rPr>
          <w:rFonts w:cs="Times New Roman" w:ascii="Times New Roman" w:hAnsi="Times New Roman"/>
        </w:rPr>
        <w:t>1) если в ходе исполнения Контракта установлено, что:</w:t>
      </w:r>
    </w:p>
    <w:p>
      <w:pPr>
        <w:pStyle w:val="ConsPlusNormal1"/>
        <w:ind w:firstLine="567" w:left="0" w:right="0"/>
        <w:jc w:val="both"/>
        <w:rPr>
          <w:rFonts w:ascii="Times New Roman" w:hAnsi="Times New Roman" w:cs="Times New Roman"/>
        </w:rPr>
      </w:pPr>
      <w:r>
        <w:rPr>
          <w:rFonts w:cs="Times New Roman" w:ascii="Times New Roman" w:hAnsi="Times New Roman"/>
        </w:rPr>
        <w:t xml:space="preserve">а)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от 05.04.2013 № 44-ФЗ предусмотрена документация о закупке) требованиям к участникам закупки (за исключением требования, предусмотренного </w:t>
      </w:r>
      <w:r>
        <w:fldChar w:fldCharType="begin"/>
      </w:r>
      <w:r>
        <w:rPr>
          <w:rStyle w:val="Hyperlink"/>
          <w:rFonts w:cs="Times New Roman" w:ascii="Times New Roman" w:hAnsi="Times New Roman"/>
        </w:rPr>
        <w:instrText xml:space="preserve"> HYPERLINK "http://www.consultant.ru/document/cons_doc_LAW_388926/be7f337d9b35705ac035531878c8d15c2b09b36d/" \l "dst2001"</w:instrText>
      </w:r>
      <w:r>
        <w:rPr>
          <w:rStyle w:val="Hyperlink"/>
          <w:rFonts w:cs="Times New Roman" w:ascii="Times New Roman" w:hAnsi="Times New Roman"/>
        </w:rPr>
        <w:fldChar w:fldCharType="separate"/>
      </w:r>
      <w:r>
        <w:rPr>
          <w:rStyle w:val="Hyperlink"/>
          <w:rFonts w:cs="Times New Roman" w:ascii="Times New Roman" w:hAnsi="Times New Roman"/>
        </w:rPr>
        <w:t>частью 1.1</w:t>
      </w:r>
      <w:r>
        <w:rPr>
          <w:rStyle w:val="Hyperlink"/>
          <w:rFonts w:cs="Times New Roman" w:ascii="Times New Roman" w:hAnsi="Times New Roman"/>
        </w:rPr>
        <w:fldChar w:fldCharType="end"/>
      </w:r>
      <w:r>
        <w:rPr>
          <w:rFonts w:cs="Times New Roman" w:ascii="Times New Roman" w:hAnsi="Times New Roman"/>
        </w:rPr>
        <w:t xml:space="preserve"> (при наличии такого требования) статьи 31 Федерального закона от 05.04.2013 № 44-ФЗ) и (или) поставляемому товару;</w:t>
      </w:r>
    </w:p>
    <w:p>
      <w:pPr>
        <w:pStyle w:val="ConsPlusNormal1"/>
        <w:ind w:firstLine="567" w:left="0" w:right="0"/>
        <w:jc w:val="both"/>
        <w:rPr>
          <w:rFonts w:ascii="Times New Roman" w:hAnsi="Times New Roman" w:cs="Times New Roman"/>
        </w:rPr>
      </w:pPr>
      <w:r>
        <w:rPr>
          <w:rFonts w:cs="Times New Roman" w:ascii="Times New Roman" w:hAnsi="Times New Roman"/>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r>
        <w:fldChar w:fldCharType="begin"/>
      </w:r>
      <w:r>
        <w:rPr>
          <w:rStyle w:val="Hyperlink"/>
          <w:rFonts w:cs="Times New Roman" w:ascii="Times New Roman" w:hAnsi="Times New Roman"/>
        </w:rPr>
        <w:instrText xml:space="preserve"> HYPERLINK "http://www.consultant.ru/document/cons_doc_LAW_388926/f4823c3311874efd0ecdfa668c9705968edbc47c/" \l "dst3008"</w:instrText>
      </w:r>
      <w:r>
        <w:rPr>
          <w:rStyle w:val="Hyperlink"/>
          <w:rFonts w:cs="Times New Roman" w:ascii="Times New Roman" w:hAnsi="Times New Roman"/>
        </w:rPr>
        <w:fldChar w:fldCharType="separate"/>
      </w:r>
      <w:r>
        <w:rPr>
          <w:rStyle w:val="Hyperlink"/>
          <w:rFonts w:cs="Times New Roman" w:ascii="Times New Roman" w:hAnsi="Times New Roman"/>
        </w:rPr>
        <w:t>подпункте "а"</w:t>
      </w:r>
      <w:r>
        <w:rPr>
          <w:rStyle w:val="Hyperlink"/>
          <w:rFonts w:cs="Times New Roman" w:ascii="Times New Roman" w:hAnsi="Times New Roman"/>
        </w:rPr>
        <w:fldChar w:fldCharType="end"/>
      </w:r>
      <w:r>
        <w:rPr>
          <w:rFonts w:cs="Times New Roman" w:ascii="Times New Roman" w:hAnsi="Times New Roman"/>
        </w:rPr>
        <w:t xml:space="preserve"> п. 1 ч. 15 ст. 95 Федерального закона от 05.04.2013 № 44-ФЗ, что позволило ему стать победителем определения «Поставщика».</w:t>
      </w:r>
    </w:p>
    <w:p>
      <w:pPr>
        <w:pStyle w:val="ConsPlusNormal1"/>
        <w:ind w:firstLine="567" w:left="0" w:right="0"/>
        <w:jc w:val="both"/>
        <w:rPr>
          <w:rFonts w:ascii="Times New Roman" w:hAnsi="Times New Roman" w:cs="Times New Roman"/>
        </w:rPr>
      </w:pPr>
      <w:r>
        <w:rPr>
          <w:rFonts w:cs="Times New Roman" w:ascii="Times New Roman" w:hAnsi="Times New Roman"/>
        </w:rPr>
        <w:t xml:space="preserve">10.11. «Государственный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w:t>
      </w:r>
      <w:r>
        <w:fldChar w:fldCharType="begin"/>
      </w:r>
      <w:r>
        <w:rPr>
          <w:rStyle w:val="Hyperlink"/>
          <w:rFonts w:cs="Times New Roman" w:ascii="Times New Roman" w:hAnsi="Times New Roman"/>
        </w:rPr>
        <w:instrText xml:space="preserve"> HYPERLINK "http://www.consultant.ru/document/cons_doc_LAW_388926/8c12a3ec10bf313c4b2fb441eb21b9a04616fd9e/" \l "dst2032"</w:instrText>
      </w:r>
      <w:r>
        <w:rPr>
          <w:rStyle w:val="Hyperlink"/>
          <w:rFonts w:cs="Times New Roman" w:ascii="Times New Roman" w:hAnsi="Times New Roman"/>
        </w:rPr>
        <w:fldChar w:fldCharType="separate"/>
      </w:r>
      <w:r>
        <w:rPr>
          <w:rStyle w:val="Hyperlink"/>
          <w:rFonts w:cs="Times New Roman" w:ascii="Times New Roman" w:hAnsi="Times New Roman"/>
        </w:rPr>
        <w:t>п. 1 ч. 10 ст. 104</w:t>
      </w:r>
      <w:r>
        <w:rPr>
          <w:rStyle w:val="Hyperlink"/>
          <w:rFonts w:cs="Times New Roman" w:ascii="Times New Roman" w:hAnsi="Times New Roman"/>
        </w:rPr>
        <w:fldChar w:fldCharType="end"/>
      </w:r>
      <w:r>
        <w:rPr>
          <w:rFonts w:cs="Times New Roman" w:ascii="Times New Roman" w:hAnsi="Times New Roman"/>
        </w:rPr>
        <w:t xml:space="preserve">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
    <w:p>
      <w:pPr>
        <w:pStyle w:val="ConsPlusNormal1"/>
        <w:ind w:firstLine="567" w:left="0" w:right="0"/>
        <w:jc w:val="both"/>
        <w:rPr>
          <w:rFonts w:ascii="Times New Roman" w:hAnsi="Times New Roman" w:cs="Times New Roman"/>
        </w:rPr>
      </w:pPr>
      <w:r>
        <w:rPr>
          <w:rFonts w:cs="Times New Roman" w:ascii="Times New Roman" w:hAnsi="Times New Roman"/>
        </w:rPr>
        <w:t xml:space="preserve">10.12. Если до расторжения Контракта «Поставщик» частично исполнил обязательства, предусмотренные Контрактом, при заключении нового Контракта количество поставляемого товара должно быть уменьшено с учетом количества поставленного товара по расторгнутому Контракту. При этом цена Контракта, заключаемого в соответствии с </w:t>
      </w:r>
      <w:r>
        <w:fldChar w:fldCharType="begin"/>
      </w:r>
      <w:r>
        <w:rPr>
          <w:rStyle w:val="Hyperlink"/>
          <w:rFonts w:cs="Times New Roman" w:ascii="Times New Roman" w:hAnsi="Times New Roman"/>
        </w:rPr>
        <w:instrText xml:space="preserve"> HYPERLINK "http://www.consultant.ru/document/cons_doc_LAW_388926/f4823c3311874efd0ecdfa668c9705968edbc47c/" \l "dst3011"</w:instrText>
      </w:r>
      <w:r>
        <w:rPr>
          <w:rStyle w:val="Hyperlink"/>
          <w:rFonts w:cs="Times New Roman" w:ascii="Times New Roman" w:hAnsi="Times New Roman"/>
        </w:rPr>
        <w:fldChar w:fldCharType="separate"/>
      </w:r>
      <w:r>
        <w:rPr>
          <w:rStyle w:val="Hyperlink"/>
          <w:rFonts w:cs="Times New Roman" w:ascii="Times New Roman" w:hAnsi="Times New Roman"/>
        </w:rPr>
        <w:t>ч. 17</w:t>
      </w:r>
      <w:r>
        <w:rPr>
          <w:rStyle w:val="Hyperlink"/>
          <w:rFonts w:cs="Times New Roman" w:ascii="Times New Roman" w:hAnsi="Times New Roman"/>
        </w:rPr>
        <w:fldChar w:fldCharType="end"/>
      </w:r>
      <w:r>
        <w:rPr>
          <w:rFonts w:cs="Times New Roman" w:ascii="Times New Roman" w:hAnsi="Times New Roman"/>
        </w:rPr>
        <w:t xml:space="preserve"> и </w:t>
      </w:r>
      <w:r>
        <w:fldChar w:fldCharType="begin"/>
      </w:r>
      <w:r>
        <w:rPr>
          <w:rStyle w:val="Hyperlink"/>
          <w:rFonts w:cs="Times New Roman" w:ascii="Times New Roman" w:hAnsi="Times New Roman"/>
        </w:rPr>
        <w:instrText xml:space="preserve"> HYPERLINK "http://www.consultant.ru/document/cons_doc_LAW_388926/f4823c3311874efd0ecdfa668c9705968edbc47c/" \l "dst3012"</w:instrText>
      </w:r>
      <w:r>
        <w:rPr>
          <w:rStyle w:val="Hyperlink"/>
          <w:rFonts w:cs="Times New Roman" w:ascii="Times New Roman" w:hAnsi="Times New Roman"/>
        </w:rPr>
        <w:fldChar w:fldCharType="separate"/>
      </w:r>
      <w:r>
        <w:rPr>
          <w:rStyle w:val="Hyperlink"/>
          <w:rFonts w:cs="Times New Roman" w:ascii="Times New Roman" w:hAnsi="Times New Roman"/>
        </w:rPr>
        <w:t>17.1</w:t>
      </w:r>
      <w:r>
        <w:rPr>
          <w:rStyle w:val="Hyperlink"/>
          <w:rFonts w:cs="Times New Roman" w:ascii="Times New Roman" w:hAnsi="Times New Roman"/>
        </w:rPr>
        <w:fldChar w:fldCharType="end"/>
      </w:r>
      <w:r>
        <w:rPr>
          <w:rFonts w:cs="Times New Roman" w:ascii="Times New Roman" w:hAnsi="Times New Roman"/>
        </w:rPr>
        <w:t xml:space="preserve"> ст. 95 Федерального закона от 05.04.2013 № 44-ФЗ, должна быть уменьшена пропорционально количеству поставленного товара.</w:t>
      </w:r>
    </w:p>
    <w:p>
      <w:pPr>
        <w:pStyle w:val="ConsPlusNormal1"/>
        <w:ind w:firstLine="567" w:left="0" w:right="0"/>
        <w:jc w:val="both"/>
        <w:rPr>
          <w:rFonts w:ascii="Times New Roman" w:hAnsi="Times New Roman" w:cs="Times New Roman"/>
        </w:rPr>
      </w:pPr>
      <w:r>
        <w:rPr>
          <w:rFonts w:cs="Times New Roman" w:ascii="Times New Roman" w:hAnsi="Times New Roman"/>
        </w:rPr>
        <w:t xml:space="preserve">10.13. «Поставщик» вправе принять решение об одностороннем отказе от исполнения Контракта по основаниям, предусмотренным Гражданским </w:t>
      </w:r>
      <w:hyperlink r:id="rId10">
        <w:r>
          <w:rPr>
            <w:rStyle w:val="Hyperlink"/>
            <w:rFonts w:cs="Times New Roman" w:ascii="Times New Roman" w:hAnsi="Times New Roman"/>
          </w:rPr>
          <w:t>кодексом</w:t>
        </w:r>
      </w:hyperlink>
      <w:r>
        <w:rPr>
          <w:rFonts w:cs="Times New Roman" w:ascii="Times New Roman" w:hAnsi="Times New Roman"/>
        </w:rPr>
        <w:t xml:space="preserve">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pPr>
        <w:pStyle w:val="ConsPlusNormal1"/>
        <w:ind w:firstLine="567" w:left="0" w:right="0"/>
        <w:jc w:val="both"/>
        <w:rPr>
          <w:rFonts w:ascii="Times New Roman" w:hAnsi="Times New Roman" w:cs="Times New Roman"/>
        </w:rPr>
      </w:pPr>
      <w:r>
        <w:rPr>
          <w:rFonts w:cs="Times New Roman" w:ascii="Times New Roman" w:hAnsi="Times New Roman"/>
        </w:rPr>
        <w:t xml:space="preserve">10.14. В случае принятия «Поставщиком» предусмотренного </w:t>
      </w:r>
      <w:r>
        <w:fldChar w:fldCharType="begin"/>
      </w:r>
      <w:r>
        <w:rPr>
          <w:rStyle w:val="Hyperlink"/>
          <w:rFonts w:cs="Times New Roman" w:ascii="Times New Roman" w:hAnsi="Times New Roman"/>
        </w:rPr>
        <w:instrText xml:space="preserve"> HYPERLINK "http://www.consultant.ru/document/cons_doc_LAW_388926/f4823c3311874efd0ecdfa668c9705968edbc47c/" \l "dst101795"</w:instrText>
      </w:r>
      <w:r>
        <w:rPr>
          <w:rStyle w:val="Hyperlink"/>
          <w:rFonts w:cs="Times New Roman" w:ascii="Times New Roman" w:hAnsi="Times New Roman"/>
        </w:rPr>
        <w:fldChar w:fldCharType="separate"/>
      </w:r>
      <w:r>
        <w:rPr>
          <w:rStyle w:val="Hyperlink"/>
          <w:rFonts w:cs="Times New Roman" w:ascii="Times New Roman" w:hAnsi="Times New Roman"/>
        </w:rPr>
        <w:t>ч. 19</w:t>
      </w:r>
      <w:r>
        <w:rPr>
          <w:rStyle w:val="Hyperlink"/>
          <w:rFonts w:cs="Times New Roman" w:ascii="Times New Roman" w:hAnsi="Times New Roman"/>
        </w:rPr>
        <w:fldChar w:fldCharType="end"/>
      </w:r>
      <w:r>
        <w:rPr>
          <w:rFonts w:cs="Times New Roman" w:ascii="Times New Roman" w:hAnsi="Times New Roman"/>
        </w:rPr>
        <w:t xml:space="preserve"> ст. 95 Федерального закона от 05.04.2013 № 44-ФЗ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требований ч. 20.2 ст. 95 Федерального закона № 44-ФЗ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pPr>
        <w:pStyle w:val="ConsPlusNormal1"/>
        <w:ind w:firstLine="567" w:left="0" w:right="0"/>
        <w:jc w:val="both"/>
        <w:rPr>
          <w:rFonts w:ascii="Times New Roman" w:hAnsi="Times New Roman" w:cs="Times New Roman"/>
        </w:rPr>
      </w:pPr>
      <w:r>
        <w:rPr>
          <w:rFonts w:cs="Times New Roman" w:ascii="Times New Roman" w:hAnsi="Times New Roman"/>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pPr>
        <w:pStyle w:val="ConsPlusNormal1"/>
        <w:ind w:firstLine="567" w:left="0" w:right="0"/>
        <w:jc w:val="both"/>
        <w:rPr>
          <w:rFonts w:ascii="Times New Roman" w:hAnsi="Times New Roman" w:cs="Times New Roman"/>
        </w:rPr>
      </w:pPr>
      <w:r>
        <w:rPr>
          <w:rFonts w:cs="Times New Roman" w:ascii="Times New Roman" w:hAnsi="Times New Roman"/>
        </w:rPr>
        <w:t>2) дата получения «Поставщиком» подтверждения о вручении «Государственному заказчику» заказного письма, предусмотренного ч. 20.2 ст. 95 Федерального закона № 44-ФЗ, либо дата получения «Поставщиком»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pPr>
        <w:pStyle w:val="ConsPlusNormal1"/>
        <w:ind w:firstLine="567" w:left="0" w:right="0"/>
        <w:jc w:val="both"/>
        <w:rPr>
          <w:rFonts w:ascii="Times New Roman" w:hAnsi="Times New Roman" w:cs="Times New Roman"/>
        </w:rPr>
      </w:pPr>
      <w:r>
        <w:rPr>
          <w:rFonts w:cs="Times New Roman" w:ascii="Times New Roman" w:hAnsi="Times New Roman"/>
        </w:rPr>
        <w:t>10.15.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«Государственного заказчика» об одностороннем отказе от исполнения Контракта.</w:t>
      </w:r>
    </w:p>
    <w:p>
      <w:pPr>
        <w:pStyle w:val="ConsPlusNormal1"/>
        <w:ind w:firstLine="567" w:left="0" w:right="0"/>
        <w:jc w:val="both"/>
        <w:rPr>
          <w:rFonts w:ascii="Times New Roman" w:hAnsi="Times New Roman" w:cs="Times New Roman"/>
          <w:color w:val="000000"/>
          <w:lang w:val="ru-RU" w:eastAsia="ru-RU"/>
        </w:rPr>
      </w:pPr>
      <w:r>
        <w:rPr>
          <w:rFonts w:cs="Times New Roman" w:ascii="Times New Roman" w:hAnsi="Times New Roman"/>
        </w:rPr>
        <w:t>10.16.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pPr>
        <w:pStyle w:val="ConsPlusNormal1"/>
        <w:ind w:firstLine="567" w:left="0" w:right="0"/>
        <w:jc w:val="both"/>
        <w:rPr>
          <w:rFonts w:ascii="Times New Roman" w:hAnsi="Times New Roman" w:cs="Times New Roman"/>
          <w:color w:val="000000"/>
          <w:lang w:val="ru-RU" w:eastAsia="ru-RU"/>
        </w:rPr>
      </w:pPr>
      <w:r>
        <w:rPr>
          <w:rFonts w:cs="Times New Roman" w:ascii="Times New Roman" w:hAnsi="Times New Roman"/>
          <w:color w:val="000000"/>
          <w:lang w:val="ru-RU" w:eastAsia="ru-RU"/>
        </w:rPr>
        <w:t>10.17.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ConsPlusNormal1"/>
        <w:ind w:firstLine="567" w:left="0" w:right="0"/>
        <w:jc w:val="both"/>
        <w:rPr>
          <w:rFonts w:ascii="Times New Roman" w:hAnsi="Times New Roman" w:cs="Times New Roman"/>
          <w:color w:val="000000"/>
          <w:lang w:val="ru-RU" w:eastAsia="ru-RU"/>
        </w:rPr>
      </w:pPr>
      <w:r>
        <w:rPr>
          <w:rFonts w:cs="Times New Roman" w:ascii="Times New Roman" w:hAnsi="Times New Roman"/>
          <w:color w:val="000000"/>
          <w:lang w:val="ru-RU" w:eastAsia="ru-RU"/>
        </w:rPr>
      </w:r>
    </w:p>
    <w:p>
      <w:pPr>
        <w:pStyle w:val="NoSpacing"/>
        <w:ind w:firstLine="567" w:right="0"/>
        <w:jc w:val="center"/>
        <w:rPr>
          <w:rFonts w:ascii="Times New Roman" w:hAnsi="Times New Roman" w:cs="Times New Roman"/>
          <w:sz w:val="24"/>
          <w:szCs w:val="24"/>
          <w:lang w:val="ru-RU" w:eastAsia="ru-RU"/>
        </w:rPr>
      </w:pPr>
      <w:r>
        <w:rPr>
          <w:rFonts w:cs="Times New Roman" w:ascii="Times New Roman" w:hAnsi="Times New Roman"/>
          <w:b/>
          <w:sz w:val="24"/>
          <w:szCs w:val="24"/>
        </w:rPr>
        <w:t>11. ФОРС-МАЖОРНЫЕ ОБСТОЯТЕЛЬСТВА</w:t>
      </w:r>
    </w:p>
    <w:p>
      <w:pPr>
        <w:pStyle w:val="NoSpacing"/>
        <w:ind w:firstLine="567" w:right="0"/>
        <w:jc w:val="both"/>
        <w:rPr>
          <w:rFonts w:ascii="Times New Roman" w:hAnsi="Times New Roman" w:cs="Times New Roman"/>
          <w:sz w:val="24"/>
          <w:szCs w:val="24"/>
          <w:lang w:val="ru-RU" w:eastAsia="ru-RU"/>
        </w:rPr>
      </w:pPr>
      <w:r>
        <w:rPr>
          <w:rFonts w:cs="Times New Roman" w:ascii="Times New Roman" w:hAnsi="Times New Roman"/>
          <w:sz w:val="24"/>
          <w:szCs w:val="24"/>
          <w:lang w:val="ru-RU" w:eastAsia="ru-RU"/>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NoSpacing"/>
        <w:ind w:firstLine="567" w:right="0"/>
        <w:jc w:val="both"/>
        <w:rPr>
          <w:rFonts w:ascii="Times New Roman" w:hAnsi="Times New Roman" w:cs="Times New Roman"/>
          <w:sz w:val="24"/>
          <w:szCs w:val="24"/>
          <w:lang w:val="ru-RU" w:eastAsia="ru-RU"/>
        </w:rPr>
      </w:pPr>
      <w:r>
        <w:rPr>
          <w:rFonts w:cs="Times New Roman" w:ascii="Times New Roman" w:hAnsi="Times New Roman"/>
          <w:sz w:val="24"/>
          <w:szCs w:val="24"/>
          <w:lang w:val="ru-RU"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NoSpacing"/>
        <w:ind w:firstLine="567" w:right="0"/>
        <w:jc w:val="both"/>
        <w:rPr>
          <w:rFonts w:ascii="Times New Roman" w:hAnsi="Times New Roman" w:cs="Times New Roman"/>
          <w:sz w:val="24"/>
          <w:szCs w:val="24"/>
          <w:lang w:val="ru-RU" w:eastAsia="ru-RU"/>
        </w:rPr>
      </w:pPr>
      <w:r>
        <w:rPr>
          <w:rFonts w:cs="Times New Roman" w:ascii="Times New Roman" w:hAnsi="Times New Roman"/>
          <w:sz w:val="24"/>
          <w:szCs w:val="24"/>
          <w:lang w:val="ru-RU" w:eastAsia="ru-RU"/>
        </w:rPr>
        <w:t>11.2.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Spacing"/>
        <w:ind w:firstLine="567" w:right="0"/>
        <w:jc w:val="both"/>
        <w:rPr>
          <w:rFonts w:ascii="Times New Roman" w:hAnsi="Times New Roman" w:cs="Times New Roman"/>
          <w:sz w:val="24"/>
          <w:szCs w:val="24"/>
          <w:lang w:val="ru-RU" w:eastAsia="ru-RU"/>
        </w:rPr>
      </w:pPr>
      <w:r>
        <w:rPr>
          <w:rFonts w:cs="Times New Roman" w:ascii="Times New Roman" w:hAnsi="Times New Roman"/>
          <w:sz w:val="24"/>
          <w:szCs w:val="24"/>
          <w:lang w:val="ru-RU" w:eastAsia="ru-RU"/>
        </w:rPr>
        <w:t>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pPr>
        <w:pStyle w:val="NoSpacing"/>
        <w:ind w:firstLine="567" w:right="0"/>
        <w:jc w:val="both"/>
        <w:rPr>
          <w:rFonts w:ascii="Times New Roman" w:hAnsi="Times New Roman" w:cs="Times New Roman"/>
          <w:sz w:val="24"/>
          <w:szCs w:val="24"/>
          <w:lang w:val="ru-RU" w:eastAsia="ru-RU"/>
        </w:rPr>
      </w:pPr>
      <w:r>
        <w:rPr>
          <w:rFonts w:cs="Times New Roman" w:ascii="Times New Roman" w:hAnsi="Times New Roman"/>
          <w:sz w:val="24"/>
          <w:szCs w:val="24"/>
          <w:lang w:val="ru-RU" w:eastAsia="ru-RU"/>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pPr>
        <w:pStyle w:val="NoSpacing"/>
        <w:ind w:firstLine="567" w:right="0"/>
        <w:jc w:val="both"/>
        <w:rPr>
          <w:rFonts w:ascii="Times New Roman" w:hAnsi="Times New Roman" w:cs="Times New Roman"/>
          <w:sz w:val="24"/>
          <w:szCs w:val="24"/>
          <w:lang w:val="ru-RU" w:eastAsia="ru-RU"/>
        </w:rPr>
      </w:pPr>
      <w:r>
        <w:rPr>
          <w:rFonts w:cs="Times New Roman" w:ascii="Times New Roman" w:hAnsi="Times New Roman"/>
          <w:sz w:val="24"/>
          <w:szCs w:val="24"/>
          <w:lang w:val="ru-RU" w:eastAsia="ru-RU"/>
        </w:rPr>
        <w:t>11.5.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NoSpacing"/>
        <w:ind w:firstLine="567" w:right="0"/>
        <w:jc w:val="both"/>
        <w:rPr>
          <w:rFonts w:ascii="Times New Roman" w:hAnsi="Times New Roman" w:cs="Times New Roman"/>
          <w:sz w:val="24"/>
          <w:szCs w:val="24"/>
          <w:lang w:val="ru-RU" w:eastAsia="ru-RU"/>
        </w:rPr>
      </w:pPr>
      <w:r>
        <w:rPr>
          <w:rFonts w:cs="Times New Roman" w:ascii="Times New Roman" w:hAnsi="Times New Roman"/>
          <w:sz w:val="24"/>
          <w:szCs w:val="24"/>
          <w:lang w:val="ru-RU" w:eastAsia="ru-RU"/>
        </w:rPr>
      </w:r>
    </w:p>
    <w:p>
      <w:pPr>
        <w:pStyle w:val="Normal"/>
        <w:ind w:firstLine="567" w:right="0"/>
        <w:jc w:val="center"/>
        <w:rPr>
          <w:rFonts w:ascii="Times New Roman" w:hAnsi="Times New Roman" w:cs="Times New Roman"/>
          <w:szCs w:val="24"/>
        </w:rPr>
      </w:pPr>
      <w:r>
        <w:rPr>
          <w:b/>
        </w:rPr>
        <w:t>12. ПОРЯДОК РАЗРЕШЕНИЯ СПОРОВ</w:t>
      </w:r>
    </w:p>
    <w:p>
      <w:pPr>
        <w:pStyle w:val="BodyText"/>
        <w:tabs>
          <w:tab w:val="clear" w:pos="708"/>
          <w:tab w:val="left" w:pos="709" w:leader="none"/>
        </w:tabs>
        <w:spacing w:before="0" w:after="0"/>
        <w:ind w:firstLine="567" w:left="0" w:right="0"/>
        <w:rPr>
          <w:rFonts w:ascii="Times New Roman" w:hAnsi="Times New Roman" w:cs="Times New Roman"/>
          <w:szCs w:val="24"/>
        </w:rPr>
      </w:pPr>
      <w:r>
        <w:rPr>
          <w:rFonts w:cs="Times New Roman" w:ascii="Times New Roman" w:hAnsi="Times New Roman"/>
          <w:szCs w:val="24"/>
        </w:rPr>
        <w:t>12.1.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pPr>
        <w:pStyle w:val="BodyText"/>
        <w:tabs>
          <w:tab w:val="clear" w:pos="708"/>
          <w:tab w:val="left" w:pos="709" w:leader="none"/>
        </w:tabs>
        <w:spacing w:before="0" w:after="0"/>
        <w:ind w:firstLine="567" w:left="0" w:right="0"/>
        <w:rPr>
          <w:rFonts w:ascii="Times New Roman" w:hAnsi="Times New Roman" w:cs="Times New Roman"/>
          <w:szCs w:val="24"/>
        </w:rPr>
      </w:pPr>
      <w:r>
        <w:rPr>
          <w:rFonts w:cs="Times New Roman" w:ascii="Times New Roman" w:hAnsi="Times New Roman"/>
          <w:szCs w:val="24"/>
        </w:rPr>
        <w:t>12.2. В случае не достижения согласия, споры передаются сторонами на рассмотрение Арбитражного суда по месту нахождения ответчика.</w:t>
      </w:r>
    </w:p>
    <w:p>
      <w:pPr>
        <w:pStyle w:val="Normal"/>
        <w:ind w:firstLine="567" w:right="0"/>
        <w:jc w:val="both"/>
        <w:rPr>
          <w:b/>
        </w:rPr>
      </w:pPr>
      <w:r>
        <w:rPr/>
        <w:t>12.3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pPr>
        <w:pStyle w:val="Normal"/>
        <w:ind w:firstLine="567" w:right="0"/>
        <w:jc w:val="center"/>
        <w:rPr>
          <w:color w:val="000000"/>
        </w:rPr>
      </w:pPr>
      <w:r>
        <w:rPr>
          <w:b/>
        </w:rPr>
        <w:t>13. ПРОЧИЕ УСЛОВИЯ</w:t>
      </w:r>
    </w:p>
    <w:p>
      <w:pPr>
        <w:pStyle w:val="BodyTextIndent"/>
        <w:widowControl w:val="false"/>
        <w:spacing w:before="0" w:after="0"/>
        <w:ind w:firstLine="567" w:left="0" w:right="0"/>
        <w:jc w:val="both"/>
        <w:rPr>
          <w:color w:val="000000"/>
        </w:rPr>
      </w:pPr>
      <w:r>
        <w:rPr>
          <w:color w:val="000000"/>
        </w:rPr>
        <w:t>13.1. Настоящий Контракт составлен в двух подлинных экземплярах по одному для каждой из «Сторон».</w:t>
      </w:r>
    </w:p>
    <w:p>
      <w:pPr>
        <w:pStyle w:val="Normal"/>
        <w:widowControl w:val="false"/>
        <w:ind w:firstLine="567" w:right="0"/>
        <w:jc w:val="both"/>
        <w:rPr>
          <w:color w:val="000000"/>
        </w:rPr>
      </w:pPr>
      <w:r>
        <w:rPr>
          <w:color w:val="000000"/>
        </w:rPr>
        <w:t>13.2.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pPr>
        <w:pStyle w:val="Normal"/>
        <w:widowControl w:val="false"/>
        <w:ind w:firstLine="567" w:right="0"/>
        <w:jc w:val="both"/>
        <w:rPr>
          <w:color w:val="000000"/>
          <w:szCs w:val="24"/>
        </w:rPr>
      </w:pPr>
      <w:r>
        <w:rPr>
          <w:color w:val="000000"/>
        </w:rPr>
        <w:t>13.3.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pPr>
        <w:pStyle w:val="15"/>
        <w:spacing w:lineRule="auto" w:line="240"/>
        <w:ind w:firstLine="567" w:left="0" w:right="0"/>
        <w:rPr>
          <w:color w:val="000000"/>
          <w:szCs w:val="24"/>
        </w:rPr>
      </w:pPr>
      <w:r>
        <w:rPr>
          <w:color w:val="000000"/>
          <w:szCs w:val="24"/>
        </w:rPr>
        <w:t>13.4.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pPr>
        <w:pStyle w:val="15"/>
        <w:spacing w:lineRule="auto" w:line="240"/>
        <w:ind w:firstLine="567" w:left="0" w:right="0"/>
        <w:rPr>
          <w:color w:val="000000"/>
        </w:rPr>
      </w:pPr>
      <w:r>
        <w:rPr>
          <w:color w:val="000000"/>
          <w:szCs w:val="24"/>
        </w:rPr>
        <w:t>13.5. Во всем остальном, что не предусмотрено Контрактом, «Стороны» руководствуются действующим законодательством Российской Федерации.</w:t>
      </w:r>
    </w:p>
    <w:p>
      <w:pPr>
        <w:pStyle w:val="Normal"/>
        <w:widowControl w:val="false"/>
        <w:ind w:firstLine="567" w:right="0"/>
        <w:jc w:val="both"/>
        <w:rPr>
          <w:color w:val="000000"/>
        </w:rPr>
      </w:pPr>
      <w:r>
        <w:rPr>
          <w:color w:val="000000"/>
        </w:rPr>
        <w:t>13.6. Приложения к Контракту являются его неотъемлемыми частями:</w:t>
      </w:r>
    </w:p>
    <w:p>
      <w:pPr>
        <w:pStyle w:val="Normal"/>
        <w:widowControl w:val="false"/>
        <w:ind w:firstLine="567" w:right="0"/>
        <w:jc w:val="both"/>
        <w:rPr>
          <w:color w:val="000000"/>
        </w:rPr>
      </w:pPr>
      <w:r>
        <w:rPr>
          <w:color w:val="000000"/>
        </w:rPr>
        <w:t>Приложение № 1 – Спецификация на поставку товара по Контракту.</w:t>
      </w:r>
    </w:p>
    <w:p>
      <w:pPr>
        <w:pStyle w:val="Normal"/>
        <w:ind w:firstLine="567" w:right="0"/>
        <w:jc w:val="both"/>
        <w:rPr>
          <w:b/>
        </w:rPr>
      </w:pPr>
      <w:r>
        <w:rPr/>
        <w:t xml:space="preserve">13.7. «Поставщик» гарантирует соответствие единым требованиям, установленным ст. 31 Федерального закона от 05.04.2013 № 44-ФЗ </w:t>
      </w:r>
      <w:r>
        <w:rPr>
          <w:lang w:val="ru-RU" w:eastAsia="ru-RU"/>
        </w:rPr>
        <w:t>«О контрактной системе в сфере закупок товаров, работ, услуг для обеспечения государственных и муниципальных нужд»</w:t>
      </w:r>
      <w:r>
        <w:rPr/>
        <w:t>.</w:t>
      </w:r>
    </w:p>
    <w:p>
      <w:pPr>
        <w:pStyle w:val="Normal"/>
        <w:widowControl w:val="false"/>
        <w:ind w:firstLine="567" w:right="0"/>
        <w:jc w:val="center"/>
        <w:rPr>
          <w:b/>
        </w:rPr>
      </w:pPr>
      <w:r>
        <w:rPr>
          <w:b/>
        </w:rPr>
      </w:r>
    </w:p>
    <w:p>
      <w:pPr>
        <w:pStyle w:val="Normal"/>
        <w:ind w:firstLine="567" w:right="0"/>
        <w:jc w:val="center"/>
        <w:rPr>
          <w:b/>
        </w:rPr>
      </w:pPr>
      <w:r>
        <w:rPr>
          <w:b/>
        </w:rPr>
        <w:t>14. СРОК ДЕЙСТВИЯ КОНТРАКТА</w:t>
      </w:r>
    </w:p>
    <w:p>
      <w:pPr>
        <w:pStyle w:val="Normal"/>
        <w:ind w:firstLine="567" w:right="0"/>
        <w:jc w:val="both"/>
        <w:rPr/>
      </w:pPr>
      <w:r>
        <w:rPr/>
        <w:t xml:space="preserve">14.1. Настоящий Контракт вступает в силу с момента подписания и действует до 31.12.2026. </w:t>
      </w:r>
    </w:p>
    <w:p>
      <w:pPr>
        <w:pStyle w:val="1bullet1gif"/>
        <w:spacing w:before="0" w:after="0"/>
        <w:ind w:firstLine="567" w:right="0"/>
        <w:contextualSpacing/>
        <w:jc w:val="both"/>
        <w:rPr/>
      </w:pPr>
      <w:r>
        <w:rPr/>
        <w:t>Приложения к Контракту являются его неотъемлемыми частями:</w:t>
      </w:r>
    </w:p>
    <w:p>
      <w:pPr>
        <w:pStyle w:val="1bullet2gif"/>
        <w:spacing w:before="0" w:after="0"/>
        <w:ind w:firstLine="567" w:right="0"/>
        <w:contextualSpacing/>
        <w:jc w:val="both"/>
        <w:rPr/>
      </w:pPr>
      <w:r>
        <w:rPr/>
        <w:t>Приложение № 1 – Ведомость поставки  Товара по Контракту.</w:t>
      </w:r>
    </w:p>
    <w:p>
      <w:pPr>
        <w:pStyle w:val="1bullet2gif"/>
        <w:spacing w:before="0" w:after="0"/>
        <w:ind w:firstLine="567" w:right="0"/>
        <w:contextualSpacing/>
        <w:jc w:val="both"/>
        <w:rPr>
          <w:sz w:val="24"/>
          <w:szCs w:val="24"/>
        </w:rPr>
      </w:pPr>
      <w:r>
        <w:rPr/>
        <w:t>Приложение № 2- Акт приема-передачи товара</w:t>
      </w:r>
    </w:p>
    <w:p>
      <w:pPr>
        <w:pStyle w:val="110"/>
        <w:widowControl w:val="false"/>
        <w:spacing w:lineRule="auto" w:line="240" w:before="0" w:after="0"/>
        <w:ind w:firstLine="567" w:right="0"/>
        <w:contextualSpacing/>
        <w:jc w:val="both"/>
        <w:rPr/>
      </w:pPr>
      <w:r>
        <w:rPr>
          <w:sz w:val="24"/>
          <w:szCs w:val="24"/>
        </w:rPr>
        <w:t xml:space="preserve">Приложение № 3 – </w:t>
      </w:r>
      <w:r>
        <w:rPr>
          <w:bCs/>
          <w:sz w:val="24"/>
          <w:szCs w:val="24"/>
        </w:rPr>
        <w:t>Техническое задание на поставку расходных материалов и комплектующих оборудования  системы электронного мониторинга подконтрольных лиц.</w:t>
      </w:r>
    </w:p>
    <w:p>
      <w:pPr>
        <w:pStyle w:val="312"/>
        <w:ind w:firstLine="567" w:left="0" w:right="0"/>
        <w:jc w:val="center"/>
        <w:rPr/>
      </w:pPr>
      <w:r>
        <w:rPr/>
      </w:r>
    </w:p>
    <w:p>
      <w:pPr>
        <w:pStyle w:val="312"/>
        <w:ind w:firstLine="567" w:left="0" w:right="0"/>
        <w:jc w:val="center"/>
        <w:rPr/>
      </w:pPr>
      <w:r>
        <w:rPr/>
        <w:t>15. ЮРИДИЧЕСКИЕ АДРЕСА, БАНКОВСКИЕ РЕКВИЗИТЫ СТОРОН</w:t>
      </w:r>
    </w:p>
    <w:p>
      <w:pPr>
        <w:pStyle w:val="312"/>
        <w:ind w:firstLine="567" w:left="0" w:right="0"/>
        <w:jc w:val="center"/>
        <w:rPr/>
      </w:pPr>
      <w:r>
        <w:rPr/>
        <w:t>НА МОМЕНТ ЗАКЛЮЧЕНИЯ КОНТРАКТА</w:t>
      </w:r>
    </w:p>
    <w:p>
      <w:pPr>
        <w:pStyle w:val="312"/>
        <w:ind w:firstLine="567" w:left="0" w:right="0"/>
        <w:jc w:val="center"/>
        <w:rPr/>
      </w:pPr>
      <w:r>
        <w:rPr/>
      </w:r>
    </w:p>
    <w:tbl>
      <w:tblPr>
        <w:tblW w:w="10264" w:type="dxa"/>
        <w:jc w:val="left"/>
        <w:tblInd w:w="0" w:type="dxa"/>
        <w:tblLayout w:type="fixed"/>
        <w:tblCellMar>
          <w:top w:w="0" w:type="dxa"/>
          <w:left w:w="108" w:type="dxa"/>
          <w:bottom w:w="0" w:type="dxa"/>
          <w:right w:w="108" w:type="dxa"/>
        </w:tblCellMar>
      </w:tblPr>
      <w:tblGrid>
        <w:gridCol w:w="5667"/>
        <w:gridCol w:w="4596"/>
      </w:tblGrid>
      <w:tr>
        <w:trPr>
          <w:trHeight w:val="5835" w:hRule="atLeast"/>
        </w:trPr>
        <w:tc>
          <w:tcPr>
            <w:tcW w:w="5667" w:type="dxa"/>
            <w:tcBorders/>
          </w:tcPr>
          <w:p>
            <w:pPr>
              <w:pStyle w:val="Normal"/>
              <w:widowControl/>
              <w:shd w:val="clear" w:fill="FFFFFF"/>
              <w:suppressAutoHyphens w:val="true"/>
              <w:bidi w:val="0"/>
              <w:ind w:right="0"/>
              <w:rPr>
                <w:color w:val="000000"/>
                <w:sz w:val="24"/>
                <w:szCs w:val="24"/>
              </w:rPr>
            </w:pPr>
            <w:r>
              <w:rPr>
                <w:color w:val="000000"/>
              </w:rPr>
              <w:t xml:space="preserve"> </w:t>
            </w:r>
            <w:r>
              <w:rPr>
                <w:color w:val="000000"/>
                <w:sz w:val="24"/>
                <w:szCs w:val="24"/>
              </w:rPr>
              <w:t>Государственный заказчик</w:t>
            </w:r>
          </w:p>
          <w:p>
            <w:pPr>
              <w:pStyle w:val="Normal"/>
              <w:widowControl/>
              <w:shd w:val="clear" w:fill="FFFFFF"/>
              <w:suppressAutoHyphens w:val="true"/>
              <w:bidi w:val="0"/>
              <w:ind w:right="0"/>
              <w:rPr>
                <w:b/>
                <w:bCs/>
              </w:rPr>
            </w:pPr>
            <w:r>
              <w:rPr>
                <w:b/>
                <w:bCs/>
                <w:color w:val="000000"/>
                <w:sz w:val="24"/>
                <w:szCs w:val="24"/>
              </w:rPr>
              <w:t>ФКУ УИИ УФСИН России по Томской области</w:t>
            </w:r>
          </w:p>
          <w:p>
            <w:pPr>
              <w:pStyle w:val="Normal"/>
              <w:widowControl/>
              <w:shd w:val="clear" w:fill="FFFFFF"/>
              <w:suppressAutoHyphens w:val="true"/>
              <w:bidi w:val="0"/>
              <w:ind w:right="0"/>
              <w:rPr>
                <w:color w:val="000000"/>
                <w:sz w:val="24"/>
                <w:szCs w:val="24"/>
              </w:rPr>
            </w:pPr>
            <w:r>
              <w:rPr>
                <w:color w:val="000000"/>
                <w:sz w:val="24"/>
                <w:szCs w:val="24"/>
              </w:rPr>
            </w:r>
          </w:p>
          <w:p>
            <w:pPr>
              <w:pStyle w:val="Normal"/>
              <w:tabs>
                <w:tab w:val="clear" w:pos="708"/>
                <w:tab w:val="left" w:pos="0" w:leader="none"/>
              </w:tabs>
              <w:rPr>
                <w:color w:val="000000"/>
                <w:sz w:val="24"/>
                <w:szCs w:val="24"/>
              </w:rPr>
            </w:pPr>
            <w:r>
              <w:rPr>
                <w:color w:val="000000"/>
                <w:sz w:val="24"/>
                <w:szCs w:val="24"/>
              </w:rPr>
              <w:t xml:space="preserve">юридический адрес: 634003,  г. Томск, </w:t>
              <w:br/>
              <w:t>ул. Пушкина, 3.</w:t>
            </w:r>
          </w:p>
          <w:p>
            <w:pPr>
              <w:pStyle w:val="Normal"/>
              <w:tabs>
                <w:tab w:val="clear" w:pos="708"/>
                <w:tab w:val="left" w:pos="0" w:leader="none"/>
              </w:tabs>
              <w:rPr>
                <w:color w:val="000000"/>
                <w:sz w:val="24"/>
                <w:szCs w:val="24"/>
              </w:rPr>
            </w:pPr>
            <w:r>
              <w:rPr>
                <w:color w:val="000000"/>
                <w:sz w:val="24"/>
                <w:szCs w:val="24"/>
              </w:rPr>
              <w:t>ИНН 7017292594</w:t>
            </w:r>
          </w:p>
          <w:p>
            <w:pPr>
              <w:pStyle w:val="Normal"/>
              <w:tabs>
                <w:tab w:val="clear" w:pos="708"/>
                <w:tab w:val="left" w:pos="0" w:leader="none"/>
              </w:tabs>
              <w:rPr>
                <w:color w:val="000000"/>
                <w:sz w:val="24"/>
                <w:szCs w:val="24"/>
              </w:rPr>
            </w:pPr>
            <w:r>
              <w:rPr>
                <w:color w:val="000000"/>
                <w:sz w:val="24"/>
                <w:szCs w:val="24"/>
              </w:rPr>
              <w:t>КПП 701701001</w:t>
            </w:r>
          </w:p>
          <w:p>
            <w:pPr>
              <w:pStyle w:val="Normal"/>
              <w:tabs>
                <w:tab w:val="clear" w:pos="708"/>
                <w:tab w:val="left" w:pos="0" w:leader="none"/>
              </w:tabs>
              <w:rPr>
                <w:color w:val="000000"/>
                <w:sz w:val="24"/>
                <w:szCs w:val="24"/>
              </w:rPr>
            </w:pPr>
            <w:r>
              <w:rPr>
                <w:color w:val="000000"/>
                <w:sz w:val="24"/>
                <w:szCs w:val="24"/>
              </w:rPr>
              <w:t>Получатель: УФК по Новосибирской области</w:t>
            </w:r>
          </w:p>
          <w:p>
            <w:pPr>
              <w:pStyle w:val="Normal"/>
              <w:tabs>
                <w:tab w:val="clear" w:pos="708"/>
                <w:tab w:val="left" w:pos="0" w:leader="none"/>
              </w:tabs>
              <w:rPr>
                <w:color w:val="000000"/>
                <w:sz w:val="24"/>
                <w:szCs w:val="24"/>
              </w:rPr>
            </w:pPr>
            <w:r>
              <w:rPr>
                <w:color w:val="000000"/>
                <w:sz w:val="24"/>
                <w:szCs w:val="24"/>
              </w:rPr>
              <w:t>(ФКУ УИИ УФСИН России по Томской области)</w:t>
            </w:r>
          </w:p>
          <w:p>
            <w:pPr>
              <w:pStyle w:val="Normal"/>
              <w:tabs>
                <w:tab w:val="clear" w:pos="708"/>
                <w:tab w:val="left" w:pos="0" w:leader="none"/>
              </w:tabs>
              <w:rPr>
                <w:color w:val="000000"/>
                <w:sz w:val="24"/>
                <w:szCs w:val="24"/>
              </w:rPr>
            </w:pPr>
            <w:r>
              <w:rPr>
                <w:color w:val="000000"/>
                <w:sz w:val="24"/>
                <w:szCs w:val="24"/>
              </w:rPr>
              <w:t>ОКЦ № 1 СибГУ Банка России//УФК по Новосибирской области, г. Новосибирск</w:t>
            </w:r>
          </w:p>
          <w:p>
            <w:pPr>
              <w:pStyle w:val="Normal"/>
              <w:tabs>
                <w:tab w:val="clear" w:pos="708"/>
                <w:tab w:val="left" w:pos="0" w:leader="none"/>
              </w:tabs>
              <w:rPr>
                <w:color w:val="000000"/>
                <w:sz w:val="24"/>
                <w:szCs w:val="24"/>
              </w:rPr>
            </w:pPr>
            <w:r>
              <w:rPr>
                <w:color w:val="000000"/>
                <w:sz w:val="24"/>
                <w:szCs w:val="24"/>
              </w:rPr>
              <w:t>БИК 015004950</w:t>
            </w:r>
          </w:p>
          <w:p>
            <w:pPr>
              <w:pStyle w:val="Normal"/>
              <w:tabs>
                <w:tab w:val="clear" w:pos="708"/>
                <w:tab w:val="left" w:pos="0" w:leader="none"/>
              </w:tabs>
              <w:rPr>
                <w:color w:val="000000"/>
                <w:sz w:val="24"/>
                <w:szCs w:val="24"/>
              </w:rPr>
            </w:pPr>
            <w:r>
              <w:rPr>
                <w:color w:val="000000"/>
                <w:sz w:val="24"/>
                <w:szCs w:val="24"/>
              </w:rPr>
              <w:t>ЕКС 40102810445370000043</w:t>
            </w:r>
          </w:p>
          <w:p>
            <w:pPr>
              <w:pStyle w:val="Normal"/>
              <w:tabs>
                <w:tab w:val="clear" w:pos="708"/>
                <w:tab w:val="left" w:pos="0" w:leader="none"/>
              </w:tabs>
              <w:rPr>
                <w:sz w:val="24"/>
                <w:szCs w:val="24"/>
              </w:rPr>
            </w:pPr>
            <w:r>
              <w:rPr>
                <w:color w:val="000000"/>
                <w:sz w:val="24"/>
                <w:szCs w:val="24"/>
              </w:rPr>
              <w:t xml:space="preserve">КС 03211643000000015105 Л/С 03651А65490 </w:t>
              <w:br/>
              <w:t>ОКТМО 69701000</w:t>
            </w:r>
          </w:p>
          <w:p>
            <w:pPr>
              <w:pStyle w:val="Normal"/>
              <w:tabs>
                <w:tab w:val="clear" w:pos="708"/>
                <w:tab w:val="left" w:pos="0" w:leader="none"/>
              </w:tabs>
              <w:rPr>
                <w:sz w:val="24"/>
                <w:szCs w:val="24"/>
              </w:rPr>
            </w:pPr>
            <w:r>
              <w:rPr>
                <w:sz w:val="24"/>
                <w:szCs w:val="24"/>
              </w:rPr>
              <w:t>Тел</w:t>
            </w:r>
            <w:r>
              <w:rPr>
                <w:sz w:val="24"/>
                <w:szCs w:val="24"/>
                <w:lang w:val="en-US"/>
              </w:rPr>
              <w:t>:  8(3822) 602-036</w:t>
            </w:r>
          </w:p>
          <w:p>
            <w:pPr>
              <w:pStyle w:val="Normal"/>
              <w:rPr>
                <w:color w:val="000000"/>
                <w:sz w:val="24"/>
                <w:szCs w:val="24"/>
              </w:rPr>
            </w:pPr>
            <w:r>
              <w:rPr>
                <w:color w:val="000000"/>
                <w:sz w:val="24"/>
                <w:szCs w:val="24"/>
                <w:lang w:val="en-US"/>
              </w:rPr>
              <w:t>Email</w:t>
            </w:r>
            <w:r>
              <w:rPr>
                <w:color w:val="000000"/>
                <w:sz w:val="24"/>
                <w:szCs w:val="24"/>
              </w:rPr>
              <w:t>:  uii@70.fsin.gov.ru</w:t>
            </w:r>
          </w:p>
          <w:p>
            <w:pPr>
              <w:pStyle w:val="Normal"/>
              <w:jc w:val="both"/>
              <w:rPr>
                <w:sz w:val="24"/>
                <w:szCs w:val="24"/>
              </w:rPr>
            </w:pPr>
            <w:r>
              <w:rPr>
                <w:color w:val="000000"/>
                <w:sz w:val="24"/>
                <w:szCs w:val="24"/>
              </w:rPr>
              <w:t>КБК 320 0305 42 4 06 90049 244</w:t>
            </w:r>
          </w:p>
          <w:p>
            <w:pPr>
              <w:pStyle w:val="Normal"/>
              <w:ind w:right="0"/>
              <w:rPr>
                <w:sz w:val="24"/>
                <w:szCs w:val="24"/>
              </w:rPr>
            </w:pPr>
            <w:r>
              <w:rPr>
                <w:sz w:val="24"/>
                <w:szCs w:val="24"/>
              </w:rPr>
            </w:r>
          </w:p>
          <w:p>
            <w:pPr>
              <w:pStyle w:val="Normal"/>
              <w:ind w:right="0"/>
              <w:rPr>
                <w:sz w:val="24"/>
                <w:szCs w:val="24"/>
              </w:rPr>
            </w:pPr>
            <w:r>
              <w:rPr>
                <w:sz w:val="24"/>
                <w:szCs w:val="24"/>
              </w:rPr>
            </w:r>
          </w:p>
          <w:p>
            <w:pPr>
              <w:pStyle w:val="Normal"/>
              <w:ind w:right="0"/>
              <w:rPr>
                <w:sz w:val="24"/>
                <w:szCs w:val="24"/>
              </w:rPr>
            </w:pPr>
            <w:r>
              <w:rPr>
                <w:sz w:val="24"/>
                <w:szCs w:val="24"/>
              </w:rPr>
            </w:r>
          </w:p>
          <w:p>
            <w:pPr>
              <w:pStyle w:val="Normal"/>
              <w:ind w:right="0"/>
              <w:rPr>
                <w:sz w:val="24"/>
                <w:szCs w:val="24"/>
              </w:rPr>
            </w:pPr>
            <w:r>
              <w:rPr>
                <w:sz w:val="24"/>
                <w:szCs w:val="24"/>
              </w:rPr>
            </w:r>
          </w:p>
          <w:p>
            <w:pPr>
              <w:pStyle w:val="Normal"/>
              <w:ind w:right="0"/>
              <w:rPr>
                <w:color w:val="000000"/>
                <w:sz w:val="24"/>
                <w:szCs w:val="24"/>
              </w:rPr>
            </w:pPr>
            <w:r>
              <w:rPr>
                <w:color w:val="000000"/>
                <w:sz w:val="24"/>
                <w:szCs w:val="24"/>
              </w:rPr>
              <w:t>Врио н</w:t>
            </w:r>
            <w:r>
              <w:rPr>
                <w:iCs/>
                <w:color w:val="000000"/>
                <w:sz w:val="24"/>
                <w:szCs w:val="24"/>
              </w:rPr>
              <w:t>ачальника</w:t>
            </w:r>
          </w:p>
          <w:p>
            <w:pPr>
              <w:pStyle w:val="Normal"/>
              <w:ind w:right="0"/>
              <w:rPr>
                <w:color w:val="000000"/>
                <w:sz w:val="24"/>
                <w:szCs w:val="24"/>
              </w:rPr>
            </w:pPr>
            <w:r>
              <w:rPr>
                <w:color w:val="000000"/>
                <w:sz w:val="24"/>
                <w:szCs w:val="24"/>
              </w:rPr>
            </w:r>
          </w:p>
          <w:p>
            <w:pPr>
              <w:pStyle w:val="Normal"/>
              <w:ind w:right="0"/>
              <w:rPr>
                <w:color w:val="000000"/>
                <w:sz w:val="24"/>
                <w:szCs w:val="24"/>
              </w:rPr>
            </w:pPr>
            <w:r>
              <w:rPr>
                <w:color w:val="000000"/>
                <w:sz w:val="24"/>
                <w:szCs w:val="24"/>
              </w:rPr>
              <w:t>______________________ А.А. Сыренков</w:t>
            </w:r>
          </w:p>
        </w:tc>
        <w:tc>
          <w:tcPr>
            <w:tcW w:w="4596" w:type="dxa"/>
            <w:tcBorders/>
          </w:tcPr>
          <w:p>
            <w:pPr>
              <w:pStyle w:val="Normal"/>
              <w:widowControl/>
              <w:shd w:val="clear" w:fill="FFFFFF"/>
              <w:suppressAutoHyphens w:val="true"/>
              <w:bidi w:val="0"/>
              <w:snapToGrid w:val="false"/>
              <w:spacing w:before="0" w:after="0"/>
              <w:ind w:hanging="0" w:left="113" w:right="113"/>
              <w:jc w:val="both"/>
              <w:rPr>
                <w:color w:val="000000"/>
                <w:spacing w:val="-1"/>
              </w:rPr>
            </w:pPr>
            <w:r>
              <w:rPr>
                <w:color w:val="000000"/>
                <w:spacing w:val="-1"/>
              </w:rPr>
              <w:t>Поставщик</w:t>
            </w:r>
          </w:p>
          <w:p>
            <w:pPr>
              <w:pStyle w:val="Style25"/>
              <w:rPr>
                <w:rFonts w:ascii="Tinos" w:hAnsi="Tinos" w:cs="Tinos"/>
                <w:b/>
                <w:color w:val="000000"/>
                <w:sz w:val="24"/>
                <w:szCs w:val="24"/>
              </w:rPr>
            </w:pPr>
            <w:r>
              <w:rPr>
                <w:rFonts w:cs="Tinos" w:ascii="Tinos" w:hAnsi="Tinos"/>
                <w:b/>
                <w:color w:val="000000"/>
                <w:sz w:val="24"/>
                <w:szCs w:val="24"/>
              </w:rPr>
              <w:t>АО «ЦИТОС»</w:t>
            </w:r>
          </w:p>
          <w:p>
            <w:pPr>
              <w:pStyle w:val="Style25"/>
              <w:rPr>
                <w:rFonts w:ascii="Tinos" w:hAnsi="Tinos" w:cs="Tinos"/>
                <w:b/>
                <w:color w:val="000000"/>
                <w:sz w:val="24"/>
                <w:szCs w:val="24"/>
              </w:rPr>
            </w:pPr>
            <w:r>
              <w:rPr>
                <w:rFonts w:cs="Tinos" w:ascii="Tinos" w:hAnsi="Tinos"/>
                <w:b/>
                <w:color w:val="000000"/>
                <w:sz w:val="24"/>
                <w:szCs w:val="24"/>
              </w:rPr>
            </w:r>
          </w:p>
          <w:p>
            <w:pPr>
              <w:pStyle w:val="Style25"/>
              <w:rPr>
                <w:rFonts w:ascii="Tinos" w:hAnsi="Tinos" w:cs="Tinos"/>
                <w:color w:val="000000"/>
                <w:sz w:val="24"/>
                <w:szCs w:val="24"/>
              </w:rPr>
            </w:pPr>
            <w:r>
              <w:rPr>
                <w:rFonts w:cs="Tinos" w:ascii="Tinos" w:hAnsi="Tinos"/>
                <w:color w:val="000000"/>
                <w:sz w:val="24"/>
                <w:szCs w:val="24"/>
              </w:rPr>
              <w:t>юридический адрес: 394072, г. Воронеж,</w:t>
            </w:r>
          </w:p>
          <w:p>
            <w:pPr>
              <w:pStyle w:val="Style25"/>
              <w:rPr>
                <w:rFonts w:ascii="Tinos" w:hAnsi="Tinos" w:cs="Tinos"/>
                <w:color w:val="000000"/>
                <w:sz w:val="24"/>
                <w:szCs w:val="24"/>
              </w:rPr>
            </w:pPr>
            <w:r>
              <w:rPr>
                <w:rFonts w:cs="Tinos" w:ascii="Tinos" w:hAnsi="Tinos"/>
                <w:color w:val="000000"/>
                <w:sz w:val="24"/>
                <w:szCs w:val="24"/>
              </w:rPr>
              <w:t>ул. Иркутская, д. 1А</w:t>
            </w:r>
          </w:p>
          <w:p>
            <w:pPr>
              <w:pStyle w:val="Style25"/>
              <w:rPr>
                <w:rFonts w:ascii="Tinos" w:hAnsi="Tinos" w:cs="Tinos"/>
                <w:color w:val="000000"/>
                <w:sz w:val="24"/>
                <w:szCs w:val="24"/>
              </w:rPr>
            </w:pPr>
            <w:r>
              <w:rPr>
                <w:rFonts w:cs="Tinos" w:ascii="Tinos" w:hAnsi="Tinos"/>
                <w:color w:val="000000"/>
                <w:sz w:val="24"/>
                <w:szCs w:val="24"/>
              </w:rPr>
              <w:t>почтовый адрес: 394072, г. Воронеж,</w:t>
            </w:r>
          </w:p>
          <w:p>
            <w:pPr>
              <w:pStyle w:val="Style25"/>
              <w:rPr>
                <w:rFonts w:ascii="Tinos" w:hAnsi="Tinos" w:cs="Tinos"/>
                <w:color w:val="000000"/>
                <w:sz w:val="24"/>
                <w:szCs w:val="24"/>
              </w:rPr>
            </w:pPr>
            <w:r>
              <w:rPr>
                <w:rFonts w:cs="Tinos" w:ascii="Tinos" w:hAnsi="Tinos"/>
                <w:color w:val="000000"/>
                <w:sz w:val="24"/>
                <w:szCs w:val="24"/>
              </w:rPr>
              <w:t>ул. Иркутская, д. 1А</w:t>
            </w:r>
          </w:p>
          <w:p>
            <w:pPr>
              <w:pStyle w:val="Style25"/>
              <w:rPr>
                <w:rFonts w:ascii="Tinos" w:hAnsi="Tinos" w:cs="Tinos"/>
                <w:color w:val="000000"/>
                <w:sz w:val="24"/>
                <w:szCs w:val="24"/>
              </w:rPr>
            </w:pPr>
            <w:r>
              <w:rPr>
                <w:rFonts w:cs="Tinos" w:ascii="Tinos" w:hAnsi="Tinos"/>
                <w:color w:val="000000"/>
                <w:sz w:val="24"/>
                <w:szCs w:val="24"/>
              </w:rPr>
              <w:t>Телефон/факс: 8(473) 280-11-10</w:t>
            </w:r>
          </w:p>
          <w:p>
            <w:pPr>
              <w:pStyle w:val="Style25"/>
              <w:rPr/>
            </w:pPr>
            <w:r>
              <w:rPr>
                <w:rFonts w:cs="Tinos" w:ascii="Tinos" w:hAnsi="Tinos"/>
                <w:color w:val="000000"/>
                <w:sz w:val="24"/>
                <w:szCs w:val="24"/>
                <w:lang w:val="en-US"/>
              </w:rPr>
              <w:t xml:space="preserve">E-mail: </w:t>
            </w:r>
            <w:hyperlink r:id="rId11">
              <w:r>
                <w:rPr>
                  <w:rStyle w:val="Hyperlink"/>
                  <w:rFonts w:eastAsia="Calibri" w:cs="Tinos" w:ascii="Tinos" w:hAnsi="Tinos"/>
                  <w:color w:val="000000"/>
                  <w:sz w:val="24"/>
                  <w:szCs w:val="24"/>
                  <w:lang w:val="en-US"/>
                </w:rPr>
                <w:t>info@citosfsin.ru</w:t>
              </w:r>
            </w:hyperlink>
          </w:p>
          <w:p>
            <w:pPr>
              <w:pStyle w:val="Style25"/>
              <w:rPr>
                <w:sz w:val="24"/>
                <w:szCs w:val="24"/>
              </w:rPr>
            </w:pPr>
            <w:r>
              <w:rPr>
                <w:rFonts w:cs="Tinos" w:ascii="Tinos" w:hAnsi="Tinos"/>
                <w:color w:val="000000"/>
                <w:sz w:val="24"/>
                <w:szCs w:val="24"/>
              </w:rPr>
              <w:t>ИНН</w:t>
            </w:r>
            <w:r>
              <w:rPr>
                <w:rFonts w:cs="Tinos" w:ascii="Tinos" w:hAnsi="Tinos"/>
                <w:color w:val="000000"/>
                <w:sz w:val="24"/>
                <w:szCs w:val="24"/>
                <w:lang w:val="en-US"/>
              </w:rPr>
              <w:t xml:space="preserve"> 3663157900</w:t>
            </w:r>
          </w:p>
          <w:p>
            <w:pPr>
              <w:pStyle w:val="Style25"/>
              <w:rPr>
                <w:sz w:val="24"/>
                <w:szCs w:val="24"/>
              </w:rPr>
            </w:pPr>
            <w:r>
              <w:rPr>
                <w:rFonts w:cs="Tinos" w:ascii="Tinos" w:hAnsi="Tinos"/>
                <w:color w:val="000000"/>
                <w:sz w:val="24"/>
                <w:szCs w:val="24"/>
              </w:rPr>
              <w:t>КПП</w:t>
            </w:r>
            <w:r>
              <w:rPr>
                <w:rFonts w:cs="Tinos" w:ascii="Tinos" w:hAnsi="Tinos"/>
                <w:color w:val="000000"/>
                <w:sz w:val="24"/>
                <w:szCs w:val="24"/>
                <w:lang w:val="en-US"/>
              </w:rPr>
              <w:t xml:space="preserve"> 366301001</w:t>
            </w:r>
          </w:p>
          <w:p>
            <w:pPr>
              <w:pStyle w:val="Style25"/>
              <w:rPr>
                <w:rFonts w:ascii="Tinos" w:hAnsi="Tinos" w:cs="Tinos"/>
                <w:color w:val="000000"/>
                <w:sz w:val="24"/>
                <w:szCs w:val="24"/>
              </w:rPr>
            </w:pPr>
            <w:r>
              <w:rPr>
                <w:rFonts w:cs="Tinos" w:ascii="Tinos" w:hAnsi="Tinos"/>
                <w:color w:val="000000"/>
                <w:sz w:val="24"/>
                <w:szCs w:val="24"/>
              </w:rPr>
              <w:t>Банковские реквизиты:</w:t>
            </w:r>
          </w:p>
          <w:p>
            <w:pPr>
              <w:pStyle w:val="Style25"/>
              <w:rPr>
                <w:rFonts w:ascii="Tinos" w:hAnsi="Tinos" w:cs="Tinos"/>
                <w:color w:val="000000"/>
                <w:sz w:val="24"/>
                <w:szCs w:val="24"/>
              </w:rPr>
            </w:pPr>
            <w:r>
              <w:rPr>
                <w:rFonts w:cs="Tinos" w:ascii="Tinos" w:hAnsi="Tinos"/>
                <w:color w:val="000000"/>
                <w:sz w:val="24"/>
                <w:szCs w:val="24"/>
              </w:rPr>
              <w:t>Расчетный счет 40502810813000000023</w:t>
            </w:r>
          </w:p>
          <w:p>
            <w:pPr>
              <w:pStyle w:val="Style25"/>
              <w:rPr>
                <w:rFonts w:ascii="Tinos" w:hAnsi="Tinos" w:cs="Tinos"/>
                <w:color w:val="000000"/>
                <w:sz w:val="24"/>
                <w:szCs w:val="24"/>
              </w:rPr>
            </w:pPr>
            <w:r>
              <w:rPr>
                <w:rFonts w:cs="Tinos" w:ascii="Tinos" w:hAnsi="Tinos"/>
                <w:color w:val="000000"/>
                <w:sz w:val="24"/>
                <w:szCs w:val="24"/>
              </w:rPr>
              <w:t>в ЦЕНТРАЛЬНО-ЧЕРНОЗЕМНЫЙ БАНК</w:t>
            </w:r>
          </w:p>
          <w:p>
            <w:pPr>
              <w:pStyle w:val="Style25"/>
              <w:rPr>
                <w:rFonts w:ascii="Tinos" w:hAnsi="Tinos" w:cs="Tinos"/>
                <w:color w:val="000000"/>
                <w:sz w:val="24"/>
                <w:szCs w:val="24"/>
              </w:rPr>
            </w:pPr>
            <w:r>
              <w:rPr>
                <w:rFonts w:cs="Tinos" w:ascii="Tinos" w:hAnsi="Tinos"/>
                <w:color w:val="000000"/>
                <w:sz w:val="24"/>
                <w:szCs w:val="24"/>
              </w:rPr>
              <w:t>ПАО «СБЕРБАНК» г. Воронеж</w:t>
            </w:r>
          </w:p>
          <w:p>
            <w:pPr>
              <w:pStyle w:val="Style25"/>
              <w:rPr>
                <w:rFonts w:ascii="Tinos" w:hAnsi="Tinos" w:cs="Tinos"/>
                <w:color w:val="000000"/>
                <w:sz w:val="24"/>
                <w:szCs w:val="24"/>
              </w:rPr>
            </w:pPr>
            <w:r>
              <w:rPr>
                <w:rFonts w:cs="Tinos" w:ascii="Tinos" w:hAnsi="Tinos"/>
                <w:color w:val="000000"/>
                <w:sz w:val="24"/>
                <w:szCs w:val="24"/>
              </w:rPr>
              <w:t>к/с 30101810600000000681</w:t>
            </w:r>
          </w:p>
          <w:p>
            <w:pPr>
              <w:pStyle w:val="Style25"/>
              <w:rPr>
                <w:rFonts w:ascii="Tinos" w:hAnsi="Tinos" w:cs="Tinos"/>
                <w:color w:val="000000"/>
                <w:sz w:val="24"/>
                <w:szCs w:val="24"/>
              </w:rPr>
            </w:pPr>
            <w:r>
              <w:rPr>
                <w:rFonts w:cs="Tinos" w:ascii="Tinos" w:hAnsi="Tinos"/>
                <w:color w:val="000000"/>
                <w:sz w:val="24"/>
                <w:szCs w:val="24"/>
              </w:rPr>
              <w:t>БИК 042007681</w:t>
            </w:r>
          </w:p>
          <w:p>
            <w:pPr>
              <w:pStyle w:val="Style25"/>
              <w:rPr>
                <w:rFonts w:ascii="Tinos" w:hAnsi="Tinos" w:cs="Tinos"/>
                <w:color w:val="000000"/>
                <w:sz w:val="24"/>
                <w:szCs w:val="24"/>
              </w:rPr>
            </w:pPr>
            <w:r>
              <w:rPr>
                <w:rFonts w:cs="Tinos" w:ascii="Tinos" w:hAnsi="Tinos"/>
                <w:color w:val="000000"/>
                <w:sz w:val="24"/>
                <w:szCs w:val="24"/>
              </w:rPr>
              <w:t>ОКПО 08577455</w:t>
            </w:r>
          </w:p>
          <w:p>
            <w:pPr>
              <w:pStyle w:val="Style25"/>
              <w:rPr>
                <w:rFonts w:ascii="Tinos" w:hAnsi="Tinos" w:cs="Tinos"/>
                <w:color w:val="000000"/>
                <w:sz w:val="24"/>
                <w:szCs w:val="24"/>
              </w:rPr>
            </w:pPr>
            <w:r>
              <w:rPr>
                <w:rFonts w:cs="Tinos" w:ascii="Tinos" w:hAnsi="Tinos"/>
                <w:color w:val="000000"/>
                <w:sz w:val="24"/>
                <w:szCs w:val="24"/>
              </w:rPr>
              <w:t>ОКТМО 20701000</w:t>
            </w:r>
          </w:p>
          <w:p>
            <w:pPr>
              <w:pStyle w:val="Style25"/>
              <w:rPr>
                <w:rFonts w:ascii="Tinos" w:hAnsi="Tinos" w:cs="Tinos"/>
                <w:color w:val="000000"/>
                <w:sz w:val="24"/>
                <w:szCs w:val="24"/>
              </w:rPr>
            </w:pPr>
            <w:r>
              <w:rPr>
                <w:rFonts w:eastAsia="SimSun;宋体" w:cs="Tinos" w:ascii="Times New Roman" w:hAnsi="Times New Roman"/>
                <w:color w:val="111111"/>
                <w:sz w:val="24"/>
                <w:szCs w:val="24"/>
              </w:rPr>
              <w:t>ОГРН 1213600031699</w:t>
            </w:r>
          </w:p>
          <w:p>
            <w:pPr>
              <w:pStyle w:val="Normal"/>
              <w:rPr>
                <w:rFonts w:ascii="Times New Roman" w:hAnsi="Times New Roman"/>
                <w:color w:val="111111"/>
                <w:sz w:val="24"/>
                <w:szCs w:val="24"/>
              </w:rPr>
            </w:pPr>
            <w:r>
              <w:rPr>
                <w:color w:val="111111"/>
                <w:sz w:val="24"/>
                <w:szCs w:val="24"/>
              </w:rPr>
            </w:r>
          </w:p>
          <w:p>
            <w:pPr>
              <w:pStyle w:val="Normal"/>
              <w:shd w:val="clear" w:fill="FFFFFF"/>
              <w:snapToGrid w:val="false"/>
              <w:ind w:firstLine="567" w:right="0"/>
              <w:jc w:val="center"/>
              <w:rPr>
                <w:color w:val="000000"/>
                <w:spacing w:val="-1"/>
                <w:sz w:val="24"/>
                <w:szCs w:val="24"/>
              </w:rPr>
            </w:pPr>
            <w:r>
              <w:rPr>
                <w:color w:val="000000"/>
                <w:spacing w:val="-1"/>
                <w:sz w:val="24"/>
                <w:szCs w:val="24"/>
              </w:rPr>
            </w:r>
          </w:p>
          <w:p>
            <w:pPr>
              <w:pStyle w:val="Normal"/>
              <w:shd w:val="clear" w:fill="FFFFFF"/>
              <w:snapToGrid w:val="false"/>
              <w:rPr>
                <w:color w:val="000000"/>
                <w:spacing w:val="-1"/>
                <w:sz w:val="24"/>
                <w:szCs w:val="24"/>
              </w:rPr>
            </w:pPr>
            <w:r>
              <w:rPr>
                <w:color w:val="000000"/>
                <w:spacing w:val="-1"/>
                <w:sz w:val="24"/>
                <w:szCs w:val="24"/>
              </w:rPr>
              <w:t>Генеральный директор</w:t>
            </w:r>
          </w:p>
          <w:p>
            <w:pPr>
              <w:pStyle w:val="Normal"/>
              <w:shd w:val="clear" w:fill="FFFFFF"/>
              <w:snapToGrid w:val="false"/>
              <w:rPr>
                <w:color w:val="000000"/>
                <w:spacing w:val="-1"/>
                <w:sz w:val="24"/>
                <w:szCs w:val="24"/>
              </w:rPr>
            </w:pPr>
            <w:r>
              <w:rPr>
                <w:color w:val="000000"/>
                <w:spacing w:val="-1"/>
                <w:sz w:val="24"/>
                <w:szCs w:val="24"/>
              </w:rPr>
            </w:r>
          </w:p>
          <w:p>
            <w:pPr>
              <w:pStyle w:val="Normal"/>
              <w:shd w:val="clear" w:fill="FFFFFF"/>
              <w:snapToGrid w:val="false"/>
              <w:rPr>
                <w:sz w:val="24"/>
                <w:szCs w:val="24"/>
              </w:rPr>
            </w:pPr>
            <w:r>
              <w:rPr>
                <w:sz w:val="24"/>
                <w:szCs w:val="24"/>
              </w:rPr>
              <w:t>_______________ Ю.П. Тарасов</w:t>
            </w:r>
          </w:p>
          <w:p>
            <w:pPr>
              <w:pStyle w:val="BodyText"/>
              <w:shd w:val="clear" w:fill="FFFFFF"/>
              <w:snapToGrid w:val="false"/>
              <w:spacing w:before="0" w:after="0"/>
              <w:ind w:firstLine="567" w:left="0" w:right="0"/>
              <w:jc w:val="center"/>
              <w:rPr>
                <w:rFonts w:ascii="Times New Roman" w:hAnsi="Times New Roman" w:cs="Times New Roman"/>
                <w:color w:val="000000"/>
                <w:spacing w:val="-1"/>
                <w:szCs w:val="24"/>
              </w:rPr>
            </w:pPr>
            <w:r>
              <w:rPr>
                <w:rFonts w:cs="Times New Roman" w:ascii="Times New Roman" w:hAnsi="Times New Roman"/>
                <w:color w:val="000000"/>
                <w:spacing w:val="-1"/>
                <w:szCs w:val="24"/>
              </w:rPr>
            </w:r>
          </w:p>
          <w:p>
            <w:pPr>
              <w:pStyle w:val="Normal"/>
              <w:shd w:val="clear" w:fill="FFFFFF"/>
              <w:snapToGrid w:val="false"/>
              <w:ind w:firstLine="567" w:right="0"/>
              <w:jc w:val="center"/>
              <w:rPr>
                <w:rFonts w:ascii="Times New Roman" w:hAnsi="Times New Roman" w:cs="Times New Roman"/>
                <w:color w:val="000000"/>
                <w:spacing w:val="-1"/>
                <w:szCs w:val="24"/>
              </w:rPr>
            </w:pPr>
            <w:r>
              <w:rPr>
                <w:rFonts w:cs="Times New Roman"/>
                <w:color w:val="000000"/>
                <w:spacing w:val="-1"/>
                <w:szCs w:val="24"/>
              </w:rPr>
            </w:r>
          </w:p>
        </w:tc>
      </w:tr>
    </w:tbl>
    <w:p>
      <w:pPr>
        <w:sectPr>
          <w:headerReference w:type="even" r:id="rId12"/>
          <w:headerReference w:type="default" r:id="rId13"/>
          <w:headerReference w:type="first" r:id="rId14"/>
          <w:type w:val="nextPage"/>
          <w:pgSz w:w="11906" w:h="16838"/>
          <w:pgMar w:left="851" w:right="993" w:gutter="0" w:header="709" w:top="851" w:footer="0" w:bottom="720"/>
          <w:pgNumType w:fmt="decimal"/>
          <w:formProt w:val="false"/>
          <w:titlePg/>
          <w:textDirection w:val="lrTb"/>
          <w:docGrid w:type="default" w:linePitch="360" w:charSpace="0"/>
        </w:sectPr>
      </w:pPr>
    </w:p>
    <w:p>
      <w:pPr>
        <w:pStyle w:val="42"/>
        <w:numPr>
          <w:ilvl w:val="0"/>
          <w:numId w:val="1"/>
        </w:numPr>
        <w:tabs>
          <w:tab w:val="clear" w:pos="708"/>
          <w:tab w:val="left" w:pos="6480" w:leader="none"/>
        </w:tabs>
        <w:spacing w:lineRule="auto" w:line="240" w:before="0" w:after="0"/>
        <w:ind w:firstLine="720" w:left="0" w:right="0"/>
        <w:contextualSpacing/>
        <w:jc w:val="right"/>
        <w:rPr/>
      </w:pPr>
      <w:r>
        <w:rPr>
          <w:szCs w:val="24"/>
        </w:rPr>
        <w:t xml:space="preserve">Приложение № 1 к Контракту </w:t>
      </w:r>
    </w:p>
    <w:p>
      <w:pPr>
        <w:pStyle w:val="Normal"/>
        <w:numPr>
          <w:ilvl w:val="0"/>
          <w:numId w:val="1"/>
        </w:numPr>
        <w:jc w:val="right"/>
        <w:rPr/>
      </w:pPr>
      <w:r>
        <w:rPr/>
        <w:t>от « ____» ___________ 2026г. № _________</w:t>
      </w:r>
    </w:p>
    <w:p>
      <w:pPr>
        <w:pStyle w:val="Normal"/>
        <w:numPr>
          <w:ilvl w:val="0"/>
          <w:numId w:val="1"/>
        </w:numPr>
        <w:jc w:val="center"/>
        <w:rPr/>
      </w:pPr>
      <w:r>
        <w:rPr/>
        <w:t>ВЕДОМОСТЬ ПОСТАВКИ</w:t>
      </w:r>
    </w:p>
    <w:tbl>
      <w:tblPr>
        <w:tblW w:w="15720" w:type="dxa"/>
        <w:jc w:val="left"/>
        <w:tblInd w:w="-318" w:type="dxa"/>
        <w:tblLayout w:type="fixed"/>
        <w:tblCellMar>
          <w:top w:w="0" w:type="dxa"/>
          <w:left w:w="108" w:type="dxa"/>
          <w:bottom w:w="0" w:type="dxa"/>
          <w:right w:w="108" w:type="dxa"/>
        </w:tblCellMar>
      </w:tblPr>
      <w:tblGrid>
        <w:gridCol w:w="707"/>
        <w:gridCol w:w="4708"/>
        <w:gridCol w:w="850"/>
        <w:gridCol w:w="851"/>
        <w:gridCol w:w="3403"/>
        <w:gridCol w:w="3551"/>
        <w:gridCol w:w="1422"/>
        <w:gridCol w:w="226"/>
      </w:tblGrid>
      <w:tr>
        <w:trPr>
          <w:trHeight w:val="340" w:hRule="atLeast"/>
        </w:trPr>
        <w:tc>
          <w:tcPr>
            <w:tcW w:w="7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0" w:after="0"/>
              <w:ind w:firstLine="57" w:right="0"/>
              <w:contextualSpacing/>
              <w:jc w:val="center"/>
              <w:rPr/>
            </w:pPr>
            <w:r>
              <w:rPr/>
              <w:t xml:space="preserve">№ </w:t>
            </w:r>
            <w:r>
              <w:rPr/>
              <w:t>п/п</w:t>
            </w:r>
          </w:p>
        </w:tc>
        <w:tc>
          <w:tcPr>
            <w:tcW w:w="4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firstLine="567" w:right="0"/>
              <w:contextualSpacing/>
              <w:jc w:val="center"/>
              <w:rPr/>
            </w:pPr>
            <w:r>
              <w:rPr/>
              <w:t>Наименование товара</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center"/>
              <w:rPr/>
            </w:pPr>
            <w:r>
              <w:rPr/>
              <w:t>Ед. изм.</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center"/>
              <w:rPr/>
            </w:pPr>
            <w:r>
              <w:rPr/>
              <w:t>Кол-во</w:t>
            </w:r>
          </w:p>
        </w:tc>
        <w:tc>
          <w:tcPr>
            <w:tcW w:w="3403" w:type="dxa"/>
            <w:tcBorders>
              <w:top w:val="single" w:sz="4" w:space="0" w:color="000000"/>
              <w:left w:val="single" w:sz="4" w:space="0" w:color="000000"/>
              <w:bottom w:val="single" w:sz="4" w:space="0" w:color="000000"/>
              <w:right w:val="single" w:sz="4" w:space="0" w:color="000000"/>
            </w:tcBorders>
            <w:vAlign w:val="center"/>
          </w:tcPr>
          <w:p>
            <w:pPr>
              <w:pStyle w:val="42"/>
              <w:spacing w:lineRule="auto" w:line="240"/>
              <w:ind w:hanging="0" w:left="0" w:right="0"/>
              <w:jc w:val="center"/>
              <w:rPr>
                <w:szCs w:val="24"/>
              </w:rPr>
            </w:pPr>
            <w:r>
              <w:rPr>
                <w:szCs w:val="24"/>
              </w:rPr>
              <w:t>Цена за единицу товара, руб.</w:t>
            </w:r>
          </w:p>
          <w:p>
            <w:pPr>
              <w:pStyle w:val="42"/>
              <w:spacing w:lineRule="auto" w:line="240"/>
              <w:ind w:hanging="0" w:left="0" w:right="0"/>
              <w:jc w:val="center"/>
              <w:rPr>
                <w:szCs w:val="24"/>
              </w:rPr>
            </w:pPr>
            <w:r>
              <w:rPr>
                <w:szCs w:val="24"/>
              </w:rPr>
              <w:t>(включая стоимость товара, тары и упаковки, транспортные расходы, расходы на страхование, уплату таможенных пошлин, налогов, в том числе НДС (либо НДС не облагается), сборов и других обязательных платежей, взимаемых с Поставщика в связи с исполнением обязательств по Контракту)</w:t>
            </w:r>
          </w:p>
        </w:tc>
        <w:tc>
          <w:tcPr>
            <w:tcW w:w="3551" w:type="dxa"/>
            <w:tcBorders>
              <w:top w:val="single" w:sz="4" w:space="0" w:color="000000"/>
              <w:left w:val="single" w:sz="4" w:space="0" w:color="000000"/>
              <w:bottom w:val="single" w:sz="4" w:space="0" w:color="000000"/>
              <w:right w:val="single" w:sz="4" w:space="0" w:color="000000"/>
            </w:tcBorders>
            <w:vAlign w:val="center"/>
          </w:tcPr>
          <w:p>
            <w:pPr>
              <w:pStyle w:val="42"/>
              <w:spacing w:lineRule="auto" w:line="240"/>
              <w:ind w:hanging="0" w:left="0" w:right="0"/>
              <w:jc w:val="center"/>
              <w:rPr>
                <w:szCs w:val="24"/>
              </w:rPr>
            </w:pPr>
            <w:r>
              <w:rPr>
                <w:szCs w:val="24"/>
              </w:rPr>
              <w:t>Цена Контракта, руб. (включая стоимость товара, тары и упаковки, транспортные расходы, расходы на страхование, уплату таможенных пошлин, налогов, в том числе НДС (либо НДС не облагается), сборов и других обязательных платежей, взимаемых с Поставщика в связи с исполнением обязательств по Контракту)</w:t>
            </w:r>
          </w:p>
        </w:tc>
        <w:tc>
          <w:tcPr>
            <w:tcW w:w="14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center"/>
              <w:rPr/>
            </w:pPr>
            <w:r>
              <w:rPr/>
              <w:t>Срок поставки</w:t>
            </w:r>
          </w:p>
        </w:tc>
        <w:tc>
          <w:tcPr>
            <w:tcW w:w="226" w:type="dxa"/>
            <w:tcBorders/>
          </w:tcPr>
          <w:p>
            <w:pPr>
              <w:pStyle w:val="Normal"/>
              <w:snapToGrid w:val="false"/>
              <w:ind w:firstLine="567" w:right="0"/>
              <w:rPr/>
            </w:pPr>
            <w:r>
              <w:rPr/>
            </w:r>
          </w:p>
        </w:tc>
      </w:tr>
      <w:tr>
        <w:trPr>
          <w:trHeight w:val="340" w:hRule="atLeast"/>
        </w:trPr>
        <w:tc>
          <w:tcPr>
            <w:tcW w:w="70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065" w:leader="none"/>
              </w:tabs>
              <w:jc w:val="center"/>
              <w:rPr/>
            </w:pPr>
            <w:r>
              <w:rPr/>
              <w:t>1.</w:t>
            </w:r>
          </w:p>
        </w:tc>
        <w:tc>
          <w:tcPr>
            <w:tcW w:w="4708" w:type="dxa"/>
            <w:tcBorders>
              <w:top w:val="single" w:sz="4" w:space="0" w:color="000000"/>
              <w:left w:val="single" w:sz="4" w:space="0" w:color="000000"/>
              <w:bottom w:val="single" w:sz="4" w:space="0" w:color="000000"/>
              <w:right w:val="single" w:sz="4" w:space="0" w:color="000000"/>
            </w:tcBorders>
            <w:vAlign w:val="center"/>
          </w:tcPr>
          <w:p>
            <w:pPr>
              <w:pStyle w:val="Normal"/>
              <w:ind w:right="0"/>
              <w:rPr/>
            </w:pPr>
            <w:r>
              <w:rPr/>
              <w:t>Аккумуляторная батарея для СКУ (Li-Pol 7.4 V5300 mAh)</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lang w:eastAsia="ar-SA"/>
              </w:rPr>
            </w:pPr>
            <w:r>
              <w:rPr>
                <w:lang w:eastAsia="ar-SA"/>
              </w:rPr>
              <w:t>шт.</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lang w:eastAsia="ar-SA"/>
              </w:rPr>
            </w:pPr>
            <w:r>
              <w:rPr>
                <w:lang w:eastAsia="ar-SA"/>
              </w:rPr>
              <w:t>2</w:t>
            </w:r>
          </w:p>
        </w:tc>
        <w:tc>
          <w:tcPr>
            <w:tcW w:w="34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0" w:after="0"/>
              <w:ind w:firstLine="567" w:right="0"/>
              <w:contextualSpacing/>
              <w:jc w:val="center"/>
              <w:rPr/>
            </w:pPr>
            <w:r>
              <w:rPr/>
              <w:t>4 075,00</w:t>
            </w:r>
          </w:p>
        </w:tc>
        <w:tc>
          <w:tcPr>
            <w:tcW w:w="3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0" w:after="0"/>
              <w:ind w:firstLine="567" w:right="0"/>
              <w:contextualSpacing/>
              <w:jc w:val="center"/>
              <w:rPr/>
            </w:pPr>
            <w:r>
              <w:rPr/>
              <w:t>8 150,00</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pPr>
              <w:pStyle w:val="western"/>
              <w:spacing w:before="0" w:after="0"/>
              <w:rPr/>
            </w:pPr>
            <w:r>
              <w:rPr/>
              <w:t>Одной партией по 30.10.2026 года</w:t>
            </w:r>
          </w:p>
          <w:p>
            <w:pPr>
              <w:pStyle w:val="western"/>
              <w:spacing w:before="0" w:after="0"/>
              <w:ind w:firstLine="567" w:right="0"/>
              <w:jc w:val="center"/>
              <w:rPr/>
            </w:pPr>
            <w:r>
              <w:rPr/>
            </w:r>
          </w:p>
        </w:tc>
        <w:tc>
          <w:tcPr>
            <w:tcW w:w="226" w:type="dxa"/>
            <w:tcBorders/>
          </w:tcPr>
          <w:p>
            <w:pPr>
              <w:pStyle w:val="Normal"/>
              <w:snapToGrid w:val="false"/>
              <w:ind w:firstLine="567" w:right="0"/>
              <w:rPr/>
            </w:pPr>
            <w:r>
              <w:rPr/>
            </w:r>
          </w:p>
          <w:p>
            <w:pPr>
              <w:pStyle w:val="Normal"/>
              <w:ind w:firstLine="567" w:right="0"/>
              <w:rPr/>
            </w:pPr>
            <w:r>
              <w:rPr/>
            </w:r>
          </w:p>
        </w:tc>
      </w:tr>
      <w:tr>
        <w:trPr>
          <w:trHeight w:val="595" w:hRule="atLeast"/>
        </w:trPr>
        <w:tc>
          <w:tcPr>
            <w:tcW w:w="70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065" w:leader="none"/>
              </w:tabs>
              <w:snapToGrid w:val="false"/>
              <w:jc w:val="center"/>
              <w:rPr/>
            </w:pPr>
            <w:r>
              <w:rPr/>
            </w:r>
          </w:p>
          <w:p>
            <w:pPr>
              <w:pStyle w:val="Normal"/>
              <w:tabs>
                <w:tab w:val="clear" w:pos="708"/>
                <w:tab w:val="left" w:pos="1065" w:leader="none"/>
              </w:tabs>
              <w:jc w:val="center"/>
              <w:rPr/>
            </w:pPr>
            <w:r>
              <w:rPr/>
              <w:t>2.</w:t>
            </w:r>
          </w:p>
        </w:tc>
        <w:tc>
          <w:tcPr>
            <w:tcW w:w="470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right="0"/>
              <w:rPr/>
            </w:pPr>
            <w:r>
              <w:rPr/>
              <w:t>Зарядное устройство для СКУ (12В, 2А)</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lang w:eastAsia="ar-SA"/>
              </w:rPr>
            </w:pPr>
            <w:r>
              <w:rPr>
                <w:lang w:eastAsia="ar-SA"/>
              </w:rPr>
              <w:t>шт.</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lang w:eastAsia="ar-SA"/>
              </w:rPr>
            </w:pPr>
            <w:r>
              <w:rPr>
                <w:lang w:eastAsia="ar-SA"/>
              </w:rPr>
              <w:t>2</w:t>
            </w:r>
          </w:p>
        </w:tc>
        <w:tc>
          <w:tcPr>
            <w:tcW w:w="34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0" w:after="0"/>
              <w:ind w:firstLine="567" w:right="0"/>
              <w:contextualSpacing/>
              <w:jc w:val="center"/>
              <w:rPr/>
            </w:pPr>
            <w:r>
              <w:rPr/>
              <w:t>880,00</w:t>
            </w:r>
          </w:p>
        </w:tc>
        <w:tc>
          <w:tcPr>
            <w:tcW w:w="3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0" w:after="0"/>
              <w:ind w:firstLine="567" w:right="0"/>
              <w:contextualSpacing/>
              <w:jc w:val="center"/>
              <w:rPr/>
            </w:pPr>
            <w:r>
              <w:rPr/>
              <w:t>1 760,00</w:t>
            </w:r>
          </w:p>
        </w:tc>
        <w:tc>
          <w:tcPr>
            <w:tcW w:w="14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ind w:firstLine="567" w:right="0"/>
              <w:rPr/>
            </w:pPr>
            <w:r>
              <w:rPr/>
            </w:r>
          </w:p>
        </w:tc>
        <w:tc>
          <w:tcPr>
            <w:tcW w:w="226" w:type="dxa"/>
            <w:tcBorders/>
          </w:tcPr>
          <w:p>
            <w:pPr>
              <w:pStyle w:val="Normal"/>
              <w:snapToGrid w:val="false"/>
              <w:ind w:firstLine="567" w:right="0"/>
              <w:rPr/>
            </w:pPr>
            <w:r>
              <w:rPr/>
            </w:r>
          </w:p>
          <w:p>
            <w:pPr>
              <w:pStyle w:val="Normal"/>
              <w:ind w:firstLine="567" w:right="0"/>
              <w:rPr/>
            </w:pPr>
            <w:r>
              <w:rPr/>
            </w:r>
          </w:p>
        </w:tc>
      </w:tr>
      <w:tr>
        <w:trPr>
          <w:trHeight w:val="340" w:hRule="atLeast"/>
        </w:trPr>
        <w:tc>
          <w:tcPr>
            <w:tcW w:w="15718"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firstLine="567" w:right="0"/>
              <w:contextualSpacing/>
              <w:rPr/>
            </w:pPr>
            <w:r>
              <w:rPr>
                <w:b/>
              </w:rPr>
              <w:t xml:space="preserve">Итого: </w:t>
            </w:r>
            <w:r>
              <w:rPr/>
              <w:t xml:space="preserve">Цена Контракта составляет </w:t>
            </w:r>
            <w:r>
              <w:rPr>
                <w:b/>
              </w:rPr>
              <w:t>9 910,00 (девять тысяч девятьсот десять рублей 00 копеек) в том числе НДС 22% - 1 787,05 рублей.</w:t>
            </w:r>
          </w:p>
        </w:tc>
      </w:tr>
    </w:tbl>
    <w:p>
      <w:pPr>
        <w:pStyle w:val="Normal"/>
        <w:widowControl w:val="false"/>
        <w:shd w:val="clear" w:fill="FFFFFF"/>
        <w:ind w:firstLine="567" w:right="0"/>
        <w:jc w:val="both"/>
        <w:rPr>
          <w:szCs w:val="24"/>
        </w:rPr>
      </w:pPr>
      <w:r>
        <w:rPr/>
        <w:t xml:space="preserve">Место поставки: оборудование будет транспортироваться  Государственному заказчику за счет Поставщика транспортной компанией (экспедитором) по адресу: </w:t>
      </w:r>
      <w:r>
        <w:rPr>
          <w:bCs/>
        </w:rPr>
        <w:t>Томская область,</w:t>
      </w:r>
      <w:r>
        <w:rPr/>
        <w:t xml:space="preserve"> г. Томск, ул. Пушкина, д. 32, 101 офис (СДЭК).</w:t>
      </w:r>
    </w:p>
    <w:p>
      <w:pPr>
        <w:pStyle w:val="23"/>
        <w:spacing w:lineRule="auto" w:line="240"/>
        <w:ind w:firstLine="567" w:left="0" w:right="0"/>
        <w:jc w:val="left"/>
        <w:rPr>
          <w:szCs w:val="24"/>
        </w:rPr>
      </w:pPr>
      <w:r>
        <w:rPr>
          <w:szCs w:val="24"/>
        </w:rPr>
      </w:r>
    </w:p>
    <w:p>
      <w:pPr>
        <w:pStyle w:val="Normal"/>
        <w:ind w:firstLine="567" w:right="0"/>
        <w:rPr/>
      </w:pPr>
      <w:r>
        <w:rPr/>
        <w:t>Контактный телефон представителя Государственного заказчика: +7-9609724647 Сыренков А.А.</w:t>
      </w:r>
    </w:p>
    <w:p>
      <w:pPr>
        <w:pStyle w:val="Normal"/>
        <w:ind w:firstLine="567" w:right="0"/>
        <w:rPr/>
      </w:pPr>
      <w:r>
        <w:rPr/>
      </w:r>
    </w:p>
    <w:tbl>
      <w:tblPr>
        <w:tblW w:w="13263" w:type="dxa"/>
        <w:jc w:val="left"/>
        <w:tblInd w:w="817" w:type="dxa"/>
        <w:tblLayout w:type="fixed"/>
        <w:tblCellMar>
          <w:top w:w="0" w:type="dxa"/>
          <w:left w:w="108" w:type="dxa"/>
          <w:bottom w:w="0" w:type="dxa"/>
          <w:right w:w="108" w:type="dxa"/>
        </w:tblCellMar>
      </w:tblPr>
      <w:tblGrid>
        <w:gridCol w:w="7250"/>
        <w:gridCol w:w="6012"/>
      </w:tblGrid>
      <w:tr>
        <w:trPr>
          <w:trHeight w:val="1756" w:hRule="atLeast"/>
        </w:trPr>
        <w:tc>
          <w:tcPr>
            <w:tcW w:w="7250" w:type="dxa"/>
            <w:tcBorders/>
          </w:tcPr>
          <w:p>
            <w:pPr>
              <w:pStyle w:val="Vor2"/>
              <w:widowControl/>
              <w:suppressAutoHyphens w:val="true"/>
              <w:bidi w:val="0"/>
              <w:snapToGrid w:val="false"/>
              <w:spacing w:before="0" w:after="0"/>
              <w:ind w:hanging="0" w:left="-57" w:right="0"/>
              <w:jc w:val="both"/>
              <w:rPr>
                <w:bCs/>
                <w:caps/>
                <w:szCs w:val="24"/>
              </w:rPr>
            </w:pPr>
            <w:r>
              <w:rPr>
                <w:caps/>
              </w:rPr>
              <w:t>Государственный заказчик</w:t>
            </w:r>
          </w:p>
          <w:p>
            <w:pPr>
              <w:pStyle w:val="23"/>
              <w:spacing w:lineRule="auto" w:line="240"/>
              <w:ind w:firstLine="567" w:left="0" w:right="0"/>
              <w:jc w:val="left"/>
              <w:rPr>
                <w:bCs/>
                <w:caps/>
                <w:szCs w:val="24"/>
              </w:rPr>
            </w:pPr>
            <w:r>
              <w:rPr>
                <w:bCs/>
                <w:caps/>
                <w:szCs w:val="24"/>
              </w:rPr>
            </w:r>
          </w:p>
          <w:p>
            <w:pPr>
              <w:pStyle w:val="23"/>
              <w:widowControl w:val="false"/>
              <w:suppressAutoHyphens w:val="true"/>
              <w:bidi w:val="0"/>
              <w:spacing w:lineRule="auto" w:line="240" w:before="0" w:after="0"/>
              <w:ind w:hanging="0" w:left="-57" w:right="0"/>
              <w:jc w:val="left"/>
              <w:rPr>
                <w:bCs/>
                <w:szCs w:val="24"/>
              </w:rPr>
            </w:pPr>
            <w:r>
              <w:rPr>
                <w:bCs/>
                <w:szCs w:val="24"/>
              </w:rPr>
              <w:t>Врио начальника ФКУ УИИ УФСИН России по Томской области</w:t>
            </w:r>
          </w:p>
          <w:p>
            <w:pPr>
              <w:pStyle w:val="23"/>
              <w:spacing w:lineRule="auto" w:line="240"/>
              <w:ind w:firstLine="567" w:left="0" w:right="0"/>
              <w:jc w:val="left"/>
              <w:rPr>
                <w:bCs/>
                <w:szCs w:val="24"/>
              </w:rPr>
            </w:pPr>
            <w:r>
              <w:rPr>
                <w:bCs/>
                <w:szCs w:val="24"/>
              </w:rPr>
            </w:r>
          </w:p>
          <w:p>
            <w:pPr>
              <w:pStyle w:val="FR1"/>
              <w:widowControl w:val="false"/>
              <w:suppressAutoHyphens w:val="true"/>
              <w:bidi w:val="0"/>
              <w:spacing w:before="0" w:after="0"/>
              <w:ind w:hanging="0" w:left="-57" w:right="0"/>
              <w:contextualSpacing/>
              <w:jc w:val="left"/>
              <w:rPr>
                <w:szCs w:val="24"/>
              </w:rPr>
            </w:pPr>
            <w:r>
              <w:rPr>
                <w:b w:val="false"/>
                <w:sz w:val="24"/>
                <w:szCs w:val="24"/>
              </w:rPr>
              <w:t xml:space="preserve"> </w:t>
            </w:r>
            <w:r>
              <w:rPr>
                <w:b w:val="false"/>
                <w:sz w:val="24"/>
                <w:szCs w:val="24"/>
              </w:rPr>
              <w:t>_________________ А.А. Сыренков</w:t>
            </w:r>
          </w:p>
          <w:p>
            <w:pPr>
              <w:pStyle w:val="23"/>
              <w:widowControl w:val="false"/>
              <w:suppressAutoHyphens w:val="true"/>
              <w:bidi w:val="0"/>
              <w:spacing w:lineRule="auto" w:line="240"/>
              <w:ind w:hanging="0" w:left="-57" w:right="0"/>
              <w:jc w:val="left"/>
              <w:rPr>
                <w:szCs w:val="24"/>
              </w:rPr>
            </w:pPr>
            <w:r>
              <w:rPr>
                <w:szCs w:val="24"/>
              </w:rPr>
              <w:t xml:space="preserve"> </w:t>
            </w:r>
            <w:r>
              <w:rPr>
                <w:szCs w:val="24"/>
              </w:rPr>
              <w:t>«___»_____________ 2026 г.</w:t>
            </w:r>
          </w:p>
          <w:p>
            <w:pPr>
              <w:pStyle w:val="23"/>
              <w:widowControl w:val="false"/>
              <w:suppressAutoHyphens w:val="true"/>
              <w:bidi w:val="0"/>
              <w:spacing w:lineRule="auto" w:line="240"/>
              <w:ind w:hanging="0" w:left="-57" w:right="0"/>
              <w:jc w:val="left"/>
              <w:rPr>
                <w:szCs w:val="24"/>
              </w:rPr>
            </w:pPr>
            <w:r>
              <w:rPr>
                <w:szCs w:val="24"/>
              </w:rPr>
              <w:t>М.П.</w:t>
            </w:r>
          </w:p>
        </w:tc>
        <w:tc>
          <w:tcPr>
            <w:tcW w:w="6012" w:type="dxa"/>
            <w:tcBorders/>
          </w:tcPr>
          <w:p>
            <w:pPr>
              <w:pStyle w:val="FR1"/>
              <w:widowControl w:val="false"/>
              <w:suppressAutoHyphens w:val="true"/>
              <w:bidi w:val="0"/>
              <w:spacing w:before="0" w:after="0"/>
              <w:ind w:firstLine="283" w:left="113" w:right="113"/>
              <w:contextualSpacing/>
              <w:jc w:val="both"/>
              <w:rPr>
                <w:sz w:val="24"/>
                <w:szCs w:val="24"/>
              </w:rPr>
            </w:pPr>
            <w:r>
              <w:rPr>
                <w:sz w:val="24"/>
                <w:szCs w:val="24"/>
              </w:rPr>
              <w:t>ПОСТАВЩИК</w:t>
            </w:r>
          </w:p>
          <w:p>
            <w:pPr>
              <w:pStyle w:val="FR1"/>
              <w:spacing w:before="0" w:after="0"/>
              <w:ind w:firstLine="567" w:right="0"/>
              <w:contextualSpacing/>
              <w:jc w:val="both"/>
              <w:rPr>
                <w:sz w:val="24"/>
                <w:szCs w:val="24"/>
              </w:rPr>
            </w:pPr>
            <w:r>
              <w:rPr>
                <w:sz w:val="24"/>
                <w:szCs w:val="24"/>
              </w:rPr>
            </w:r>
          </w:p>
          <w:p>
            <w:pPr>
              <w:pStyle w:val="Normal"/>
              <w:shd w:val="clear" w:fill="FFFFFF"/>
              <w:bidi w:val="0"/>
              <w:snapToGrid w:val="false"/>
              <w:spacing w:before="0" w:after="0"/>
              <w:ind w:hanging="0" w:left="397" w:right="227"/>
              <w:jc w:val="left"/>
              <w:rPr/>
            </w:pPr>
            <w:r>
              <w:rPr>
                <w:color w:val="000000"/>
                <w:spacing w:val="-1"/>
              </w:rPr>
              <w:t xml:space="preserve">Генеральный директор АО </w:t>
            </w:r>
            <w:r>
              <w:rPr/>
              <w:t>«ЦИТОС»</w:t>
            </w:r>
          </w:p>
          <w:p>
            <w:pPr>
              <w:pStyle w:val="Normal"/>
              <w:shd w:val="clear" w:fill="FFFFFF"/>
              <w:bidi w:val="0"/>
              <w:snapToGrid w:val="false"/>
              <w:spacing w:before="0" w:after="0"/>
              <w:ind w:hanging="0" w:left="397" w:right="227"/>
              <w:jc w:val="left"/>
              <w:rPr/>
            </w:pPr>
            <w:r>
              <w:rPr/>
            </w:r>
          </w:p>
          <w:p>
            <w:pPr>
              <w:pStyle w:val="23"/>
              <w:bidi w:val="0"/>
              <w:spacing w:lineRule="auto" w:line="240" w:before="0" w:after="0"/>
              <w:ind w:hanging="0" w:left="397" w:right="227"/>
              <w:jc w:val="left"/>
              <w:rPr/>
            </w:pPr>
            <w:r>
              <w:rPr>
                <w:color w:val="000000"/>
                <w:spacing w:val="-1"/>
                <w:szCs w:val="24"/>
              </w:rPr>
              <w:t>_______________ Ю.П. Тарасов</w:t>
            </w:r>
          </w:p>
          <w:p>
            <w:pPr>
              <w:pStyle w:val="23"/>
              <w:bidi w:val="0"/>
              <w:spacing w:lineRule="auto" w:line="240" w:before="0" w:after="0"/>
              <w:ind w:hanging="0" w:left="397" w:right="227"/>
              <w:jc w:val="left"/>
              <w:rPr/>
            </w:pPr>
            <w:r>
              <w:rPr>
                <w:szCs w:val="24"/>
              </w:rPr>
              <w:t>«___»_____________ 2026 г.</w:t>
            </w:r>
          </w:p>
          <w:p>
            <w:pPr>
              <w:pStyle w:val="23"/>
              <w:bidi w:val="0"/>
              <w:spacing w:lineRule="auto" w:line="240" w:before="0" w:after="0"/>
              <w:ind w:hanging="0" w:left="397" w:right="227"/>
              <w:jc w:val="left"/>
              <w:rPr>
                <w:szCs w:val="24"/>
              </w:rPr>
            </w:pPr>
            <w:r>
              <w:rPr>
                <w:szCs w:val="24"/>
              </w:rPr>
              <w:t>М.П.</w:t>
            </w:r>
          </w:p>
          <w:p>
            <w:pPr>
              <w:pStyle w:val="23"/>
              <w:spacing w:lineRule="auto" w:line="240"/>
              <w:ind w:firstLine="567" w:left="0" w:right="0"/>
              <w:jc w:val="left"/>
              <w:rPr>
                <w:sz w:val="24"/>
                <w:szCs w:val="24"/>
              </w:rPr>
            </w:pPr>
            <w:r>
              <w:rPr>
                <w:sz w:val="24"/>
                <w:szCs w:val="24"/>
              </w:rPr>
            </w:r>
          </w:p>
        </w:tc>
      </w:tr>
    </w:tbl>
    <w:p>
      <w:pPr>
        <w:sectPr>
          <w:headerReference w:type="default" r:id="rId15"/>
          <w:headerReference w:type="first" r:id="rId16"/>
          <w:footerReference w:type="default" r:id="rId17"/>
          <w:footerReference w:type="first" r:id="rId18"/>
          <w:type w:val="nextPage"/>
          <w:pgSz w:orient="landscape" w:w="16838" w:h="11906"/>
          <w:pgMar w:left="1418" w:right="851" w:gutter="0" w:header="709" w:top="851" w:footer="427" w:bottom="700"/>
          <w:pgNumType w:fmt="decimal"/>
          <w:formProt w:val="false"/>
          <w:titlePg/>
          <w:textDirection w:val="lrTb"/>
          <w:docGrid w:type="default" w:linePitch="360" w:charSpace="0"/>
        </w:sectPr>
      </w:pPr>
    </w:p>
    <w:p>
      <w:pPr>
        <w:pStyle w:val="42"/>
        <w:tabs>
          <w:tab w:val="clear" w:pos="708"/>
          <w:tab w:val="left" w:pos="6480" w:leader="none"/>
        </w:tabs>
        <w:spacing w:lineRule="auto" w:line="240" w:before="0" w:after="0"/>
        <w:ind w:firstLine="567" w:left="0" w:right="0"/>
        <w:contextualSpacing/>
        <w:jc w:val="right"/>
        <w:rPr>
          <w:szCs w:val="24"/>
        </w:rPr>
      </w:pPr>
      <w:r>
        <w:rPr>
          <w:szCs w:val="24"/>
        </w:rPr>
        <w:t xml:space="preserve">Приложение № 2 к Контракту </w:t>
      </w:r>
    </w:p>
    <w:p>
      <w:pPr>
        <w:pStyle w:val="Normal"/>
        <w:ind w:firstLine="567" w:right="0"/>
        <w:jc w:val="right"/>
        <w:rPr>
          <w:b/>
        </w:rPr>
      </w:pPr>
      <w:r>
        <w:rPr/>
        <w:t>от « ____» ___________ 2026г. № _________</w:t>
      </w:r>
    </w:p>
    <w:p>
      <w:pPr>
        <w:pStyle w:val="Normal"/>
        <w:ind w:firstLine="567" w:right="0"/>
        <w:jc w:val="right"/>
        <w:rPr>
          <w:b/>
        </w:rPr>
      </w:pPr>
      <w:r>
        <w:rPr>
          <w:b/>
        </w:rPr>
      </w:r>
    </w:p>
    <w:p>
      <w:pPr>
        <w:pStyle w:val="Normal"/>
        <w:ind w:firstLine="567" w:right="0"/>
        <w:jc w:val="right"/>
        <w:rPr>
          <w:b/>
        </w:rPr>
      </w:pPr>
      <w:r>
        <w:rPr>
          <w:b/>
        </w:rPr>
        <w:t>ФОРМА</w:t>
      </w:r>
    </w:p>
    <w:p>
      <w:pPr>
        <w:pStyle w:val="Normal"/>
        <w:ind w:firstLine="567" w:right="0"/>
        <w:jc w:val="center"/>
        <w:rPr>
          <w:b/>
        </w:rPr>
      </w:pPr>
      <w:r>
        <w:rPr>
          <w:b/>
        </w:rPr>
        <w:t>Акт приема-передачи товара №____</w:t>
      </w:r>
    </w:p>
    <w:p>
      <w:pPr>
        <w:pStyle w:val="Normal"/>
        <w:ind w:firstLine="567" w:right="0"/>
        <w:jc w:val="center"/>
        <w:rPr>
          <w:b/>
        </w:rPr>
      </w:pPr>
      <w:r>
        <w:rPr>
          <w:b/>
        </w:rPr>
      </w:r>
    </w:p>
    <w:p>
      <w:pPr>
        <w:pStyle w:val="Normal"/>
        <w:ind w:firstLine="567" w:right="0"/>
        <w:jc w:val="center"/>
        <w:rPr/>
      </w:pPr>
      <w:r>
        <w:rPr/>
        <w:t>по государственному контракту от «___» __________ 20__ г. № __________</w:t>
      </w:r>
    </w:p>
    <w:p>
      <w:pPr>
        <w:pStyle w:val="Normal"/>
        <w:ind w:firstLine="567" w:right="0"/>
        <w:jc w:val="center"/>
        <w:rPr/>
      </w:pPr>
      <w:r>
        <w:rPr/>
      </w:r>
    </w:p>
    <w:p>
      <w:pPr>
        <w:pStyle w:val="Normal"/>
        <w:tabs>
          <w:tab w:val="clear" w:pos="708"/>
          <w:tab w:val="left" w:pos="600" w:leader="none"/>
        </w:tabs>
        <w:ind w:firstLine="567" w:right="0"/>
        <w:jc w:val="both"/>
        <w:rPr>
          <w:vertAlign w:val="superscript"/>
        </w:rPr>
      </w:pPr>
      <w:r>
        <w:rPr/>
        <w:t xml:space="preserve">Мы, нижеподписавшиеся, представители Поставщика </w:t>
      </w:r>
      <w:r>
        <w:rPr>
          <w:i/>
        </w:rPr>
        <w:t>_____________________________________________________________</w:t>
      </w:r>
    </w:p>
    <w:p>
      <w:pPr>
        <w:pStyle w:val="Normal"/>
        <w:tabs>
          <w:tab w:val="clear" w:pos="708"/>
          <w:tab w:val="left" w:pos="600" w:leader="none"/>
        </w:tabs>
        <w:ind w:firstLine="567" w:right="0"/>
        <w:jc w:val="center"/>
        <w:rPr/>
      </w:pPr>
      <w:r>
        <w:rPr>
          <w:vertAlign w:val="superscript"/>
        </w:rPr>
        <w:t xml:space="preserve">                                                                                                   </w:t>
      </w:r>
      <w:r>
        <w:rPr>
          <w:vertAlign w:val="superscript"/>
        </w:rPr>
        <w:t>(должность, ФИО представителя)</w:t>
      </w:r>
    </w:p>
    <w:p>
      <w:pPr>
        <w:pStyle w:val="Normal"/>
        <w:tabs>
          <w:tab w:val="clear" w:pos="708"/>
          <w:tab w:val="left" w:pos="600" w:leader="none"/>
        </w:tabs>
        <w:ind w:firstLine="567" w:right="0"/>
        <w:jc w:val="both"/>
        <w:rPr>
          <w:vertAlign w:val="superscript"/>
        </w:rPr>
      </w:pPr>
      <w:r>
        <w:rPr/>
        <w:t xml:space="preserve">действующий на основании _____________________, с одной стороны и представитель Грузополучателя в лице </w:t>
      </w:r>
      <w:r>
        <w:rPr>
          <w:i/>
        </w:rPr>
        <w:t>_______________________________________</w:t>
      </w:r>
      <w:r>
        <w:rPr/>
        <w:t>, с другой стороны, составили настоящий АКТ о нижеследующем:</w:t>
      </w:r>
    </w:p>
    <w:p>
      <w:pPr>
        <w:pStyle w:val="Normal"/>
        <w:tabs>
          <w:tab w:val="clear" w:pos="708"/>
          <w:tab w:val="left" w:pos="600" w:leader="none"/>
        </w:tabs>
        <w:ind w:firstLine="567" w:right="0"/>
        <w:jc w:val="both"/>
        <w:rPr/>
      </w:pPr>
      <w:r>
        <w:rPr>
          <w:vertAlign w:val="superscript"/>
        </w:rPr>
        <w:t xml:space="preserve">                         </w:t>
      </w:r>
      <w:r>
        <w:rPr>
          <w:vertAlign w:val="superscript"/>
        </w:rPr>
        <w:t>(ФИО, должность представителя)</w:t>
      </w:r>
    </w:p>
    <w:p>
      <w:pPr>
        <w:pStyle w:val="Normal"/>
        <w:tabs>
          <w:tab w:val="clear" w:pos="708"/>
          <w:tab w:val="left" w:pos="600" w:leader="none"/>
        </w:tabs>
        <w:ind w:firstLine="567" w:right="0"/>
        <w:jc w:val="both"/>
        <w:rPr/>
      </w:pPr>
      <w:r>
        <w:rPr/>
        <w:tab/>
        <w:t>В соответствии с условиями Государственного контракта № __________________________________ от «___» ________ 2026г., Поставщик поставил, а Грузополучатель Государственного заказчика принял и оприходовал товар, указанный в нижеприведенной таблице:</w:t>
      </w:r>
    </w:p>
    <w:tbl>
      <w:tblPr>
        <w:tblW w:w="15310" w:type="dxa"/>
        <w:jc w:val="left"/>
        <w:tblInd w:w="-34" w:type="dxa"/>
        <w:tblLayout w:type="fixed"/>
        <w:tblCellMar>
          <w:top w:w="0" w:type="dxa"/>
          <w:left w:w="108" w:type="dxa"/>
          <w:bottom w:w="0" w:type="dxa"/>
          <w:right w:w="108" w:type="dxa"/>
        </w:tblCellMar>
      </w:tblPr>
      <w:tblGrid>
        <w:gridCol w:w="707"/>
        <w:gridCol w:w="3261"/>
        <w:gridCol w:w="1277"/>
        <w:gridCol w:w="1042"/>
        <w:gridCol w:w="2361"/>
        <w:gridCol w:w="4402"/>
        <w:gridCol w:w="1133"/>
        <w:gridCol w:w="1125"/>
      </w:tblGrid>
      <w:tr>
        <w:trPr>
          <w:trHeight w:val="340" w:hRule="atLeast"/>
        </w:trPr>
        <w:tc>
          <w:tcPr>
            <w:tcW w:w="7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center"/>
              <w:rPr/>
            </w:pPr>
            <w:r>
              <w:rPr/>
              <w:t xml:space="preserve">№ </w:t>
            </w:r>
            <w:r>
              <w:rPr/>
              <w:t>п/п</w:t>
            </w:r>
          </w:p>
        </w:tc>
        <w:tc>
          <w:tcPr>
            <w:tcW w:w="3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0" w:after="0"/>
              <w:ind w:left="113" w:right="0"/>
              <w:contextualSpacing/>
              <w:jc w:val="center"/>
              <w:rPr/>
            </w:pPr>
            <w:r>
              <w:rPr/>
              <w:t>Наименование товара</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center"/>
              <w:rPr/>
            </w:pPr>
            <w:r>
              <w:rPr/>
              <w:t>Ед. изм.</w:t>
            </w:r>
          </w:p>
        </w:tc>
        <w:tc>
          <w:tcPr>
            <w:tcW w:w="10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center"/>
              <w:rPr/>
            </w:pPr>
            <w:r>
              <w:rPr/>
              <w:t>Кол-во</w:t>
            </w:r>
          </w:p>
        </w:tc>
        <w:tc>
          <w:tcPr>
            <w:tcW w:w="2361" w:type="dxa"/>
            <w:tcBorders>
              <w:top w:val="single" w:sz="4" w:space="0" w:color="000000"/>
              <w:left w:val="single" w:sz="4" w:space="0" w:color="000000"/>
              <w:bottom w:val="single" w:sz="4" w:space="0" w:color="000000"/>
              <w:right w:val="single" w:sz="4" w:space="0" w:color="000000"/>
            </w:tcBorders>
            <w:vAlign w:val="center"/>
          </w:tcPr>
          <w:p>
            <w:pPr>
              <w:pStyle w:val="42"/>
              <w:spacing w:lineRule="auto" w:line="240"/>
              <w:ind w:hanging="0" w:left="0" w:right="0"/>
              <w:rPr>
                <w:szCs w:val="24"/>
              </w:rPr>
            </w:pPr>
            <w:r>
              <w:rPr>
                <w:szCs w:val="24"/>
              </w:rPr>
              <w:t>Цена за единицу товара, руб.</w:t>
            </w:r>
          </w:p>
          <w:p>
            <w:pPr>
              <w:pStyle w:val="42"/>
              <w:spacing w:lineRule="auto" w:line="240"/>
              <w:ind w:hanging="0" w:left="0" w:right="0"/>
              <w:rPr>
                <w:szCs w:val="24"/>
              </w:rPr>
            </w:pPr>
            <w:r>
              <w:rPr>
                <w:szCs w:val="24"/>
              </w:rPr>
              <w:t>(включая стоимость товара, тары и упаковки, транспортные расходы, расходы на страхование, уплату таможенных пошлин, налогов, в том числе НДС (либо НДС не облагается), сборов и других обязательных платежей, взимаемых с Поставщика в связи с исполнением обязательств по Контракту)</w:t>
            </w:r>
          </w:p>
        </w:tc>
        <w:tc>
          <w:tcPr>
            <w:tcW w:w="4402" w:type="dxa"/>
            <w:tcBorders>
              <w:top w:val="single" w:sz="4" w:space="0" w:color="000000"/>
              <w:left w:val="single" w:sz="4" w:space="0" w:color="000000"/>
              <w:bottom w:val="single" w:sz="4" w:space="0" w:color="000000"/>
              <w:right w:val="single" w:sz="4" w:space="0" w:color="000000"/>
            </w:tcBorders>
            <w:vAlign w:val="center"/>
          </w:tcPr>
          <w:p>
            <w:pPr>
              <w:pStyle w:val="42"/>
              <w:spacing w:lineRule="auto" w:line="240"/>
              <w:ind w:hanging="0" w:left="0" w:right="0"/>
              <w:rPr>
                <w:szCs w:val="24"/>
              </w:rPr>
            </w:pPr>
            <w:r>
              <w:rPr>
                <w:szCs w:val="24"/>
              </w:rPr>
              <w:t>Цена Контракта, руб. (включая стоимость товара, тары и упаковки, транспортные расходы, расходы на страхование, уплату таможенных пошлин, налогов, в том числе НДС (либо НДС не облагается), сборов и других обязательных платежей, взимаемых с Поставщика в связи с исполнением обязательств по Контракту)</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center"/>
              <w:rPr/>
            </w:pPr>
            <w:r>
              <w:rPr/>
              <w:t>Дата производства товара (при наличии)</w:t>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center"/>
              <w:rPr/>
            </w:pPr>
            <w:r>
              <w:rPr/>
              <w:t>Примечание</w:t>
            </w:r>
          </w:p>
        </w:tc>
      </w:tr>
      <w:tr>
        <w:trPr>
          <w:trHeight w:val="340" w:hRule="atLeast"/>
        </w:trPr>
        <w:tc>
          <w:tcPr>
            <w:tcW w:w="70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065" w:leader="none"/>
              </w:tabs>
              <w:jc w:val="center"/>
              <w:rPr/>
            </w:pPr>
            <w:r>
              <w:rPr/>
              <w:t>1.</w:t>
            </w:r>
          </w:p>
        </w:tc>
        <w:tc>
          <w:tcPr>
            <w:tcW w:w="3261" w:type="dxa"/>
            <w:tcBorders>
              <w:top w:val="single" w:sz="4" w:space="0" w:color="000000"/>
              <w:left w:val="single" w:sz="4" w:space="0" w:color="000000"/>
              <w:bottom w:val="single" w:sz="4" w:space="0" w:color="000000"/>
              <w:right w:val="single" w:sz="4" w:space="0" w:color="000000"/>
            </w:tcBorders>
            <w:vAlign w:val="center"/>
          </w:tcPr>
          <w:p>
            <w:pPr>
              <w:pStyle w:val="Normal"/>
              <w:ind w:right="0"/>
              <w:rPr/>
            </w:pPr>
            <w:r>
              <w:rPr/>
              <w:t>Аккумуляторная батарея для СКУ (Li-Pol 7.4 V5300 mAh)</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lang w:eastAsia="ar-SA"/>
              </w:rPr>
            </w:pPr>
            <w:r>
              <w:rPr>
                <w:lang w:eastAsia="ar-SA"/>
              </w:rPr>
              <w:t>шт.</w:t>
            </w:r>
          </w:p>
        </w:tc>
        <w:tc>
          <w:tcPr>
            <w:tcW w:w="104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pPr>
            <w:r>
              <w:rPr/>
              <w:t>2</w:t>
            </w:r>
          </w:p>
        </w:tc>
        <w:tc>
          <w:tcPr>
            <w:tcW w:w="23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0" w:after="0"/>
              <w:ind w:firstLine="567" w:right="0"/>
              <w:contextualSpacing/>
              <w:jc w:val="center"/>
              <w:rPr/>
            </w:pPr>
            <w:r>
              <w:rPr/>
              <w:t>4 075,00</w:t>
            </w:r>
          </w:p>
        </w:tc>
        <w:tc>
          <w:tcPr>
            <w:tcW w:w="44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0" w:after="0"/>
              <w:ind w:firstLine="567" w:right="0"/>
              <w:contextualSpacing/>
              <w:jc w:val="center"/>
              <w:rPr/>
            </w:pPr>
            <w:r>
              <w:rPr/>
              <w:t>8 150,00</w:t>
            </w:r>
          </w:p>
        </w:tc>
        <w:tc>
          <w:tcPr>
            <w:tcW w:w="1133" w:type="dxa"/>
            <w:tcBorders>
              <w:top w:val="single" w:sz="4" w:space="0" w:color="000000"/>
              <w:left w:val="single" w:sz="4" w:space="0" w:color="000000"/>
              <w:bottom w:val="single" w:sz="4" w:space="0" w:color="000000"/>
              <w:right w:val="single" w:sz="4" w:space="0" w:color="000000"/>
            </w:tcBorders>
          </w:tcPr>
          <w:p>
            <w:pPr>
              <w:pStyle w:val="western"/>
              <w:snapToGrid w:val="false"/>
              <w:spacing w:before="0" w:after="0"/>
              <w:ind w:firstLine="567" w:right="0"/>
              <w:jc w:val="center"/>
              <w:rPr/>
            </w:pPr>
            <w:r>
              <w:rPr/>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western"/>
              <w:snapToGrid w:val="false"/>
              <w:spacing w:before="0" w:after="0"/>
              <w:ind w:firstLine="567" w:right="0"/>
              <w:jc w:val="center"/>
              <w:rPr/>
            </w:pPr>
            <w:r>
              <w:rPr/>
            </w:r>
          </w:p>
        </w:tc>
      </w:tr>
      <w:tr>
        <w:trPr>
          <w:trHeight w:val="340" w:hRule="atLeast"/>
        </w:trPr>
        <w:tc>
          <w:tcPr>
            <w:tcW w:w="70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065" w:leader="none"/>
              </w:tabs>
              <w:jc w:val="center"/>
              <w:rPr/>
            </w:pPr>
            <w:r>
              <w:rPr/>
              <w:t>2.</w:t>
            </w:r>
          </w:p>
        </w:tc>
        <w:tc>
          <w:tcPr>
            <w:tcW w:w="326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right="0"/>
              <w:rPr/>
            </w:pPr>
            <w:r>
              <w:rPr/>
              <w:t>Зарядное устройство для СКУ (12В, 2А)</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lang w:eastAsia="ar-SA"/>
              </w:rPr>
            </w:pPr>
            <w:r>
              <w:rPr>
                <w:lang w:eastAsia="ar-SA"/>
              </w:rPr>
              <w:t>шт.</w:t>
            </w:r>
          </w:p>
        </w:tc>
        <w:tc>
          <w:tcPr>
            <w:tcW w:w="1042"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tabs>
                <w:tab w:val="clear" w:pos="708"/>
                <w:tab w:val="left" w:pos="0" w:leader="none"/>
              </w:tabs>
              <w:jc w:val="center"/>
              <w:rPr/>
            </w:pPr>
            <w:r>
              <w:rPr/>
              <w:t>2</w:t>
            </w:r>
          </w:p>
        </w:tc>
        <w:tc>
          <w:tcPr>
            <w:tcW w:w="23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0" w:after="0"/>
              <w:ind w:firstLine="567" w:right="0"/>
              <w:contextualSpacing/>
              <w:jc w:val="center"/>
              <w:rPr/>
            </w:pPr>
            <w:r>
              <w:rPr/>
              <w:t>880,00</w:t>
            </w:r>
          </w:p>
        </w:tc>
        <w:tc>
          <w:tcPr>
            <w:tcW w:w="44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0" w:after="0"/>
              <w:ind w:firstLine="567" w:right="0"/>
              <w:contextualSpacing/>
              <w:jc w:val="center"/>
              <w:rPr/>
            </w:pPr>
            <w:r>
              <w:rPr/>
              <w:t>1 760,00</w:t>
            </w:r>
          </w:p>
        </w:tc>
        <w:tc>
          <w:tcPr>
            <w:tcW w:w="1133" w:type="dxa"/>
            <w:tcBorders>
              <w:top w:val="single" w:sz="4" w:space="0" w:color="000000"/>
              <w:left w:val="single" w:sz="4" w:space="0" w:color="000000"/>
              <w:bottom w:val="single" w:sz="4" w:space="0" w:color="000000"/>
              <w:right w:val="single" w:sz="4" w:space="0" w:color="000000"/>
            </w:tcBorders>
          </w:tcPr>
          <w:p>
            <w:pPr>
              <w:pStyle w:val="western"/>
              <w:snapToGrid w:val="false"/>
              <w:spacing w:before="0" w:after="0"/>
              <w:ind w:firstLine="567" w:right="0"/>
              <w:jc w:val="center"/>
              <w:rPr/>
            </w:pPr>
            <w:r>
              <w:rPr/>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western"/>
              <w:snapToGrid w:val="false"/>
              <w:spacing w:before="0" w:after="0"/>
              <w:ind w:firstLine="567" w:right="0"/>
              <w:jc w:val="center"/>
              <w:rPr/>
            </w:pPr>
            <w:r>
              <w:rPr/>
            </w:r>
          </w:p>
        </w:tc>
      </w:tr>
      <w:tr>
        <w:trPr>
          <w:trHeight w:val="340" w:hRule="atLeast"/>
        </w:trPr>
        <w:tc>
          <w:tcPr>
            <w:tcW w:w="15308"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firstLine="567" w:right="0"/>
              <w:contextualSpacing/>
              <w:rPr/>
            </w:pPr>
            <w:r>
              <w:rPr>
                <w:b/>
              </w:rPr>
              <w:t xml:space="preserve">Итого: </w:t>
            </w:r>
            <w:r>
              <w:rPr/>
              <w:t xml:space="preserve">Цена Контракта составляет </w:t>
            </w:r>
            <w:r>
              <w:rPr>
                <w:b/>
              </w:rPr>
              <w:t>9 910,00 (девять тысяч девятьсот десять рублей 00 копеек) в том числе НДС 22% - 1 787,05 рублей.</w:t>
            </w:r>
          </w:p>
        </w:tc>
      </w:tr>
    </w:tbl>
    <w:p>
      <w:pPr>
        <w:pStyle w:val="Normal"/>
        <w:tabs>
          <w:tab w:val="clear" w:pos="708"/>
          <w:tab w:val="left" w:pos="954" w:leader="none"/>
        </w:tabs>
        <w:ind w:firstLine="567" w:right="0"/>
        <w:jc w:val="both"/>
        <w:rPr/>
      </w:pPr>
      <w:r>
        <w:rPr/>
        <w:t>Сопроводительные документы:</w:t>
      </w:r>
    </w:p>
    <w:p>
      <w:pPr>
        <w:pStyle w:val="Normal"/>
        <w:ind w:firstLine="567" w:right="0"/>
        <w:rPr/>
      </w:pPr>
      <w:r>
        <w:rPr/>
        <w:t xml:space="preserve">– </w:t>
      </w:r>
      <w:r>
        <w:rPr/>
        <w:t>товарная накладная (универсальный передаточный документ) от _________№_____;</w:t>
      </w:r>
    </w:p>
    <w:p>
      <w:pPr>
        <w:pStyle w:val="Normal"/>
        <w:ind w:firstLine="567" w:right="0"/>
        <w:rPr/>
      </w:pPr>
      <w:r>
        <w:rPr/>
        <w:t xml:space="preserve">– </w:t>
      </w:r>
      <w:r>
        <w:rPr/>
        <w:t>счет (счет-фактура) от __________№______;</w:t>
      </w:r>
    </w:p>
    <w:p>
      <w:pPr>
        <w:pStyle w:val="Normal"/>
        <w:ind w:firstLine="567" w:right="0"/>
        <w:rPr/>
      </w:pPr>
      <w:r>
        <w:rPr/>
        <w:t>Вместе с товаром переданы также следующие документы:</w:t>
      </w:r>
    </w:p>
    <w:p>
      <w:pPr>
        <w:pStyle w:val="Normal"/>
        <w:ind w:firstLine="567" w:right="0"/>
        <w:rPr/>
      </w:pPr>
      <w:r>
        <w:rPr/>
        <w:t>- _______________;</w:t>
      </w:r>
    </w:p>
    <w:p>
      <w:pPr>
        <w:pStyle w:val="Normal"/>
        <w:ind w:firstLine="567" w:right="0"/>
        <w:rPr/>
      </w:pPr>
      <w:r>
        <w:rPr/>
        <w:t>- _______________.</w:t>
      </w:r>
    </w:p>
    <w:p>
      <w:pPr>
        <w:pStyle w:val="Normal"/>
        <w:ind w:firstLine="567" w:right="0"/>
        <w:rPr/>
      </w:pPr>
      <w:r>
        <w:rPr/>
        <w:t>По качеству, количеству и комплектности Грузополучатель к полученному товару претензий не имеет/ имеет ______________.</w:t>
      </w:r>
    </w:p>
    <w:p>
      <w:pPr>
        <w:pStyle w:val="Normal"/>
        <w:ind w:firstLine="567" w:right="0"/>
        <w:jc w:val="both"/>
        <w:rPr/>
      </w:pPr>
      <w:r>
        <w:rPr/>
      </w:r>
    </w:p>
    <w:p>
      <w:pPr>
        <w:pStyle w:val="Normal"/>
        <w:ind w:firstLine="567" w:right="0"/>
        <w:jc w:val="both"/>
        <w:rPr/>
      </w:pPr>
      <w:r>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экземпляр – Поставщику.</w:t>
      </w:r>
    </w:p>
    <w:p>
      <w:pPr>
        <w:pStyle w:val="Normal"/>
        <w:ind w:firstLine="567" w:right="0"/>
        <w:jc w:val="both"/>
        <w:rPr/>
      </w:pPr>
      <w:r>
        <w:rPr/>
      </w:r>
    </w:p>
    <w:tbl>
      <w:tblPr>
        <w:tblW w:w="18360" w:type="dxa"/>
        <w:jc w:val="left"/>
        <w:tblInd w:w="0" w:type="dxa"/>
        <w:tblLayout w:type="fixed"/>
        <w:tblCellMar>
          <w:top w:w="0" w:type="dxa"/>
          <w:left w:w="108" w:type="dxa"/>
          <w:bottom w:w="0" w:type="dxa"/>
          <w:right w:w="108" w:type="dxa"/>
        </w:tblCellMar>
      </w:tblPr>
      <w:tblGrid>
        <w:gridCol w:w="7694"/>
        <w:gridCol w:w="10665"/>
      </w:tblGrid>
      <w:tr>
        <w:trPr/>
        <w:tc>
          <w:tcPr>
            <w:tcW w:w="7694" w:type="dxa"/>
            <w:tcBorders/>
          </w:tcPr>
          <w:p>
            <w:pPr>
              <w:pStyle w:val="Normal"/>
              <w:ind w:firstLine="567" w:right="0"/>
              <w:rPr/>
            </w:pPr>
            <w:r>
              <w:rPr/>
              <w:t>От Поставщика</w:t>
            </w:r>
          </w:p>
        </w:tc>
        <w:tc>
          <w:tcPr>
            <w:tcW w:w="10665" w:type="dxa"/>
            <w:tcBorders/>
          </w:tcPr>
          <w:p>
            <w:pPr>
              <w:pStyle w:val="Normal"/>
              <w:ind w:firstLine="567" w:right="0"/>
              <w:rPr/>
            </w:pPr>
            <w:r>
              <w:rPr/>
              <w:t>От Государственного заказчика</w:t>
            </w:r>
          </w:p>
        </w:tc>
      </w:tr>
      <w:tr>
        <w:trPr>
          <w:trHeight w:val="399" w:hRule="atLeast"/>
        </w:trPr>
        <w:tc>
          <w:tcPr>
            <w:tcW w:w="7694" w:type="dxa"/>
            <w:tcBorders/>
          </w:tcPr>
          <w:p>
            <w:pPr>
              <w:pStyle w:val="Normal"/>
              <w:ind w:firstLine="567" w:right="0"/>
              <w:rPr/>
            </w:pPr>
            <w:r>
              <w:rPr/>
              <w:t>____________________</w:t>
            </w:r>
          </w:p>
        </w:tc>
        <w:tc>
          <w:tcPr>
            <w:tcW w:w="10665" w:type="dxa"/>
            <w:tcBorders/>
          </w:tcPr>
          <w:p>
            <w:pPr>
              <w:pStyle w:val="Normal"/>
              <w:ind w:firstLine="567" w:right="0"/>
              <w:rPr/>
            </w:pPr>
            <w:r>
              <w:rPr/>
              <w:t>____________________</w:t>
            </w:r>
          </w:p>
        </w:tc>
      </w:tr>
      <w:tr>
        <w:trPr/>
        <w:tc>
          <w:tcPr>
            <w:tcW w:w="7694" w:type="dxa"/>
            <w:tcBorders/>
          </w:tcPr>
          <w:p>
            <w:pPr>
              <w:pStyle w:val="Normal"/>
              <w:ind w:firstLine="567" w:right="0"/>
              <w:rPr/>
            </w:pPr>
            <w:r>
              <w:rPr/>
              <w:t>«___» ____________2026 г.</w:t>
            </w:r>
          </w:p>
        </w:tc>
        <w:tc>
          <w:tcPr>
            <w:tcW w:w="10665" w:type="dxa"/>
            <w:tcBorders/>
          </w:tcPr>
          <w:p>
            <w:pPr>
              <w:pStyle w:val="Normal"/>
              <w:ind w:firstLine="567" w:right="0"/>
              <w:rPr/>
            </w:pPr>
            <w:r>
              <w:rPr/>
              <w:t>«___» ____________2026 г.</w:t>
            </w:r>
          </w:p>
        </w:tc>
      </w:tr>
      <w:tr>
        <w:trPr>
          <w:trHeight w:val="80" w:hRule="atLeast"/>
        </w:trPr>
        <w:tc>
          <w:tcPr>
            <w:tcW w:w="7694" w:type="dxa"/>
            <w:tcBorders/>
          </w:tcPr>
          <w:p>
            <w:pPr>
              <w:pStyle w:val="Normal"/>
              <w:ind w:firstLine="567" w:right="0"/>
              <w:rPr/>
            </w:pPr>
            <w:r>
              <w:rPr/>
              <w:t>МП</w:t>
            </w:r>
          </w:p>
        </w:tc>
        <w:tc>
          <w:tcPr>
            <w:tcW w:w="10665" w:type="dxa"/>
            <w:tcBorders/>
          </w:tcPr>
          <w:p>
            <w:pPr>
              <w:pStyle w:val="Normal"/>
              <w:ind w:firstLine="567" w:right="0"/>
              <w:rPr/>
            </w:pPr>
            <w:r>
              <w:rPr/>
              <w:t>МП</w:t>
            </w:r>
          </w:p>
        </w:tc>
      </w:tr>
    </w:tbl>
    <w:p>
      <w:pPr>
        <w:pStyle w:val="Normal"/>
        <w:tabs>
          <w:tab w:val="clear" w:pos="708"/>
          <w:tab w:val="left" w:pos="1770" w:leader="none"/>
          <w:tab w:val="left" w:pos="3711" w:leader="none"/>
          <w:tab w:val="center" w:pos="5003" w:leader="none"/>
          <w:tab w:val="right" w:pos="9496" w:leader="none"/>
        </w:tabs>
        <w:ind w:firstLine="567" w:right="0"/>
        <w:jc w:val="center"/>
        <w:rPr/>
      </w:pPr>
      <w:r>
        <w:rPr/>
      </w:r>
    </w:p>
    <w:p>
      <w:pPr>
        <w:pStyle w:val="Normal"/>
        <w:tabs>
          <w:tab w:val="clear" w:pos="708"/>
          <w:tab w:val="left" w:pos="1770" w:leader="none"/>
          <w:tab w:val="left" w:pos="3711" w:leader="none"/>
          <w:tab w:val="center" w:pos="5003" w:leader="none"/>
          <w:tab w:val="right" w:pos="9496" w:leader="none"/>
        </w:tabs>
        <w:ind w:firstLine="567" w:right="0"/>
        <w:jc w:val="center"/>
        <w:rPr/>
      </w:pPr>
      <w:r>
        <w:rPr/>
      </w:r>
    </w:p>
    <w:p>
      <w:pPr>
        <w:pStyle w:val="Normal"/>
        <w:ind w:firstLine="567" w:right="0"/>
        <w:jc w:val="center"/>
        <w:rPr/>
      </w:pPr>
      <w:r>
        <w:rPr/>
        <w:t>ПОДПИСИ СТОРОН ПО КОНТРАКТУ</w:t>
      </w:r>
    </w:p>
    <w:p>
      <w:pPr>
        <w:pStyle w:val="Normal"/>
        <w:ind w:firstLine="567" w:right="0"/>
        <w:jc w:val="center"/>
        <w:rPr/>
      </w:pPr>
      <w:r>
        <w:rPr/>
      </w:r>
    </w:p>
    <w:tbl>
      <w:tblPr>
        <w:tblW w:w="14963" w:type="dxa"/>
        <w:jc w:val="left"/>
        <w:tblInd w:w="165" w:type="dxa"/>
        <w:tblLayout w:type="fixed"/>
        <w:tblCellMar>
          <w:top w:w="0" w:type="dxa"/>
          <w:left w:w="108" w:type="dxa"/>
          <w:bottom w:w="0" w:type="dxa"/>
          <w:right w:w="108" w:type="dxa"/>
        </w:tblCellMar>
      </w:tblPr>
      <w:tblGrid>
        <w:gridCol w:w="7025"/>
        <w:gridCol w:w="7937"/>
      </w:tblGrid>
      <w:tr>
        <w:trPr>
          <w:trHeight w:val="1756" w:hRule="atLeast"/>
        </w:trPr>
        <w:tc>
          <w:tcPr>
            <w:tcW w:w="7025" w:type="dxa"/>
            <w:tcBorders/>
          </w:tcPr>
          <w:p>
            <w:pPr>
              <w:pStyle w:val="FR1"/>
              <w:widowControl w:val="false"/>
              <w:suppressAutoHyphens w:val="true"/>
              <w:bidi w:val="0"/>
              <w:spacing w:before="0" w:after="0"/>
              <w:ind w:firstLine="283" w:left="113" w:right="113"/>
              <w:contextualSpacing/>
              <w:jc w:val="both"/>
              <w:rPr>
                <w:sz w:val="24"/>
                <w:szCs w:val="24"/>
              </w:rPr>
            </w:pPr>
            <w:r>
              <w:rPr>
                <w:sz w:val="24"/>
                <w:szCs w:val="24"/>
              </w:rPr>
              <w:t>ПОСТАВЩИК</w:t>
            </w:r>
          </w:p>
          <w:p>
            <w:pPr>
              <w:pStyle w:val="FR1"/>
              <w:spacing w:before="0" w:after="0"/>
              <w:ind w:firstLine="567" w:right="0"/>
              <w:contextualSpacing/>
              <w:jc w:val="both"/>
              <w:rPr>
                <w:sz w:val="24"/>
                <w:szCs w:val="24"/>
              </w:rPr>
            </w:pPr>
            <w:r>
              <w:rPr>
                <w:sz w:val="24"/>
                <w:szCs w:val="24"/>
              </w:rPr>
            </w:r>
          </w:p>
          <w:p>
            <w:pPr>
              <w:pStyle w:val="Normal"/>
              <w:shd w:val="clear" w:fill="FFFFFF"/>
              <w:bidi w:val="0"/>
              <w:snapToGrid w:val="false"/>
              <w:spacing w:before="0" w:after="0"/>
              <w:ind w:hanging="0" w:left="397" w:right="227"/>
              <w:jc w:val="left"/>
              <w:rPr/>
            </w:pPr>
            <w:r>
              <w:rPr>
                <w:color w:val="000000"/>
                <w:spacing w:val="-1"/>
              </w:rPr>
              <w:t xml:space="preserve">Генеральный директор АО </w:t>
            </w:r>
            <w:r>
              <w:rPr/>
              <w:t>«ЦИТОС»</w:t>
            </w:r>
          </w:p>
          <w:p>
            <w:pPr>
              <w:pStyle w:val="Normal"/>
              <w:shd w:val="clear" w:fill="FFFFFF"/>
              <w:bidi w:val="0"/>
              <w:snapToGrid w:val="false"/>
              <w:spacing w:before="0" w:after="0"/>
              <w:ind w:hanging="0" w:left="397" w:right="227"/>
              <w:jc w:val="left"/>
              <w:rPr/>
            </w:pPr>
            <w:r>
              <w:rPr/>
            </w:r>
          </w:p>
          <w:p>
            <w:pPr>
              <w:pStyle w:val="23"/>
              <w:bidi w:val="0"/>
              <w:spacing w:lineRule="auto" w:line="240" w:before="0" w:after="0"/>
              <w:ind w:hanging="0" w:left="397" w:right="227"/>
              <w:jc w:val="left"/>
              <w:rPr/>
            </w:pPr>
            <w:r>
              <w:rPr>
                <w:color w:val="000000"/>
                <w:spacing w:val="-1"/>
                <w:szCs w:val="24"/>
              </w:rPr>
              <w:t>_______________ Ю.П. Тарасов</w:t>
            </w:r>
          </w:p>
          <w:p>
            <w:pPr>
              <w:pStyle w:val="23"/>
              <w:bidi w:val="0"/>
              <w:spacing w:lineRule="auto" w:line="240" w:before="0" w:after="0"/>
              <w:ind w:hanging="0" w:left="397" w:right="227"/>
              <w:jc w:val="left"/>
              <w:rPr/>
            </w:pPr>
            <w:r>
              <w:rPr>
                <w:szCs w:val="24"/>
              </w:rPr>
              <w:t>«___»_____________ 2026 г.</w:t>
            </w:r>
          </w:p>
          <w:p>
            <w:pPr>
              <w:pStyle w:val="23"/>
              <w:bidi w:val="0"/>
              <w:spacing w:lineRule="auto" w:line="240" w:before="0" w:after="0"/>
              <w:ind w:hanging="0" w:left="397" w:right="227"/>
              <w:jc w:val="left"/>
              <w:rPr>
                <w:szCs w:val="24"/>
              </w:rPr>
            </w:pPr>
            <w:r>
              <w:rPr>
                <w:b w:val="false"/>
                <w:sz w:val="24"/>
                <w:szCs w:val="24"/>
              </w:rPr>
              <w:t>М.П.</w:t>
            </w:r>
          </w:p>
          <w:p>
            <w:pPr>
              <w:pStyle w:val="15"/>
              <w:spacing w:lineRule="auto" w:line="240" w:before="0" w:after="0"/>
              <w:ind w:firstLine="567" w:left="0" w:right="0"/>
              <w:contextualSpacing/>
              <w:rPr>
                <w:szCs w:val="24"/>
              </w:rPr>
            </w:pPr>
            <w:r>
              <w:rPr>
                <w:szCs w:val="24"/>
              </w:rPr>
            </w:r>
          </w:p>
          <w:p>
            <w:pPr>
              <w:pStyle w:val="15"/>
              <w:spacing w:lineRule="auto" w:line="240" w:before="0" w:after="0"/>
              <w:ind w:firstLine="567" w:left="0" w:right="0"/>
              <w:contextualSpacing/>
              <w:rPr>
                <w:szCs w:val="24"/>
              </w:rPr>
            </w:pPr>
            <w:r>
              <w:rPr>
                <w:szCs w:val="24"/>
              </w:rPr>
            </w:r>
          </w:p>
        </w:tc>
        <w:tc>
          <w:tcPr>
            <w:tcW w:w="7937" w:type="dxa"/>
            <w:tcBorders/>
          </w:tcPr>
          <w:p>
            <w:pPr>
              <w:pStyle w:val="Vor2"/>
              <w:tabs>
                <w:tab w:val="clear" w:pos="708"/>
                <w:tab w:val="left" w:pos="238" w:leader="none"/>
              </w:tabs>
              <w:suppressAutoHyphens w:val="true"/>
              <w:bidi w:val="0"/>
              <w:snapToGrid w:val="false"/>
              <w:spacing w:before="0" w:after="0"/>
              <w:ind w:firstLine="57" w:left="340" w:right="567"/>
              <w:rPr/>
            </w:pPr>
            <w:r>
              <w:rPr>
                <w:caps/>
              </w:rPr>
              <w:t>Государственный заказчик</w:t>
            </w:r>
          </w:p>
          <w:p>
            <w:pPr>
              <w:pStyle w:val="Vor2"/>
              <w:tabs>
                <w:tab w:val="clear" w:pos="708"/>
                <w:tab w:val="left" w:pos="238" w:leader="none"/>
              </w:tabs>
              <w:suppressAutoHyphens w:val="true"/>
              <w:bidi w:val="0"/>
              <w:snapToGrid w:val="false"/>
              <w:spacing w:before="0" w:after="0"/>
              <w:ind w:firstLine="57" w:left="340" w:right="567"/>
              <w:rPr>
                <w:b w:val="false"/>
                <w:sz w:val="24"/>
                <w:szCs w:val="24"/>
              </w:rPr>
            </w:pPr>
            <w:r>
              <w:rPr>
                <w:b w:val="false"/>
                <w:sz w:val="24"/>
                <w:szCs w:val="24"/>
              </w:rPr>
            </w:r>
          </w:p>
          <w:p>
            <w:pPr>
              <w:pStyle w:val="Vor2"/>
              <w:tabs>
                <w:tab w:val="clear" w:pos="708"/>
                <w:tab w:val="left" w:pos="238" w:leader="none"/>
              </w:tabs>
              <w:suppressAutoHyphens w:val="true"/>
              <w:bidi w:val="0"/>
              <w:snapToGrid w:val="false"/>
              <w:spacing w:before="0" w:after="0"/>
              <w:ind w:firstLine="57" w:left="340" w:right="567"/>
              <w:rPr/>
            </w:pPr>
            <w:r>
              <w:rPr>
                <w:b w:val="false"/>
              </w:rPr>
              <w:t xml:space="preserve">Врио начальника ФКУ УИИ УФСИН </w:t>
            </w:r>
            <w:r>
              <w:rPr>
                <w:b w:val="false"/>
                <w:sz w:val="24"/>
                <w:szCs w:val="24"/>
              </w:rPr>
              <w:t>России по Томской области</w:t>
              <w:br/>
            </w:r>
          </w:p>
          <w:p>
            <w:pPr>
              <w:pStyle w:val="FR1"/>
              <w:tabs>
                <w:tab w:val="clear" w:pos="708"/>
                <w:tab w:val="left" w:pos="238" w:leader="none"/>
              </w:tabs>
              <w:suppressAutoHyphens w:val="true"/>
              <w:bidi w:val="0"/>
              <w:spacing w:before="0" w:after="0"/>
              <w:ind w:firstLine="57" w:left="340" w:right="567"/>
              <w:contextualSpacing/>
              <w:rPr/>
            </w:pPr>
            <w:r>
              <w:rPr>
                <w:b w:val="false"/>
                <w:sz w:val="24"/>
                <w:szCs w:val="24"/>
              </w:rPr>
              <w:t>_________________ А.А. Сыренков</w:t>
            </w:r>
          </w:p>
          <w:p>
            <w:pPr>
              <w:pStyle w:val="23"/>
              <w:tabs>
                <w:tab w:val="clear" w:pos="708"/>
                <w:tab w:val="left" w:pos="238" w:leader="none"/>
              </w:tabs>
              <w:suppressAutoHyphens w:val="true"/>
              <w:bidi w:val="0"/>
              <w:spacing w:lineRule="auto" w:line="240"/>
              <w:ind w:hanging="0" w:left="340" w:right="567"/>
              <w:jc w:val="left"/>
              <w:rPr/>
            </w:pPr>
            <w:r>
              <w:rPr>
                <w:szCs w:val="24"/>
              </w:rPr>
              <w:t>«___»_____________2026г.</w:t>
            </w:r>
          </w:p>
          <w:p>
            <w:pPr>
              <w:pStyle w:val="15"/>
              <w:tabs>
                <w:tab w:val="clear" w:pos="708"/>
                <w:tab w:val="left" w:pos="238" w:leader="none"/>
              </w:tabs>
              <w:suppressAutoHyphens w:val="true"/>
              <w:bidi w:val="0"/>
              <w:spacing w:lineRule="auto" w:line="240" w:before="0" w:after="0"/>
              <w:ind w:firstLine="57" w:left="340" w:right="567"/>
              <w:contextualSpacing/>
              <w:rPr/>
            </w:pPr>
            <w:r>
              <w:rPr>
                <w:szCs w:val="24"/>
              </w:rPr>
              <w:t>М.П.</w:t>
            </w:r>
          </w:p>
        </w:tc>
      </w:tr>
    </w:tbl>
    <w:p>
      <w:pPr>
        <w:sectPr>
          <w:headerReference w:type="default" r:id="rId19"/>
          <w:headerReference w:type="first" r:id="rId20"/>
          <w:footerReference w:type="default" r:id="rId21"/>
          <w:footerReference w:type="first" r:id="rId22"/>
          <w:type w:val="nextPage"/>
          <w:pgSz w:orient="landscape" w:w="16838" w:h="11906"/>
          <w:pgMar w:left="1418" w:right="568" w:gutter="0" w:header="284" w:top="1191" w:footer="272" w:bottom="709"/>
          <w:pgNumType w:fmt="decimal"/>
          <w:formProt w:val="false"/>
          <w:titlePg/>
          <w:textDirection w:val="lrTb"/>
          <w:docGrid w:type="default" w:linePitch="360" w:charSpace="0"/>
        </w:sectPr>
      </w:pPr>
    </w:p>
    <w:p>
      <w:pPr>
        <w:pStyle w:val="42"/>
        <w:tabs>
          <w:tab w:val="clear" w:pos="708"/>
          <w:tab w:val="left" w:pos="6480" w:leader="none"/>
        </w:tabs>
        <w:spacing w:lineRule="auto" w:line="240" w:before="0" w:after="0"/>
        <w:ind w:firstLine="567" w:left="0" w:right="0"/>
        <w:contextualSpacing/>
        <w:jc w:val="right"/>
        <w:rPr>
          <w:szCs w:val="24"/>
        </w:rPr>
      </w:pPr>
      <w:r>
        <w:rPr>
          <w:szCs w:val="24"/>
        </w:rPr>
        <w:t xml:space="preserve">Приложение № 3 к Контракту </w:t>
      </w:r>
    </w:p>
    <w:p>
      <w:pPr>
        <w:pStyle w:val="Normal"/>
        <w:ind w:firstLine="567" w:right="0"/>
        <w:jc w:val="right"/>
        <w:rPr>
          <w:b/>
        </w:rPr>
      </w:pPr>
      <w:r>
        <w:rPr/>
        <w:t>от « ____» ___________ 2026г. № _________</w:t>
      </w:r>
    </w:p>
    <w:p>
      <w:pPr>
        <w:pStyle w:val="Normal"/>
        <w:ind w:firstLine="567" w:right="0"/>
        <w:jc w:val="right"/>
        <w:rPr>
          <w:b/>
        </w:rPr>
      </w:pPr>
      <w:r>
        <w:rPr>
          <w:b/>
        </w:rPr>
      </w:r>
    </w:p>
    <w:p>
      <w:pPr>
        <w:pStyle w:val="110"/>
        <w:widowControl w:val="false"/>
        <w:spacing w:lineRule="auto" w:line="240" w:before="0" w:after="0"/>
        <w:ind w:firstLine="567" w:right="0"/>
        <w:contextualSpacing/>
        <w:jc w:val="center"/>
        <w:rPr>
          <w:b/>
          <w:spacing w:val="0"/>
          <w:sz w:val="24"/>
          <w:szCs w:val="24"/>
        </w:rPr>
      </w:pPr>
      <w:r>
        <w:rPr>
          <w:b/>
          <w:spacing w:val="0"/>
          <w:sz w:val="24"/>
          <w:szCs w:val="24"/>
        </w:rPr>
      </w:r>
    </w:p>
    <w:p>
      <w:pPr>
        <w:pStyle w:val="110"/>
        <w:widowControl w:val="false"/>
        <w:spacing w:lineRule="auto" w:line="240" w:before="0" w:after="0"/>
        <w:ind w:firstLine="567" w:right="0"/>
        <w:contextualSpacing/>
        <w:jc w:val="center"/>
        <w:rPr>
          <w:b/>
          <w:spacing w:val="0"/>
          <w:sz w:val="24"/>
          <w:szCs w:val="24"/>
        </w:rPr>
      </w:pPr>
      <w:r>
        <w:rPr>
          <w:b/>
          <w:spacing w:val="0"/>
          <w:sz w:val="24"/>
          <w:szCs w:val="24"/>
        </w:rPr>
      </w:r>
    </w:p>
    <w:p>
      <w:pPr>
        <w:pStyle w:val="110"/>
        <w:widowControl w:val="false"/>
        <w:spacing w:lineRule="auto" w:line="240" w:before="0" w:after="0"/>
        <w:ind w:firstLine="567" w:right="0"/>
        <w:contextualSpacing/>
        <w:jc w:val="center"/>
        <w:rPr>
          <w:b/>
          <w:bCs/>
          <w:spacing w:val="-1"/>
        </w:rPr>
      </w:pPr>
      <w:r>
        <w:rPr>
          <w:b/>
          <w:bCs/>
          <w:sz w:val="24"/>
          <w:szCs w:val="24"/>
        </w:rPr>
        <w:t>Техническое задание</w:t>
      </w:r>
    </w:p>
    <w:p>
      <w:pPr>
        <w:pStyle w:val="Normal"/>
        <w:widowControl w:val="false"/>
        <w:tabs>
          <w:tab w:val="clear" w:pos="708"/>
          <w:tab w:val="left" w:pos="1134" w:leader="none"/>
        </w:tabs>
        <w:ind w:firstLine="567" w:right="0"/>
        <w:jc w:val="center"/>
        <w:rPr>
          <w:b/>
          <w:bCs/>
          <w:spacing w:val="-1"/>
        </w:rPr>
      </w:pPr>
      <w:r>
        <w:rPr>
          <w:b/>
          <w:bCs/>
          <w:spacing w:val="-1"/>
        </w:rPr>
        <w:t>на поставку расходных материалов и комплектующих оборудования  системы электронного мониторинга подконтрольных лиц</w:t>
      </w:r>
    </w:p>
    <w:p>
      <w:pPr>
        <w:pStyle w:val="Normal"/>
        <w:widowControl w:val="false"/>
        <w:tabs>
          <w:tab w:val="clear" w:pos="708"/>
          <w:tab w:val="left" w:pos="1134" w:leader="none"/>
        </w:tabs>
        <w:ind w:firstLine="567" w:right="0"/>
        <w:jc w:val="center"/>
        <w:rPr>
          <w:b/>
          <w:bCs/>
          <w:spacing w:val="-1"/>
        </w:rPr>
      </w:pPr>
      <w:r>
        <w:rPr>
          <w:b/>
          <w:bCs/>
          <w:spacing w:val="-1"/>
        </w:rPr>
      </w:r>
    </w:p>
    <w:p>
      <w:pPr>
        <w:pStyle w:val="Normal"/>
        <w:keepNext w:val="true"/>
        <w:widowControl w:val="false"/>
        <w:numPr>
          <w:ilvl w:val="0"/>
          <w:numId w:val="2"/>
        </w:numPr>
        <w:tabs>
          <w:tab w:val="clear" w:pos="708"/>
          <w:tab w:val="left" w:pos="0" w:leader="none"/>
        </w:tabs>
        <w:ind w:firstLine="567" w:left="0" w:right="0"/>
        <w:jc w:val="both"/>
        <w:rPr/>
      </w:pPr>
      <w:r>
        <w:rPr>
          <w:bCs/>
        </w:rPr>
        <w:t xml:space="preserve">Наименование и количество </w:t>
      </w:r>
      <w:r>
        <w:rPr>
          <w:lang w:val="ru-RU" w:eastAsia="ru-RU"/>
        </w:rPr>
        <w:t>расходных материалов и комплектующих для оборудования Системы электронного мониторинга подконтрольных лиц ФСИН России:</w:t>
      </w:r>
    </w:p>
    <w:tbl>
      <w:tblPr>
        <w:tblW w:w="7897" w:type="dxa"/>
        <w:jc w:val="left"/>
        <w:tblInd w:w="704" w:type="dxa"/>
        <w:tblLayout w:type="fixed"/>
        <w:tblCellMar>
          <w:top w:w="0" w:type="dxa"/>
          <w:left w:w="108" w:type="dxa"/>
          <w:bottom w:w="0" w:type="dxa"/>
          <w:right w:w="108" w:type="dxa"/>
        </w:tblCellMar>
      </w:tblPr>
      <w:tblGrid>
        <w:gridCol w:w="4927"/>
        <w:gridCol w:w="2969"/>
      </w:tblGrid>
      <w:tr>
        <w:trPr/>
        <w:tc>
          <w:tcPr>
            <w:tcW w:w="4927" w:type="dxa"/>
            <w:tcBorders>
              <w:top w:val="single" w:sz="4" w:space="0" w:color="000000"/>
              <w:left w:val="single" w:sz="4" w:space="0" w:color="000000"/>
              <w:bottom w:val="single" w:sz="4" w:space="0" w:color="000000"/>
            </w:tcBorders>
          </w:tcPr>
          <w:p>
            <w:pPr>
              <w:pStyle w:val="Normal"/>
              <w:keepNext w:val="true"/>
              <w:widowControl w:val="false"/>
              <w:tabs>
                <w:tab w:val="clear" w:pos="708"/>
                <w:tab w:val="left" w:pos="0" w:leader="none"/>
              </w:tabs>
              <w:ind w:firstLine="567" w:right="0"/>
              <w:jc w:val="both"/>
              <w:rPr/>
            </w:pPr>
            <w:r>
              <w:rPr/>
              <w:t>Наименование товара</w:t>
            </w:r>
          </w:p>
        </w:tc>
        <w:tc>
          <w:tcPr>
            <w:tcW w:w="2969"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tabs>
                <w:tab w:val="clear" w:pos="708"/>
                <w:tab w:val="left" w:pos="0" w:leader="none"/>
              </w:tabs>
              <w:ind w:firstLine="567" w:right="0"/>
              <w:jc w:val="both"/>
              <w:rPr/>
            </w:pPr>
            <w:r>
              <w:rPr/>
              <w:t>Кол-во (шт.)</w:t>
            </w:r>
          </w:p>
        </w:tc>
      </w:tr>
      <w:tr>
        <w:trPr/>
        <w:tc>
          <w:tcPr>
            <w:tcW w:w="4927" w:type="dxa"/>
            <w:tcBorders>
              <w:top w:val="single" w:sz="4" w:space="0" w:color="000000"/>
              <w:left w:val="single" w:sz="4" w:space="0" w:color="000000"/>
              <w:bottom w:val="single" w:sz="4" w:space="0" w:color="000000"/>
            </w:tcBorders>
            <w:vAlign w:val="center"/>
          </w:tcPr>
          <w:p>
            <w:pPr>
              <w:pStyle w:val="Normal"/>
              <w:ind w:right="0"/>
              <w:jc w:val="center"/>
              <w:rPr/>
            </w:pPr>
            <w:r>
              <w:rPr/>
              <w:t>Аккумуляторная батарея для СКУ</w:t>
            </w:r>
          </w:p>
          <w:p>
            <w:pPr>
              <w:pStyle w:val="Normal"/>
              <w:ind w:right="0"/>
              <w:jc w:val="center"/>
              <w:rPr/>
            </w:pPr>
            <w:r>
              <w:rPr/>
              <w:t>(Li-Pol 7.4 V5300 mAh)</w:t>
            </w:r>
          </w:p>
        </w:tc>
        <w:tc>
          <w:tcPr>
            <w:tcW w:w="296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lang w:eastAsia="ar-SA"/>
              </w:rPr>
            </w:pPr>
            <w:r>
              <w:rPr>
                <w:lang w:eastAsia="ar-SA"/>
              </w:rPr>
              <w:t>2 шт.</w:t>
            </w:r>
          </w:p>
        </w:tc>
      </w:tr>
      <w:tr>
        <w:trPr/>
        <w:tc>
          <w:tcPr>
            <w:tcW w:w="4927" w:type="dxa"/>
            <w:tcBorders>
              <w:top w:val="single" w:sz="4" w:space="0" w:color="000000"/>
              <w:left w:val="single" w:sz="4" w:space="0" w:color="000000"/>
              <w:bottom w:val="single" w:sz="4" w:space="0" w:color="000000"/>
            </w:tcBorders>
            <w:vAlign w:val="center"/>
          </w:tcPr>
          <w:p>
            <w:pPr>
              <w:pStyle w:val="Normal"/>
              <w:spacing w:lineRule="auto" w:line="240"/>
              <w:ind w:right="0"/>
              <w:jc w:val="center"/>
              <w:rPr/>
            </w:pPr>
            <w:r>
              <w:rPr/>
              <w:t>Зарядное устройство для СКУ (12В, 2А)</w:t>
            </w:r>
          </w:p>
        </w:tc>
        <w:tc>
          <w:tcPr>
            <w:tcW w:w="296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pPr>
            <w:r>
              <w:rPr>
                <w:lang w:eastAsia="ar-SA"/>
              </w:rPr>
              <w:t>2 шт.</w:t>
            </w:r>
          </w:p>
        </w:tc>
      </w:tr>
    </w:tbl>
    <w:p>
      <w:pPr>
        <w:pStyle w:val="Normal"/>
        <w:keepNext w:val="true"/>
        <w:widowControl w:val="false"/>
        <w:tabs>
          <w:tab w:val="clear" w:pos="708"/>
          <w:tab w:val="left" w:pos="0" w:leader="none"/>
        </w:tabs>
        <w:ind w:firstLine="567" w:right="0"/>
        <w:jc w:val="both"/>
        <w:rPr/>
      </w:pPr>
      <w:r>
        <w:rPr/>
      </w:r>
    </w:p>
    <w:p>
      <w:pPr>
        <w:pStyle w:val="Normal"/>
        <w:keepNext w:val="true"/>
        <w:widowControl w:val="false"/>
        <w:numPr>
          <w:ilvl w:val="0"/>
          <w:numId w:val="8"/>
        </w:numPr>
        <w:tabs>
          <w:tab w:val="clear" w:pos="708"/>
          <w:tab w:val="left" w:pos="915" w:leader="none"/>
        </w:tabs>
        <w:ind w:firstLine="567" w:left="0" w:right="0"/>
        <w:jc w:val="both"/>
        <w:rPr/>
      </w:pPr>
      <w:r>
        <w:rPr/>
        <w:t>Срок поставк</w:t>
      </w:r>
      <w:r>
        <w:rPr>
          <w:shd w:fill="auto" w:val="clear"/>
        </w:rPr>
        <w:t>и: по 30 октября 2026 года.</w:t>
      </w:r>
    </w:p>
    <w:p>
      <w:pPr>
        <w:pStyle w:val="Normal"/>
        <w:ind w:firstLine="567" w:right="0"/>
        <w:jc w:val="both"/>
        <w:rPr>
          <w:b/>
        </w:rPr>
      </w:pPr>
      <w:r>
        <w:rPr/>
        <w:t>Место поставки (</w:t>
      </w:r>
      <w:r>
        <w:rPr>
          <w:lang w:val="ru-RU" w:eastAsia="ru-RU"/>
        </w:rPr>
        <w:t xml:space="preserve">ближайшей пункта выдачи заказов транспортной компании </w:t>
        <w:br/>
        <w:t>(ПВЗ ТК) в городе присутствия Государственного заказчика)</w:t>
      </w:r>
      <w:r>
        <w:rPr/>
        <w:t xml:space="preserve">: </w:t>
      </w:r>
      <w:r>
        <w:rPr>
          <w:u w:val="none"/>
        </w:rPr>
        <w:t>г. Томск, ул. Пушкина, д. 32, 101 офис (СДЭК).</w:t>
      </w:r>
    </w:p>
    <w:p>
      <w:pPr>
        <w:pStyle w:val="Normal"/>
        <w:keepNext w:val="true"/>
        <w:widowControl w:val="false"/>
        <w:tabs>
          <w:tab w:val="clear" w:pos="708"/>
          <w:tab w:val="left" w:pos="0" w:leader="none"/>
        </w:tabs>
        <w:ind w:firstLine="567" w:right="0"/>
        <w:jc w:val="both"/>
        <w:rPr>
          <w:b/>
        </w:rPr>
      </w:pPr>
      <w:r>
        <w:rPr>
          <w:b/>
        </w:rPr>
      </w:r>
    </w:p>
    <w:p>
      <w:pPr>
        <w:pStyle w:val="Normal"/>
        <w:keepNext w:val="true"/>
        <w:widowControl w:val="false"/>
        <w:numPr>
          <w:ilvl w:val="0"/>
          <w:numId w:val="8"/>
        </w:numPr>
        <w:tabs>
          <w:tab w:val="clear" w:pos="708"/>
          <w:tab w:val="left" w:pos="750" w:leader="none"/>
        </w:tabs>
        <w:ind w:firstLine="567" w:left="0" w:right="0"/>
        <w:jc w:val="both"/>
        <w:rPr/>
      </w:pPr>
      <w:r>
        <w:rPr>
          <w:b/>
          <w:bCs/>
        </w:rPr>
        <w:t xml:space="preserve">   </w:t>
      </w:r>
      <w:r>
        <w:rPr>
          <w:b/>
          <w:bCs/>
        </w:rPr>
        <w:t>Общие положения</w:t>
      </w:r>
    </w:p>
    <w:p>
      <w:pPr>
        <w:pStyle w:val="Normal"/>
        <w:widowControl w:val="false"/>
        <w:shd w:val="clear" w:fill="FFFFFF"/>
        <w:tabs>
          <w:tab w:val="clear" w:pos="708"/>
          <w:tab w:val="left" w:pos="0" w:leader="none"/>
          <w:tab w:val="left" w:pos="1134" w:leader="none"/>
        </w:tabs>
        <w:ind w:firstLine="567" w:right="0"/>
        <w:jc w:val="both"/>
        <w:rPr>
          <w:b/>
          <w:bCs/>
        </w:rPr>
      </w:pPr>
      <w:r>
        <w:rPr/>
        <w:t xml:space="preserve">3.1. Термины и определения </w:t>
      </w:r>
    </w:p>
    <w:p>
      <w:pPr>
        <w:pStyle w:val="Normal"/>
        <w:widowControl w:val="false"/>
        <w:shd w:val="clear" w:fill="FFFFFF"/>
        <w:tabs>
          <w:tab w:val="clear" w:pos="708"/>
          <w:tab w:val="left" w:pos="0" w:leader="none"/>
          <w:tab w:val="left" w:pos="1134" w:leader="none"/>
        </w:tabs>
        <w:ind w:firstLine="567" w:right="0"/>
        <w:jc w:val="both"/>
        <w:rPr>
          <w:b/>
          <w:bCs/>
        </w:rPr>
      </w:pPr>
      <w:r>
        <w:rPr>
          <w:b/>
          <w:bCs/>
        </w:rPr>
      </w:r>
    </w:p>
    <w:p>
      <w:pPr>
        <w:pStyle w:val="Normal"/>
        <w:widowControl w:val="false"/>
        <w:shd w:val="clear" w:fill="FFFFFF"/>
        <w:tabs>
          <w:tab w:val="clear" w:pos="708"/>
          <w:tab w:val="left" w:pos="0" w:leader="none"/>
          <w:tab w:val="left" w:pos="1134" w:leader="none"/>
        </w:tabs>
        <w:ind w:firstLine="567" w:right="0"/>
        <w:jc w:val="both"/>
        <w:rPr>
          <w:b/>
        </w:rPr>
      </w:pPr>
      <w:r>
        <w:rPr>
          <w:b/>
          <w:bCs/>
        </w:rPr>
        <w:t xml:space="preserve">Электронный браслет (ЭБ) </w:t>
      </w:r>
      <w:r>
        <w:rPr/>
        <w:t>– электронное устройство, надеваемое на осужденного к наказанию в виде ограничения свободы с целью его дистанционной идентификации и отслеживания его местонахождения, предназначенное для длительного ношения на теле и имеющее встроенную систему контроля несанкционированного снятия и вскрытия корпуса. Конструкционно ЭБ состоит из герметичного корпуса ЭБ с электронными компонентами, ремня (базовая версия ЭБ имеет в составе комплект замка).</w:t>
      </w:r>
    </w:p>
    <w:p>
      <w:pPr>
        <w:pStyle w:val="Normal"/>
        <w:widowControl w:val="false"/>
        <w:shd w:val="clear" w:fill="FFFFFF"/>
        <w:tabs>
          <w:tab w:val="clear" w:pos="708"/>
          <w:tab w:val="left" w:pos="0" w:leader="none"/>
          <w:tab w:val="left" w:pos="1134" w:leader="none"/>
        </w:tabs>
        <w:ind w:firstLine="567" w:right="0"/>
        <w:jc w:val="both"/>
        <w:rPr>
          <w:b/>
        </w:rPr>
      </w:pPr>
      <w:r>
        <w:rPr>
          <w:b/>
        </w:rPr>
        <w:t xml:space="preserve">Ремень </w:t>
      </w:r>
      <w:r>
        <w:rPr/>
        <w:t>– часть конструкции ЭБ, обеспечивающая крепление ЭБ на осужденном и замыкание электрической цепи.</w:t>
      </w:r>
    </w:p>
    <w:p>
      <w:pPr>
        <w:pStyle w:val="Normal"/>
        <w:widowControl w:val="false"/>
        <w:shd w:val="clear" w:fill="FFFFFF"/>
        <w:tabs>
          <w:tab w:val="clear" w:pos="708"/>
          <w:tab w:val="left" w:pos="0" w:leader="none"/>
          <w:tab w:val="left" w:pos="709" w:leader="none"/>
        </w:tabs>
        <w:ind w:firstLine="567" w:right="0"/>
        <w:jc w:val="both"/>
        <w:rPr>
          <w:b/>
        </w:rPr>
      </w:pPr>
      <w:r>
        <w:rPr>
          <w:b/>
        </w:rPr>
        <w:t>Отвертка – с</w:t>
      </w:r>
      <w:r>
        <w:rPr/>
        <w:t>пециальный инструмент, используемый для крепления ремней к ЭБ специальными гайками (завинчивания и отвинчивания).</w:t>
      </w:r>
    </w:p>
    <w:p>
      <w:pPr>
        <w:pStyle w:val="Normal"/>
        <w:widowControl w:val="false"/>
        <w:shd w:val="clear" w:fill="FFFFFF"/>
        <w:tabs>
          <w:tab w:val="clear" w:pos="708"/>
          <w:tab w:val="left" w:pos="0" w:leader="none"/>
          <w:tab w:val="left" w:pos="1134" w:leader="none"/>
        </w:tabs>
        <w:ind w:firstLine="567" w:right="0"/>
        <w:jc w:val="both"/>
        <w:rPr>
          <w:b/>
        </w:rPr>
      </w:pPr>
      <w:r>
        <w:rPr>
          <w:b/>
        </w:rPr>
        <w:t>Стационарное контрольное устройство (СКУ)</w:t>
      </w:r>
      <w:r>
        <w:rPr/>
        <w:t xml:space="preserve"> – электронное устройство, обеспечивающее непрерывный круглосуточный приём и идентификацию сигналов электронного браслета для контроля режима присутствия в помещении или на установленной территории, а также оповещение о попытках снятия, повреждения электронного браслета и иных нарушениях.</w:t>
      </w:r>
    </w:p>
    <w:p>
      <w:pPr>
        <w:pStyle w:val="Normal"/>
        <w:widowControl w:val="false"/>
        <w:shd w:val="clear" w:fill="FFFFFF"/>
        <w:tabs>
          <w:tab w:val="clear" w:pos="708"/>
          <w:tab w:val="left" w:pos="0" w:leader="none"/>
          <w:tab w:val="left" w:pos="1134" w:leader="none"/>
        </w:tabs>
        <w:ind w:firstLine="567" w:right="0"/>
        <w:jc w:val="both"/>
        <w:rPr>
          <w:b/>
          <w:color w:val="000000"/>
          <w:sz w:val="24"/>
          <w:szCs w:val="24"/>
        </w:rPr>
      </w:pPr>
      <w:r>
        <w:rPr>
          <w:b/>
        </w:rPr>
        <w:t xml:space="preserve">Мобильное контрольное устройство (МКУ) </w:t>
      </w:r>
      <w:r>
        <w:rPr/>
        <w:t>– электронное устройство, предназначенное для ношения совместно с электронным браслетом при нахождении подозреваемого или обвиняемого вне мест, оборудованных стационарным контрольным устройством, для отслеживания его местоположения по сигналам глобальной навигационной спутниковой системы ГЛОНАСС/</w:t>
      </w:r>
      <w:r>
        <w:rPr>
          <w:lang w:val="en-US"/>
        </w:rPr>
        <w:t>GPS</w:t>
      </w:r>
      <w:r>
        <w:rPr/>
        <w:t>.</w:t>
      </w:r>
    </w:p>
    <w:p>
      <w:pPr>
        <w:pStyle w:val="Osn1"/>
        <w:ind w:firstLine="567" w:left="0" w:right="0"/>
        <w:rPr>
          <w:b/>
          <w:sz w:val="24"/>
          <w:szCs w:val="24"/>
        </w:rPr>
      </w:pPr>
      <w:r>
        <w:rPr>
          <w:b/>
          <w:color w:val="000000"/>
          <w:sz w:val="24"/>
          <w:szCs w:val="24"/>
        </w:rPr>
        <w:t xml:space="preserve">Система электронного мониторинга подконтрольных лиц (СЭМПЛ) – </w:t>
      </w:r>
      <w:r>
        <w:rPr>
          <w:color w:val="000000"/>
          <w:sz w:val="24"/>
          <w:szCs w:val="24"/>
        </w:rPr>
        <w:t xml:space="preserve">федеральная государственная информационная система (паспорт ФС-77120261от 16.07.2012) Федеральной службы исполнения наказаний, предназначенная для обеспечения дистанционного надзора за лицами, находящимся под домашним арестом, а также осужденными к наказанию в виде ограничения свободы и контроля выполнения ими предписанных ограничений путем их индивидуальной идентификации и контроля их местонахождения в установленных местах в соответствии с расписанием, в том числе с применением спутниковых навигационных сигналов ГЛОНАСС/GPS. Система обеспечивает сбор, накопление, обработку </w:t>
      </w:r>
      <w:r>
        <w:rPr>
          <w:color w:val="000000"/>
          <w:sz w:val="24"/>
          <w:szCs w:val="24"/>
          <w:lang w:val="ru-RU"/>
        </w:rPr>
        <w:t xml:space="preserve"> </w:t>
      </w:r>
      <w:r>
        <w:rPr>
          <w:color w:val="000000"/>
          <w:sz w:val="24"/>
          <w:szCs w:val="24"/>
        </w:rPr>
        <w:t>и хранение необходимой</w:t>
      </w:r>
      <w:r>
        <w:rPr>
          <w:color w:val="000000"/>
          <w:sz w:val="24"/>
          <w:szCs w:val="24"/>
          <w:lang w:val="ru-RU"/>
        </w:rPr>
        <w:br/>
      </w:r>
      <w:r>
        <w:rPr>
          <w:color w:val="000000"/>
          <w:sz w:val="24"/>
          <w:szCs w:val="24"/>
        </w:rPr>
        <w:t>для этого информации, ее предоставление путем формирования выходных форм документов и отчетов различного назначения.</w:t>
      </w:r>
    </w:p>
    <w:p>
      <w:pPr>
        <w:pStyle w:val="Style33"/>
        <w:ind w:firstLine="567" w:left="0" w:right="0"/>
        <w:rPr>
          <w:rFonts w:ascii="Times New Roman" w:hAnsi="Times New Roman" w:eastAsia="Times New Roman" w:cs="Times New Roman"/>
          <w:sz w:val="24"/>
          <w:szCs w:val="24"/>
          <w:lang w:bidi="ru-RU"/>
        </w:rPr>
      </w:pPr>
      <w:r>
        <w:rPr>
          <w:b/>
          <w:sz w:val="24"/>
          <w:szCs w:val="24"/>
        </w:rPr>
        <w:t>Описание системы</w:t>
      </w:r>
    </w:p>
    <w:p>
      <w:pPr>
        <w:pStyle w:val="191"/>
        <w:shd w:val="clear" w:fill="auto"/>
        <w:spacing w:lineRule="auto" w:line="240" w:before="0" w:after="0"/>
        <w:ind w:firstLine="567" w:right="0"/>
        <w:jc w:val="both"/>
        <w:rPr>
          <w:rFonts w:ascii="Times New Roman" w:hAnsi="Times New Roman" w:eastAsia="Times New Roman" w:cs="Times New Roman"/>
          <w:sz w:val="24"/>
          <w:szCs w:val="24"/>
          <w:lang w:bidi="ru-RU"/>
        </w:rPr>
      </w:pPr>
      <w:r>
        <w:rPr>
          <w:rFonts w:eastAsia="Times New Roman" w:cs="Times New Roman" w:ascii="Times New Roman" w:hAnsi="Times New Roman"/>
          <w:sz w:val="24"/>
          <w:szCs w:val="24"/>
          <w:lang w:bidi="ru-RU"/>
        </w:rPr>
        <w:t>СЭМПЛ – организационная, методическая и техническая основа обеспечения исполнения наказаний и мер уголовно-правового характера с ограничением свободы, а также мер пресечения, не связанных с лишением свободы. СЭМПЛ может применяться для контроля:</w:t>
      </w:r>
    </w:p>
    <w:p>
      <w:pPr>
        <w:pStyle w:val="191"/>
        <w:shd w:val="clear" w:fill="auto"/>
        <w:spacing w:lineRule="auto" w:line="240" w:before="0" w:after="0"/>
        <w:ind w:firstLine="567" w:right="0"/>
        <w:jc w:val="both"/>
        <w:rPr>
          <w:rFonts w:ascii="Times New Roman" w:hAnsi="Times New Roman" w:eastAsia="Times New Roman" w:cs="Times New Roman"/>
          <w:sz w:val="24"/>
          <w:szCs w:val="24"/>
          <w:lang w:bidi="ru-RU"/>
        </w:rPr>
      </w:pPr>
      <w:r>
        <w:rPr>
          <w:rFonts w:eastAsia="Times New Roman" w:cs="Times New Roman" w:ascii="Times New Roman" w:hAnsi="Times New Roman"/>
          <w:sz w:val="24"/>
          <w:szCs w:val="24"/>
          <w:lang w:bidi="ru-RU"/>
        </w:rPr>
        <w:t>осужденных к ограничению свободы;</w:t>
      </w:r>
    </w:p>
    <w:p>
      <w:pPr>
        <w:pStyle w:val="191"/>
        <w:shd w:val="clear" w:fill="auto"/>
        <w:spacing w:lineRule="auto" w:line="240" w:before="0" w:after="0"/>
        <w:ind w:firstLine="567" w:right="0"/>
        <w:jc w:val="both"/>
        <w:rPr>
          <w:rFonts w:ascii="Times New Roman" w:hAnsi="Times New Roman" w:eastAsia="Times New Roman" w:cs="Times New Roman"/>
          <w:sz w:val="24"/>
          <w:szCs w:val="24"/>
          <w:lang w:bidi="ru-RU"/>
        </w:rPr>
      </w:pPr>
      <w:r>
        <w:rPr>
          <w:rFonts w:eastAsia="Times New Roman" w:cs="Times New Roman" w:ascii="Times New Roman" w:hAnsi="Times New Roman"/>
          <w:sz w:val="24"/>
          <w:szCs w:val="24"/>
          <w:lang w:bidi="ru-RU"/>
        </w:rPr>
        <w:t>лиц, отбывающих наказание в виде ограничения свободы и других видов альтернативных наказаний и мер уголовно-правового характера, не связанных</w:t>
      </w:r>
      <w:r>
        <w:rPr>
          <w:rFonts w:eastAsia="Times New Roman" w:cs="Times New Roman" w:ascii="Times New Roman" w:hAnsi="Times New Roman"/>
          <w:sz w:val="24"/>
          <w:szCs w:val="24"/>
          <w:lang w:val="ru-RU" w:bidi="ru-RU"/>
        </w:rPr>
        <w:br/>
      </w:r>
      <w:r>
        <w:rPr>
          <w:rFonts w:eastAsia="Times New Roman" w:cs="Times New Roman" w:ascii="Times New Roman" w:hAnsi="Times New Roman"/>
          <w:sz w:val="24"/>
          <w:szCs w:val="24"/>
          <w:lang w:bidi="ru-RU"/>
        </w:rPr>
        <w:t>с лишением свободы;</w:t>
      </w:r>
    </w:p>
    <w:p>
      <w:pPr>
        <w:pStyle w:val="191"/>
        <w:shd w:val="clear" w:fill="auto"/>
        <w:spacing w:lineRule="auto" w:line="240" w:before="0" w:after="0"/>
        <w:ind w:firstLine="567" w:right="0"/>
        <w:jc w:val="both"/>
        <w:rPr>
          <w:rFonts w:ascii="Times New Roman" w:hAnsi="Times New Roman" w:eastAsia="Times New Roman" w:cs="Times New Roman"/>
          <w:sz w:val="24"/>
          <w:szCs w:val="24"/>
          <w:lang w:bidi="ru-RU"/>
        </w:rPr>
      </w:pPr>
      <w:r>
        <w:rPr>
          <w:rFonts w:eastAsia="Times New Roman" w:cs="Times New Roman" w:ascii="Times New Roman" w:hAnsi="Times New Roman"/>
          <w:sz w:val="24"/>
          <w:szCs w:val="24"/>
          <w:lang w:bidi="ru-RU"/>
        </w:rPr>
        <w:t>лиц, освобожденных условно-досрочно;</w:t>
      </w:r>
    </w:p>
    <w:p>
      <w:pPr>
        <w:pStyle w:val="191"/>
        <w:shd w:val="clear" w:fill="auto"/>
        <w:spacing w:lineRule="auto" w:line="240" w:before="0" w:after="0"/>
        <w:ind w:firstLine="567" w:right="0"/>
        <w:jc w:val="both"/>
        <w:rPr>
          <w:rFonts w:ascii="Times New Roman" w:hAnsi="Times New Roman" w:eastAsia="Times New Roman" w:cs="Times New Roman"/>
          <w:sz w:val="24"/>
          <w:szCs w:val="24"/>
          <w:lang w:bidi="ru-RU"/>
        </w:rPr>
      </w:pPr>
      <w:r>
        <w:rPr>
          <w:rFonts w:eastAsia="Times New Roman" w:cs="Times New Roman" w:ascii="Times New Roman" w:hAnsi="Times New Roman"/>
          <w:sz w:val="24"/>
          <w:szCs w:val="24"/>
          <w:lang w:bidi="ru-RU"/>
        </w:rPr>
        <w:t>подследственных, подозреваемых и обвиняемых лиц, ограниченных домашним арестом или имеющих обязанность ограничения перемещения;</w:t>
      </w:r>
    </w:p>
    <w:p>
      <w:pPr>
        <w:pStyle w:val="191"/>
        <w:shd w:val="clear" w:fill="auto"/>
        <w:spacing w:lineRule="auto" w:line="240" w:before="0" w:after="0"/>
        <w:ind w:firstLine="567" w:right="0"/>
        <w:jc w:val="both"/>
        <w:rPr>
          <w:rFonts w:ascii="Times New Roman" w:hAnsi="Times New Roman" w:eastAsia="Times New Roman" w:cs="Times New Roman"/>
          <w:iCs/>
          <w:sz w:val="24"/>
          <w:szCs w:val="24"/>
        </w:rPr>
      </w:pPr>
      <w:r>
        <w:rPr>
          <w:rFonts w:eastAsia="Times New Roman" w:cs="Times New Roman" w:ascii="Times New Roman" w:hAnsi="Times New Roman"/>
          <w:sz w:val="24"/>
          <w:szCs w:val="24"/>
          <w:lang w:bidi="ru-RU"/>
        </w:rPr>
        <w:t>других категорий лиц.</w:t>
      </w:r>
    </w:p>
    <w:p>
      <w:pPr>
        <w:pStyle w:val="191"/>
        <w:shd w:val="clear" w:fill="auto"/>
        <w:spacing w:lineRule="auto" w:line="240" w:before="0" w:after="0"/>
        <w:ind w:firstLine="567" w:right="0"/>
        <w:jc w:val="both"/>
        <w:rPr>
          <w:b/>
          <w:sz w:val="24"/>
          <w:szCs w:val="24"/>
        </w:rPr>
      </w:pPr>
      <w:r>
        <w:rPr>
          <w:rFonts w:eastAsia="Times New Roman" w:cs="Times New Roman" w:ascii="Times New Roman" w:hAnsi="Times New Roman"/>
          <w:iCs/>
          <w:sz w:val="24"/>
          <w:szCs w:val="24"/>
        </w:rPr>
        <w:t>СЭМПЛ является распределенной, многозвенной информационной системой, которая строится с использованием архитектуры клиент/сервер.</w:t>
      </w:r>
    </w:p>
    <w:p>
      <w:pPr>
        <w:pStyle w:val="Style33"/>
        <w:ind w:firstLine="567" w:left="0" w:right="0"/>
        <w:rPr>
          <w:sz w:val="24"/>
          <w:szCs w:val="24"/>
          <w:lang w:eastAsia="mr-IN" w:bidi="mr-IN"/>
        </w:rPr>
      </w:pPr>
      <w:r>
        <w:rPr>
          <w:b/>
          <w:sz w:val="24"/>
          <w:szCs w:val="24"/>
        </w:rPr>
        <w:t>Правовые основания использования СЭМПЛ</w:t>
      </w:r>
    </w:p>
    <w:p>
      <w:pPr>
        <w:pStyle w:val="Style33"/>
        <w:ind w:firstLine="567" w:left="0" w:right="0"/>
        <w:rPr>
          <w:sz w:val="24"/>
          <w:szCs w:val="24"/>
          <w:lang w:eastAsia="mr-IN" w:bidi="mr-IN"/>
        </w:rPr>
      </w:pPr>
      <w:r>
        <w:rPr>
          <w:sz w:val="24"/>
          <w:szCs w:val="24"/>
          <w:lang w:eastAsia="mr-IN" w:bidi="mr-IN"/>
        </w:rPr>
        <w:t>Федеральный закон Российской Федерации от 27.12.2009 № 377-ФЗ «О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Российской Федерации наказании в виде ограничения свободы».</w:t>
      </w:r>
    </w:p>
    <w:p>
      <w:pPr>
        <w:pStyle w:val="Style33"/>
        <w:ind w:firstLine="567" w:left="0" w:right="0"/>
        <w:rPr>
          <w:sz w:val="24"/>
          <w:szCs w:val="24"/>
          <w:lang w:eastAsia="mr-IN" w:bidi="mr-IN"/>
        </w:rPr>
      </w:pPr>
      <w:r>
        <w:rPr>
          <w:sz w:val="24"/>
          <w:szCs w:val="24"/>
          <w:lang w:eastAsia="mr-IN" w:bidi="mr-IN"/>
        </w:rPr>
        <w:t>Статья 60  Уголовно-исполнительного кодекса Российской Федерации предусматривает использование уголовно-исполнительными инспекциями аудиовизуальных, электронных и иных технических средств надзора и контроля, перечень которых определяется Правительством РФ.</w:t>
      </w:r>
      <w:r>
        <w:rPr>
          <w:b/>
          <w:sz w:val="24"/>
          <w:szCs w:val="24"/>
          <w:lang w:eastAsia="mr-IN" w:bidi="mr-IN"/>
        </w:rPr>
        <w:t> </w:t>
      </w:r>
    </w:p>
    <w:p>
      <w:pPr>
        <w:pStyle w:val="Style33"/>
        <w:ind w:firstLine="567" w:left="0" w:right="0"/>
        <w:rPr>
          <w:bCs/>
          <w:lang w:eastAsia="mr-IN" w:bidi="mr-IN"/>
        </w:rPr>
      </w:pPr>
      <w:r>
        <w:rPr>
          <w:sz w:val="24"/>
          <w:szCs w:val="24"/>
          <w:lang w:eastAsia="mr-IN" w:bidi="mr-IN"/>
        </w:rPr>
        <w:t>Постановление Правительства Российской Федерации от 31.03.2010 № 198 «Об утверждении перечня аудиовизуальных, электронных и иных технических средств надзора и контроля, используемых уголовно-исполнительными инспекциями Федеральной службы исполнения наказаний для обеспечения надзора за осужденными к наказанию в виде ограничения свободы».</w:t>
      </w:r>
    </w:p>
    <w:p>
      <w:pPr>
        <w:pStyle w:val="Normal"/>
        <w:ind w:firstLine="567" w:right="0"/>
        <w:jc w:val="both"/>
        <w:rPr>
          <w:sz w:val="24"/>
          <w:szCs w:val="24"/>
          <w:lang w:eastAsia="mr-IN" w:bidi="mr-IN"/>
        </w:rPr>
      </w:pPr>
      <w:r>
        <w:rPr>
          <w:bCs/>
          <w:lang w:eastAsia="mr-IN" w:bidi="mr-IN"/>
        </w:rPr>
        <w:t>Постановление Правительства Р</w:t>
      </w:r>
      <w:r>
        <w:rPr>
          <w:lang w:eastAsia="mr-IN" w:bidi="mr-IN"/>
        </w:rPr>
        <w:t xml:space="preserve">оссийской Федерации </w:t>
      </w:r>
      <w:r>
        <w:rPr/>
        <w:t>от 04.06.2012 № 553 «Об утверждении перечня аудиовизуальных, электронных и иных технических средств надзора и контроля, используемых исправительными центрами для предупреждения преступлений, нарушений порядка и условий отбывания принудительных работ и для получения необходимой информации о поведении осужденных к принудительным работам».</w:t>
      </w:r>
    </w:p>
    <w:p>
      <w:pPr>
        <w:pStyle w:val="Style33"/>
        <w:ind w:firstLine="567" w:left="0" w:right="0"/>
        <w:rPr>
          <w:b/>
          <w:sz w:val="24"/>
          <w:szCs w:val="24"/>
        </w:rPr>
      </w:pPr>
      <w:r>
        <w:rPr>
          <w:sz w:val="24"/>
          <w:szCs w:val="24"/>
          <w:lang w:eastAsia="mr-IN" w:bidi="mr-IN"/>
        </w:rPr>
        <w:t xml:space="preserve">Постановление Правительства Российской Федерации </w:t>
      </w:r>
      <w:r>
        <w:rPr>
          <w:sz w:val="24"/>
          <w:szCs w:val="24"/>
        </w:rPr>
        <w:t>от 18.02.2013 № 134 «О порядке применения аудиовизуальных, электронных и иных технических средств контроля, которые могут использоваться в целях осуществления контроля за нахождением подозреваемого или обвиняемого в месте исполнения меры пресечения в виде домашнего ареста</w:t>
      </w:r>
      <w:r>
        <w:rPr>
          <w:sz w:val="24"/>
          <w:szCs w:val="24"/>
          <w:lang w:val="ru-RU"/>
        </w:rPr>
        <w:t xml:space="preserve"> </w:t>
      </w:r>
      <w:r>
        <w:rPr>
          <w:sz w:val="24"/>
          <w:szCs w:val="24"/>
        </w:rPr>
        <w:t>и за соблюдением им наложенных судом запретов и (или) ограничений»</w:t>
      </w:r>
    </w:p>
    <w:p>
      <w:pPr>
        <w:pStyle w:val="Style33"/>
        <w:ind w:firstLine="567" w:left="0" w:right="0"/>
        <w:rPr>
          <w:iCs/>
          <w:sz w:val="24"/>
          <w:szCs w:val="24"/>
        </w:rPr>
      </w:pPr>
      <w:r>
        <w:rPr>
          <w:b/>
          <w:sz w:val="24"/>
          <w:szCs w:val="24"/>
        </w:rPr>
        <w:t>Структура системы</w:t>
      </w:r>
    </w:p>
    <w:p>
      <w:pPr>
        <w:pStyle w:val="Style33"/>
        <w:ind w:firstLine="567" w:left="0" w:right="0"/>
        <w:rPr>
          <w:iCs/>
          <w:sz w:val="24"/>
          <w:szCs w:val="24"/>
        </w:rPr>
      </w:pPr>
      <w:r>
        <w:rPr>
          <w:iCs/>
          <w:sz w:val="24"/>
          <w:szCs w:val="24"/>
        </w:rPr>
        <w:t>СЭМПЛ включает следующие компоненты:</w:t>
      </w:r>
    </w:p>
    <w:p>
      <w:pPr>
        <w:pStyle w:val="Style33"/>
        <w:ind w:firstLine="567" w:left="0" w:right="0"/>
        <w:rPr>
          <w:iCs/>
          <w:sz w:val="24"/>
          <w:szCs w:val="24"/>
        </w:rPr>
      </w:pPr>
      <w:r>
        <w:rPr>
          <w:iCs/>
          <w:sz w:val="24"/>
          <w:szCs w:val="24"/>
        </w:rPr>
        <w:t>коммуникационная подсистема, реализующая информационный протокол обмена данными с контрольными устройствами, а также обеспечивающая первичное хранение полученных данных;</w:t>
      </w:r>
    </w:p>
    <w:p>
      <w:pPr>
        <w:pStyle w:val="Style33"/>
        <w:ind w:firstLine="567" w:left="0" w:right="0"/>
        <w:rPr>
          <w:iCs/>
          <w:sz w:val="24"/>
          <w:szCs w:val="24"/>
        </w:rPr>
      </w:pPr>
      <w:r>
        <w:rPr>
          <w:iCs/>
          <w:sz w:val="24"/>
          <w:szCs w:val="24"/>
        </w:rPr>
        <w:t>подсистема хранения обработанных данных мониторинга;</w:t>
      </w:r>
    </w:p>
    <w:p>
      <w:pPr>
        <w:pStyle w:val="Style33"/>
        <w:ind w:firstLine="567" w:left="0" w:right="0"/>
        <w:rPr>
          <w:iCs/>
          <w:sz w:val="24"/>
          <w:szCs w:val="24"/>
        </w:rPr>
      </w:pPr>
      <w:r>
        <w:rPr>
          <w:iCs/>
          <w:sz w:val="24"/>
          <w:szCs w:val="24"/>
        </w:rPr>
        <w:t>подсистема обработки данных (сервер приложений);</w:t>
      </w:r>
    </w:p>
    <w:p>
      <w:pPr>
        <w:pStyle w:val="Style33"/>
        <w:ind w:firstLine="567" w:left="0" w:right="0"/>
        <w:rPr>
          <w:iCs/>
          <w:sz w:val="24"/>
          <w:szCs w:val="24"/>
        </w:rPr>
      </w:pPr>
      <w:r>
        <w:rPr>
          <w:iCs/>
          <w:sz w:val="24"/>
          <w:szCs w:val="24"/>
        </w:rPr>
        <w:t>картографическая подсистема;</w:t>
      </w:r>
    </w:p>
    <w:p>
      <w:pPr>
        <w:pStyle w:val="Style33"/>
        <w:ind w:firstLine="567" w:left="0" w:right="0"/>
        <w:rPr>
          <w:iCs/>
          <w:sz w:val="24"/>
          <w:szCs w:val="24"/>
        </w:rPr>
      </w:pPr>
      <w:r>
        <w:rPr>
          <w:iCs/>
          <w:sz w:val="24"/>
          <w:szCs w:val="24"/>
        </w:rPr>
        <w:t>клиентское приложение, развернутое на автоматизированном рабочем месте администратора сервера мониторинга территориального органа</w:t>
      </w:r>
      <w:r>
        <w:rPr>
          <w:iCs/>
          <w:sz w:val="24"/>
          <w:szCs w:val="24"/>
          <w:lang w:val="ru-RU"/>
        </w:rPr>
        <w:t xml:space="preserve"> </w:t>
      </w:r>
      <w:r>
        <w:rPr>
          <w:iCs/>
          <w:sz w:val="24"/>
          <w:szCs w:val="24"/>
        </w:rPr>
        <w:t>ФСИН</w:t>
      </w:r>
      <w:r>
        <w:rPr>
          <w:iCs/>
          <w:sz w:val="24"/>
          <w:szCs w:val="24"/>
          <w:lang w:val="ru-RU"/>
        </w:rPr>
        <w:t xml:space="preserve"> </w:t>
      </w:r>
      <w:r>
        <w:rPr>
          <w:iCs/>
          <w:sz w:val="24"/>
          <w:szCs w:val="24"/>
        </w:rPr>
        <w:t>России позволяет вносить в систему и удалять из неё подконтрольных лиц, регистрировать в системе новое оборудование и активировать его, управлять правами доступа пользователей;</w:t>
      </w:r>
    </w:p>
    <w:p>
      <w:pPr>
        <w:pStyle w:val="Style33"/>
        <w:ind w:firstLine="567" w:left="0" w:right="0"/>
        <w:rPr>
          <w:iCs/>
          <w:sz w:val="24"/>
          <w:szCs w:val="24"/>
        </w:rPr>
      </w:pPr>
      <w:r>
        <w:rPr>
          <w:iCs/>
          <w:sz w:val="24"/>
          <w:szCs w:val="24"/>
        </w:rPr>
        <w:t xml:space="preserve">клиентское приложение, развернутое на автоматизированном рабочем месте оператора стационарного пульта мониторинга позволяет назначать подконтрольным лицам ограничения, контролировать их исполнение </w:t>
      </w:r>
      <w:r>
        <w:rPr>
          <w:iCs/>
          <w:sz w:val="24"/>
          <w:szCs w:val="24"/>
          <w:lang w:val="ru-RU"/>
        </w:rPr>
        <w:t xml:space="preserve"> </w:t>
      </w:r>
      <w:r>
        <w:rPr>
          <w:iCs/>
          <w:sz w:val="24"/>
          <w:szCs w:val="24"/>
        </w:rPr>
        <w:t>и формировать отчеты</w:t>
      </w:r>
      <w:r>
        <w:rPr>
          <w:iCs/>
          <w:sz w:val="24"/>
          <w:szCs w:val="24"/>
          <w:lang w:val="ru-RU"/>
        </w:rPr>
        <w:br/>
      </w:r>
      <w:r>
        <w:rPr>
          <w:iCs/>
          <w:sz w:val="24"/>
          <w:szCs w:val="24"/>
        </w:rPr>
        <w:t>на основе данных мониторинга;</w:t>
      </w:r>
    </w:p>
    <w:p>
      <w:pPr>
        <w:pStyle w:val="Style33"/>
        <w:ind w:firstLine="567" w:left="0" w:right="0"/>
        <w:rPr>
          <w:iCs/>
          <w:sz w:val="24"/>
          <w:szCs w:val="24"/>
        </w:rPr>
      </w:pPr>
      <w:r>
        <w:rPr>
          <w:iCs/>
          <w:sz w:val="24"/>
          <w:szCs w:val="24"/>
        </w:rPr>
        <w:t>оконечное оборудование: мобильное контрольное устройство, стационарное контрольное устройство, электронный браслет, устройство активации.</w:t>
      </w:r>
    </w:p>
    <w:p>
      <w:pPr>
        <w:pStyle w:val="Normal"/>
        <w:widowControl w:val="false"/>
        <w:shd w:val="clear" w:fill="FFFFFF"/>
        <w:tabs>
          <w:tab w:val="clear" w:pos="708"/>
          <w:tab w:val="left" w:pos="0" w:leader="none"/>
        </w:tabs>
        <w:ind w:firstLine="567" w:right="0"/>
        <w:jc w:val="both"/>
        <w:rPr/>
      </w:pPr>
      <w:r>
        <w:rPr/>
        <w:t>Гарантийный срок поставщика и производителя на товар должен быть</w:t>
        <w:br/>
        <w:t>не менее 12 (Двенадцати) месяцев с момента поставки товара.</w:t>
      </w:r>
    </w:p>
    <w:p>
      <w:pPr>
        <w:pStyle w:val="Normal"/>
        <w:widowControl w:val="false"/>
        <w:shd w:val="clear" w:fill="FFFFFF"/>
        <w:tabs>
          <w:tab w:val="clear" w:pos="708"/>
          <w:tab w:val="left" w:pos="0" w:leader="none"/>
        </w:tabs>
        <w:ind w:firstLine="567" w:right="0"/>
        <w:jc w:val="both"/>
        <w:rPr/>
      </w:pPr>
      <w:r>
        <w:rPr/>
        <w:t>Срок действия гарантии Поставщика должен быть не меньше, чем срок действия гарантии производителя данного товара.</w:t>
      </w:r>
    </w:p>
    <w:p>
      <w:pPr>
        <w:pStyle w:val="Normal"/>
        <w:widowControl w:val="false"/>
        <w:shd w:val="clear" w:fill="FFFFFF"/>
        <w:tabs>
          <w:tab w:val="clear" w:pos="708"/>
          <w:tab w:val="left" w:pos="0" w:leader="none"/>
        </w:tabs>
        <w:ind w:firstLine="567" w:right="0"/>
        <w:jc w:val="both"/>
        <w:rPr/>
      </w:pPr>
      <w:r>
        <w:rPr/>
        <w:t>Ремни и комплект замка базовой версии ЭБ предназначены для однократного использования, ремень модернизированного ЭБ предназначен для многоразового использования.</w:t>
      </w:r>
    </w:p>
    <w:p>
      <w:pPr>
        <w:pStyle w:val="Normal"/>
        <w:tabs>
          <w:tab w:val="clear" w:pos="708"/>
          <w:tab w:val="left" w:pos="0" w:leader="none"/>
        </w:tabs>
        <w:ind w:firstLine="567" w:right="0"/>
        <w:jc w:val="both"/>
        <w:rPr>
          <w:b/>
          <w:bCs/>
        </w:rPr>
      </w:pPr>
      <w:r>
        <w:rPr/>
        <w:t>Ремни, соответствующие данному техническому заданию, должны быть взаимозаменяемыми с ремнями, в модернизированных электронных браслетах, эксплуатируемых во ФСИН России.</w:t>
      </w:r>
    </w:p>
    <w:p>
      <w:pPr>
        <w:pStyle w:val="Normal"/>
        <w:keepNext w:val="true"/>
        <w:widowControl w:val="false"/>
        <w:tabs>
          <w:tab w:val="clear" w:pos="708"/>
          <w:tab w:val="left" w:pos="0" w:leader="none"/>
        </w:tabs>
        <w:ind w:firstLine="567" w:right="0"/>
        <w:jc w:val="both"/>
        <w:rPr>
          <w:b/>
          <w:bCs/>
        </w:rPr>
      </w:pPr>
      <w:r>
        <w:rPr>
          <w:b/>
          <w:bCs/>
        </w:rPr>
        <w:t>4. Требования к ремням модернизированного ЭБ</w:t>
      </w:r>
    </w:p>
    <w:p>
      <w:pPr>
        <w:pStyle w:val="Normal"/>
        <w:widowControl w:val="false"/>
        <w:ind w:firstLine="567" w:right="0"/>
        <w:jc w:val="both"/>
        <w:rPr>
          <w:bCs w:val="false"/>
          <w:color w:val="000000"/>
          <w:sz w:val="24"/>
          <w:szCs w:val="24"/>
        </w:rPr>
      </w:pPr>
      <w:r>
        <w:rPr/>
        <w:t>4.1 Ремни модернизированной версии ЭБ должны поставляться в следующем количестве:</w:t>
      </w:r>
    </w:p>
    <w:p>
      <w:pPr>
        <w:pStyle w:val="43"/>
        <w:ind w:firstLine="567" w:left="0" w:right="0"/>
        <w:rPr>
          <w:bCs w:val="false"/>
          <w:color w:val="000000"/>
          <w:sz w:val="24"/>
          <w:szCs w:val="24"/>
        </w:rPr>
      </w:pPr>
      <w:r>
        <w:rPr>
          <w:bCs w:val="false"/>
          <w:color w:val="000000"/>
          <w:sz w:val="24"/>
          <w:szCs w:val="24"/>
        </w:rPr>
        <w:t>4.2. Ремни, для модернизированного ЭБ, должны иметь разную длину для обеспечения индивидуального подбора к каждому подконтрольному лицу.</w:t>
      </w:r>
    </w:p>
    <w:p>
      <w:pPr>
        <w:pStyle w:val="43"/>
        <w:ind w:firstLine="567" w:left="0" w:right="0"/>
        <w:rPr>
          <w:bCs w:val="false"/>
          <w:color w:val="000000"/>
          <w:sz w:val="24"/>
          <w:szCs w:val="24"/>
        </w:rPr>
      </w:pPr>
      <w:r>
        <w:rPr>
          <w:bCs w:val="false"/>
          <w:color w:val="000000"/>
          <w:sz w:val="24"/>
          <w:szCs w:val="24"/>
        </w:rPr>
        <w:t>4.3. Ремни должны обеспечивать механическое крепление ЭБ на подконтрольном лице.</w:t>
      </w:r>
    </w:p>
    <w:p>
      <w:pPr>
        <w:pStyle w:val="43"/>
        <w:ind w:firstLine="567" w:left="0" w:right="0"/>
        <w:rPr>
          <w:bCs w:val="false"/>
          <w:color w:val="000000"/>
          <w:sz w:val="24"/>
          <w:szCs w:val="24"/>
        </w:rPr>
      </w:pPr>
      <w:r>
        <w:rPr>
          <w:bCs w:val="false"/>
          <w:color w:val="000000"/>
          <w:sz w:val="24"/>
          <w:szCs w:val="24"/>
        </w:rPr>
        <w:t xml:space="preserve">4.4. Ремни должны создавать замкнутую электрическую цепь с контактами на корпусе ЭБ посредством: </w:t>
      </w:r>
    </w:p>
    <w:p>
      <w:pPr>
        <w:pStyle w:val="43"/>
        <w:ind w:firstLine="567" w:left="0" w:right="0"/>
        <w:rPr>
          <w:bCs w:val="false"/>
          <w:color w:val="000000"/>
          <w:sz w:val="24"/>
          <w:szCs w:val="24"/>
        </w:rPr>
      </w:pPr>
      <w:r>
        <w:rPr>
          <w:bCs w:val="false"/>
          <w:color w:val="000000"/>
          <w:sz w:val="24"/>
          <w:szCs w:val="24"/>
        </w:rPr>
        <w:t>-</w:t>
      </w:r>
      <w:r>
        <w:rPr>
          <w:color w:val="000000"/>
          <w:sz w:val="24"/>
          <w:szCs w:val="24"/>
        </w:rPr>
        <w:t> </w:t>
      </w:r>
      <w:r>
        <w:rPr>
          <w:bCs w:val="false"/>
          <w:color w:val="000000"/>
          <w:sz w:val="24"/>
          <w:szCs w:val="24"/>
        </w:rPr>
        <w:t>закрытых разъёмных контактов для смыкания ремня с корпусом ЭБ;</w:t>
      </w:r>
    </w:p>
    <w:p>
      <w:pPr>
        <w:pStyle w:val="43"/>
        <w:ind w:firstLine="567" w:left="0" w:right="0"/>
        <w:rPr>
          <w:bCs w:val="false"/>
          <w:color w:val="000000"/>
          <w:sz w:val="24"/>
          <w:szCs w:val="24"/>
        </w:rPr>
      </w:pPr>
      <w:r>
        <w:rPr>
          <w:bCs w:val="false"/>
          <w:color w:val="000000"/>
          <w:sz w:val="24"/>
          <w:szCs w:val="24"/>
        </w:rPr>
        <w:t>- электрических проводников внутри ремня без использования промежуточных соединителей.</w:t>
      </w:r>
    </w:p>
    <w:p>
      <w:pPr>
        <w:pStyle w:val="43"/>
        <w:ind w:firstLine="567" w:left="0" w:right="0"/>
        <w:rPr>
          <w:bCs w:val="false"/>
          <w:color w:val="000000"/>
          <w:sz w:val="24"/>
          <w:szCs w:val="24"/>
        </w:rPr>
      </w:pPr>
      <w:r>
        <w:rPr>
          <w:bCs w:val="false"/>
          <w:color w:val="000000"/>
          <w:sz w:val="24"/>
          <w:szCs w:val="24"/>
        </w:rPr>
        <w:t xml:space="preserve">4.5. Ремни должны обеспечивать жесткое разъемное сопряжение </w:t>
        <w:br/>
        <w:t xml:space="preserve">с корпусом ЭБ четырьмя шпильками, изготовленными из нержавеющей стали, </w:t>
        <w:br/>
        <w:t>с наружной резьбой М3.</w:t>
      </w:r>
    </w:p>
    <w:p>
      <w:pPr>
        <w:pStyle w:val="43"/>
        <w:ind w:firstLine="567" w:left="0" w:right="0"/>
        <w:rPr>
          <w:bCs w:val="false"/>
          <w:color w:val="000000"/>
          <w:sz w:val="24"/>
          <w:szCs w:val="24"/>
        </w:rPr>
      </w:pPr>
      <w:r>
        <w:rPr>
          <w:bCs w:val="false"/>
          <w:color w:val="000000"/>
          <w:sz w:val="24"/>
          <w:szCs w:val="24"/>
        </w:rPr>
        <w:t>4.6. Ремни должны крепиться к корпусу ЭБ закрученными на шпильки специальными гайками.</w:t>
      </w:r>
    </w:p>
    <w:p>
      <w:pPr>
        <w:pStyle w:val="43"/>
        <w:ind w:firstLine="567" w:left="0" w:right="0"/>
        <w:rPr>
          <w:bCs w:val="false"/>
          <w:color w:val="000000"/>
          <w:sz w:val="24"/>
          <w:szCs w:val="24"/>
        </w:rPr>
      </w:pPr>
      <w:r>
        <w:rPr>
          <w:bCs w:val="false"/>
          <w:color w:val="000000"/>
          <w:sz w:val="24"/>
          <w:szCs w:val="24"/>
        </w:rPr>
        <w:t>4.7. Закручивание и откручивание специальных гаек должно производится специальным инструментом.</w:t>
      </w:r>
    </w:p>
    <w:p>
      <w:pPr>
        <w:pStyle w:val="43"/>
        <w:ind w:firstLine="567" w:left="0" w:right="0"/>
        <w:rPr>
          <w:bCs w:val="false"/>
          <w:color w:val="000000"/>
          <w:sz w:val="24"/>
          <w:szCs w:val="24"/>
        </w:rPr>
      </w:pPr>
      <w:r>
        <w:rPr>
          <w:bCs w:val="false"/>
          <w:color w:val="000000"/>
          <w:sz w:val="24"/>
          <w:szCs w:val="24"/>
        </w:rPr>
        <w:t xml:space="preserve">4.8. Демонтаж ремней методом откручивания специальных гаек, как сотрудником УИС, так и в случае несанкционированного вмешательства подконтрольным лицом, должно приводить к разрушению номерной крышки-пломбы модернизированного ЭБ. </w:t>
      </w:r>
    </w:p>
    <w:p>
      <w:pPr>
        <w:pStyle w:val="43"/>
        <w:ind w:firstLine="567" w:left="0" w:right="0"/>
        <w:rPr>
          <w:bCs w:val="false"/>
          <w:color w:val="000000"/>
          <w:sz w:val="24"/>
          <w:szCs w:val="24"/>
        </w:rPr>
      </w:pPr>
      <w:r>
        <w:rPr>
          <w:bCs w:val="false"/>
          <w:color w:val="000000"/>
          <w:sz w:val="24"/>
          <w:szCs w:val="24"/>
        </w:rPr>
        <w:t>4.9. Ремни должны быть симметричны относительно осевой линии по ширине.</w:t>
      </w:r>
    </w:p>
    <w:p>
      <w:pPr>
        <w:pStyle w:val="43"/>
        <w:ind w:firstLine="567" w:left="0" w:right="0"/>
        <w:rPr>
          <w:bCs w:val="false"/>
          <w:color w:val="000000"/>
          <w:sz w:val="24"/>
          <w:szCs w:val="24"/>
        </w:rPr>
      </w:pPr>
      <w:r>
        <w:rPr>
          <w:bCs w:val="false"/>
          <w:color w:val="000000"/>
          <w:sz w:val="24"/>
          <w:szCs w:val="24"/>
        </w:rPr>
        <w:t>410. Межцентровое расстояние между шпильками отверстий на ремнях под крепление винтами должно составлять (14±0,1) мм.</w:t>
      </w:r>
    </w:p>
    <w:p>
      <w:pPr>
        <w:pStyle w:val="43"/>
        <w:ind w:firstLine="567" w:left="0" w:right="0"/>
        <w:rPr>
          <w:bCs w:val="false"/>
          <w:color w:val="000000"/>
          <w:sz w:val="24"/>
          <w:szCs w:val="24"/>
        </w:rPr>
      </w:pPr>
      <w:r>
        <w:rPr>
          <w:bCs w:val="false"/>
          <w:color w:val="000000"/>
          <w:sz w:val="24"/>
          <w:szCs w:val="24"/>
        </w:rPr>
        <w:t>4.11. Межцентровое расстояние между контактами ремней для смыкания ремня с корпусом должно составлять (4±0,2) мм.</w:t>
      </w:r>
    </w:p>
    <w:p>
      <w:pPr>
        <w:pStyle w:val="43"/>
        <w:ind w:firstLine="567" w:left="0" w:right="0"/>
        <w:rPr>
          <w:bCs w:val="false"/>
          <w:color w:val="000000"/>
          <w:sz w:val="24"/>
          <w:szCs w:val="24"/>
        </w:rPr>
      </w:pPr>
      <w:r>
        <w:rPr>
          <w:bCs w:val="false"/>
          <w:color w:val="000000"/>
          <w:sz w:val="24"/>
          <w:szCs w:val="24"/>
        </w:rPr>
        <w:t>4.12. Часть ремня, сочленяемая с корпусом модернизированного ЭБ, должна предохранять разъемные электрические контакты от агрессивного внешнего воздействия.</w:t>
      </w:r>
    </w:p>
    <w:p>
      <w:pPr>
        <w:pStyle w:val="43"/>
        <w:ind w:firstLine="567" w:left="0" w:right="0"/>
        <w:rPr>
          <w:bCs w:val="false"/>
          <w:color w:val="000000"/>
          <w:sz w:val="24"/>
          <w:szCs w:val="24"/>
        </w:rPr>
      </w:pPr>
      <w:r>
        <w:rPr>
          <w:bCs w:val="false"/>
          <w:color w:val="000000"/>
          <w:sz w:val="24"/>
          <w:szCs w:val="24"/>
        </w:rPr>
        <w:t>4.13. Ремни должны позволять подконтрольному лицу выполнять физические действия, не запрещенные руководством по эксплуатации на изделие, в том числе гигиенические процедуры.</w:t>
      </w:r>
    </w:p>
    <w:p>
      <w:pPr>
        <w:pStyle w:val="43"/>
        <w:ind w:firstLine="567" w:left="0" w:right="0"/>
        <w:rPr>
          <w:bCs w:val="false"/>
          <w:color w:val="000000"/>
          <w:sz w:val="24"/>
          <w:szCs w:val="24"/>
        </w:rPr>
      </w:pPr>
      <w:r>
        <w:rPr>
          <w:bCs w:val="false"/>
          <w:color w:val="000000"/>
          <w:sz w:val="24"/>
          <w:szCs w:val="24"/>
        </w:rPr>
        <w:t>4.14. Ремень должен иметь вес не более 30 г.</w:t>
      </w:r>
    </w:p>
    <w:p>
      <w:pPr>
        <w:pStyle w:val="43"/>
        <w:ind w:firstLine="567" w:left="0" w:right="0"/>
        <w:rPr>
          <w:bCs w:val="false"/>
          <w:color w:val="000000"/>
          <w:sz w:val="24"/>
          <w:szCs w:val="24"/>
        </w:rPr>
      </w:pPr>
      <w:r>
        <w:rPr>
          <w:bCs w:val="false"/>
          <w:color w:val="000000"/>
          <w:sz w:val="24"/>
          <w:szCs w:val="24"/>
        </w:rPr>
        <w:t>4.15. Ремни должны иметь длину 224, с допуском ±2 мм, ширину не более 20 мм и толщину не более 3,5 мм по рабочей длине, ширину не более 33 мм и толщину не более 11 мм без учета длины шпильки в точках крепления к ЭБ.</w:t>
      </w:r>
    </w:p>
    <w:p>
      <w:pPr>
        <w:pStyle w:val="43"/>
        <w:ind w:firstLine="567" w:left="0" w:right="0"/>
        <w:rPr>
          <w:bCs w:val="false"/>
          <w:color w:val="000000"/>
          <w:sz w:val="24"/>
          <w:szCs w:val="24"/>
        </w:rPr>
      </w:pPr>
      <w:r>
        <w:rPr>
          <w:bCs w:val="false"/>
          <w:color w:val="000000"/>
          <w:sz w:val="24"/>
          <w:szCs w:val="24"/>
        </w:rPr>
        <w:t>4.16. В закреплённом состоянии ЭБ с ремнем не должен иметь выступающих острых торцов и кромок.</w:t>
      </w:r>
    </w:p>
    <w:p>
      <w:pPr>
        <w:pStyle w:val="43"/>
        <w:ind w:firstLine="567" w:left="0" w:right="0"/>
        <w:rPr>
          <w:bCs w:val="false"/>
          <w:color w:val="000000"/>
          <w:sz w:val="24"/>
          <w:szCs w:val="24"/>
        </w:rPr>
      </w:pPr>
      <w:r>
        <w:rPr>
          <w:bCs w:val="false"/>
          <w:color w:val="000000"/>
          <w:sz w:val="24"/>
          <w:szCs w:val="24"/>
        </w:rPr>
        <w:t>4.17. Ремень должен выдерживать нагрузку на разрыв не менее 5 кг при одновременном кручении на 360 градусов в обе стороны не менее 100 циклов без нарушения целостности электрической цепи.</w:t>
      </w:r>
    </w:p>
    <w:p>
      <w:pPr>
        <w:pStyle w:val="43"/>
        <w:ind w:firstLine="567" w:left="0" w:right="0"/>
        <w:rPr>
          <w:bCs w:val="false"/>
          <w:color w:val="000000"/>
          <w:sz w:val="24"/>
          <w:szCs w:val="24"/>
        </w:rPr>
      </w:pPr>
      <w:r>
        <w:rPr>
          <w:bCs w:val="false"/>
          <w:color w:val="000000"/>
          <w:sz w:val="24"/>
          <w:szCs w:val="24"/>
        </w:rPr>
        <w:t>4.18. Ремни должны допускать возможность его очистки бытовыми моющими средствами.</w:t>
      </w:r>
    </w:p>
    <w:p>
      <w:pPr>
        <w:pStyle w:val="43"/>
        <w:ind w:firstLine="567" w:left="0" w:right="0"/>
        <w:rPr>
          <w:bCs w:val="false"/>
          <w:color w:val="000000"/>
          <w:sz w:val="24"/>
          <w:szCs w:val="24"/>
        </w:rPr>
      </w:pPr>
      <w:r>
        <w:rPr>
          <w:bCs w:val="false"/>
          <w:color w:val="000000"/>
          <w:sz w:val="24"/>
          <w:szCs w:val="24"/>
        </w:rPr>
        <w:t xml:space="preserve">4.19. Материал ремней должен соответствовать Единым санитарно-эпидемиологическим и гигиеническим требованиям к товарам, подлежащим санитарно-эпидемиологическому надзору, и допускает возможность непосредственного длительного контакта с кожей человека, не вызывает аллергических реакций, не вредит здоровью подконтрольного лица, не вредит окружающей среде. </w:t>
      </w:r>
    </w:p>
    <w:p>
      <w:pPr>
        <w:pStyle w:val="43"/>
        <w:tabs>
          <w:tab w:val="left" w:pos="708" w:leader="none"/>
          <w:tab w:val="left" w:pos="1843" w:leader="none"/>
        </w:tabs>
        <w:ind w:firstLine="567" w:left="0" w:right="0"/>
        <w:rPr>
          <w:b/>
          <w:bCs/>
        </w:rPr>
      </w:pPr>
      <w:r>
        <w:rPr>
          <w:bCs w:val="false"/>
          <w:color w:val="000000"/>
          <w:sz w:val="24"/>
          <w:szCs w:val="24"/>
        </w:rPr>
        <w:t>4.20. Цвет ремней должен быть черный.</w:t>
      </w:r>
    </w:p>
    <w:p>
      <w:pPr>
        <w:pStyle w:val="Normal"/>
        <w:keepNext w:val="true"/>
        <w:widowControl w:val="false"/>
        <w:tabs>
          <w:tab w:val="clear" w:pos="708"/>
          <w:tab w:val="left" w:pos="0" w:leader="none"/>
        </w:tabs>
        <w:ind w:firstLine="567" w:right="0"/>
        <w:jc w:val="both"/>
        <w:rPr>
          <w:b/>
          <w:bCs/>
        </w:rPr>
      </w:pPr>
      <w:r>
        <w:rPr>
          <w:b/>
          <w:bCs/>
        </w:rPr>
        <w:t xml:space="preserve">5. Частная методика проверки ремней и комплекта замка </w:t>
        <w:br/>
        <w:t>на кручение при растяжении</w:t>
      </w:r>
    </w:p>
    <w:p>
      <w:pPr>
        <w:pStyle w:val="Normal"/>
        <w:ind w:firstLine="567" w:right="0"/>
        <w:jc w:val="both"/>
        <w:rPr/>
      </w:pPr>
      <w:r>
        <w:rPr/>
        <w:t>5.1. Отобрать из партии два ремня одинаковой длины.</w:t>
      </w:r>
    </w:p>
    <w:p>
      <w:pPr>
        <w:pStyle w:val="Normal"/>
        <w:ind w:firstLine="567" w:right="0"/>
        <w:jc w:val="both"/>
        <w:rPr/>
      </w:pPr>
      <w:r>
        <w:rPr/>
        <w:t>5.2. Замкнуть между собой цанговые контакты на одном из ремней, используя проволочную перемычку.</w:t>
      </w:r>
    </w:p>
    <w:p>
      <w:pPr>
        <w:pStyle w:val="Normal"/>
        <w:ind w:firstLine="567" w:right="0"/>
        <w:jc w:val="both"/>
        <w:rPr/>
      </w:pPr>
      <w:r>
        <w:rPr/>
        <w:t>5.3. Проконтролировать наличие замкнутой электрической цепи мультиметром на цанговых контактах второго ремня. Сопротивление электрической цепи должно быть не более 100 Ом.</w:t>
      </w:r>
    </w:p>
    <w:p>
      <w:pPr>
        <w:pStyle w:val="Normal"/>
        <w:ind w:firstLine="567" w:right="0"/>
        <w:jc w:val="both"/>
        <w:rPr/>
      </w:pPr>
      <w:r>
        <w:rPr/>
        <w:t>5.4. Приложить к концам ремней растягивающее усилие величиной 5 кг.</w:t>
      </w:r>
    </w:p>
    <w:p>
      <w:pPr>
        <w:pStyle w:val="Normal"/>
        <w:ind w:firstLine="567" w:right="0"/>
        <w:jc w:val="both"/>
        <w:rPr/>
      </w:pPr>
      <w:r>
        <w:rPr/>
        <w:t>5.5. Скручивать ремни с установленным комплектом замка на угол 360 градусов в обе стороны от начального положения, одновременно контролируя сопротивление электрической цепи.</w:t>
      </w:r>
    </w:p>
    <w:p>
      <w:pPr>
        <w:pStyle w:val="Normal"/>
        <w:ind w:firstLine="567" w:right="0"/>
        <w:jc w:val="both"/>
        <w:rPr>
          <w:b/>
        </w:rPr>
      </w:pPr>
      <w:r>
        <w:rPr/>
        <w:t>5.7. Ремни считаются выдержавшими испытания, если в течение 100 циклов кручения сопротивление электрической цепи не превышало 100 Ом.</w:t>
      </w:r>
    </w:p>
    <w:p>
      <w:pPr>
        <w:pStyle w:val="Normal"/>
        <w:ind w:firstLine="567" w:right="0"/>
        <w:jc w:val="both"/>
        <w:rPr>
          <w:b/>
        </w:rPr>
      </w:pPr>
      <w:r>
        <w:rPr>
          <w:b/>
        </w:rPr>
        <w:t>Примечания.</w:t>
      </w:r>
    </w:p>
    <w:p>
      <w:pPr>
        <w:pStyle w:val="Normal"/>
        <w:ind w:firstLine="567" w:right="0"/>
        <w:jc w:val="both"/>
        <w:rPr>
          <w:bCs/>
        </w:rPr>
      </w:pPr>
      <w:r>
        <w:rPr/>
        <w:t>Проверке подвергаются ремни каждой длины.</w:t>
      </w:r>
    </w:p>
    <w:p>
      <w:pPr>
        <w:pStyle w:val="Normal"/>
        <w:ind w:firstLine="567" w:right="0"/>
        <w:jc w:val="both"/>
        <w:rPr>
          <w:bCs/>
        </w:rPr>
      </w:pPr>
      <w:r>
        <w:rPr>
          <w:bCs/>
        </w:rPr>
        <w:t xml:space="preserve">Для проверки технических характеристик, требований к ремням </w:t>
        <w:br/>
        <w:t xml:space="preserve">Государственный заказчик предоставляет два модернизированных ЭБ, один </w:t>
        <w:br/>
        <w:t xml:space="preserve">из которых активизирован и зарегистрирован на сервере мониторинга для работы с </w:t>
      </w:r>
      <w:r>
        <w:rPr/>
        <w:t>МКУ</w:t>
      </w:r>
      <w:r>
        <w:rPr>
          <w:bCs/>
        </w:rPr>
        <w:t>, а второй с СКУ.</w:t>
      </w:r>
    </w:p>
    <w:p>
      <w:pPr>
        <w:pStyle w:val="Normal"/>
        <w:ind w:firstLine="567" w:right="0"/>
        <w:jc w:val="both"/>
        <w:rPr/>
      </w:pPr>
      <w:r>
        <w:rPr>
          <w:bCs/>
        </w:rPr>
        <w:t xml:space="preserve">Для проверки технических характеристик, требований к </w:t>
      </w:r>
      <w:r>
        <w:rPr/>
        <w:t>гайкам, крышкам–пломбам</w:t>
      </w:r>
      <w:r>
        <w:rPr>
          <w:bCs/>
        </w:rPr>
        <w:t xml:space="preserve"> и специальному инструменту, Государственный заказчик предоставляет два модернизированных ЭБ, один из которых активизирован и зарегистрирован </w:t>
        <w:br/>
        <w:t xml:space="preserve">на сервере мониторинга для работы с </w:t>
      </w:r>
      <w:r>
        <w:rPr/>
        <w:t>МКУ</w:t>
      </w:r>
      <w:r>
        <w:rPr>
          <w:bCs/>
        </w:rPr>
        <w:t>, а второй с СКУ.</w:t>
      </w:r>
    </w:p>
    <w:p>
      <w:pPr>
        <w:pStyle w:val="Normal"/>
        <w:ind w:firstLine="567" w:right="0"/>
        <w:jc w:val="both"/>
        <w:rPr>
          <w:b/>
          <w:bCs/>
        </w:rPr>
      </w:pPr>
      <w:r>
        <w:rPr/>
        <w:t>Для проверки соответствия требований технического задания поставляемому изделию проводятся испытания в объеме соответствующим всем требованиям настоящего технического задания.</w:t>
      </w:r>
    </w:p>
    <w:p>
      <w:pPr>
        <w:pStyle w:val="Normal"/>
        <w:keepNext w:val="true"/>
        <w:widowControl w:val="false"/>
        <w:tabs>
          <w:tab w:val="clear" w:pos="708"/>
          <w:tab w:val="left" w:pos="0" w:leader="none"/>
        </w:tabs>
        <w:ind w:firstLine="567" w:right="0"/>
        <w:jc w:val="both"/>
        <w:rPr>
          <w:b/>
          <w:bCs/>
        </w:rPr>
      </w:pPr>
      <w:r>
        <w:rPr>
          <w:b/>
          <w:bCs/>
        </w:rPr>
        <w:t>6. Требования к специальным гайкам и специальному инструменту</w:t>
      </w:r>
    </w:p>
    <w:p>
      <w:pPr>
        <w:pStyle w:val="Normal"/>
        <w:ind w:firstLine="567" w:right="0"/>
        <w:jc w:val="both"/>
        <w:rPr/>
      </w:pPr>
      <w:r>
        <w:rPr/>
        <w:t>6.1. Для крепления ремней к ЭБ должны использоваться специальные гайки, которые закручиваются и откручиваются специальным инструментом.</w:t>
      </w:r>
    </w:p>
    <w:p>
      <w:pPr>
        <w:pStyle w:val="Normal"/>
        <w:ind w:firstLine="567" w:right="0"/>
        <w:jc w:val="both"/>
        <w:rPr/>
      </w:pPr>
      <w:r>
        <w:rPr/>
        <w:t>6.2. Гайки должны быть изготовлены из нержавеющей стали для предотвращения возможной коррозии при контакте с агрессивными средами.</w:t>
      </w:r>
    </w:p>
    <w:p>
      <w:pPr>
        <w:pStyle w:val="Normal"/>
        <w:ind w:firstLine="567" w:right="0"/>
        <w:jc w:val="both"/>
        <w:rPr/>
      </w:pPr>
      <w:r>
        <w:rPr/>
        <w:t xml:space="preserve">6.3. Гайки должны быть изготовлены из магнитной стали, </w:t>
        <w:br/>
        <w:t>а в инструмент для завинчивания гаек (специальная отвёртка) должен быть встроен миниатюрный магнит, который должен удерживать гайку на конце отвёртки.</w:t>
      </w:r>
    </w:p>
    <w:p>
      <w:pPr>
        <w:pStyle w:val="Normal"/>
        <w:ind w:firstLine="567" w:right="0"/>
        <w:jc w:val="both"/>
        <w:rPr>
          <w:b/>
          <w:iCs/>
          <w:sz w:val="24"/>
          <w:szCs w:val="24"/>
          <w:lang w:val="ru-RU"/>
        </w:rPr>
      </w:pPr>
      <w:r>
        <w:rPr/>
        <w:t>6.4. Для предотвращения несанкционированного отвинчивания гаек</w:t>
        <w:br/>
        <w:t>и снятия ремня ЭБ данное изделие должно иметь особую форму, благодаря которой, закручивание и откручивание гаек возможно только специальным инструментом, который должен иметь на торцевой поверхности выступы, которые при закручивании/откручивании входят в соответствующие вырезы на гайке.</w:t>
      </w:r>
    </w:p>
    <w:p>
      <w:pPr>
        <w:pStyle w:val="Style33"/>
        <w:ind w:firstLine="567" w:left="0" w:right="0"/>
        <w:rPr>
          <w:iCs/>
          <w:sz w:val="24"/>
          <w:szCs w:val="24"/>
          <w:lang w:val="ru-RU"/>
        </w:rPr>
      </w:pPr>
      <w:r>
        <w:rPr>
          <w:b/>
          <w:iCs/>
          <w:sz w:val="24"/>
          <w:szCs w:val="24"/>
          <w:lang w:val="ru-RU"/>
        </w:rPr>
        <w:t>Примечания.</w:t>
      </w:r>
    </w:p>
    <w:p>
      <w:pPr>
        <w:pStyle w:val="Style33"/>
        <w:ind w:firstLine="567" w:left="0" w:right="0"/>
        <w:rPr>
          <w:b/>
          <w:bCs/>
        </w:rPr>
      </w:pPr>
      <w:r>
        <w:rPr>
          <w:iCs/>
          <w:sz w:val="24"/>
          <w:szCs w:val="24"/>
          <w:lang w:val="ru-RU"/>
        </w:rPr>
        <w:t>Расходные материалы: ремни модернизированного ЭБ, специальные гайки и специальный инструмент, крышка-пломба модернизированного ЭБ не подлежат обязательной сертификации. Исполнитель гарантирует, что поставляемые расходные материалы полностью удовлетворяют всем требование конструкторской документации на поставленные изделия.</w:t>
      </w:r>
    </w:p>
    <w:p>
      <w:pPr>
        <w:pStyle w:val="Normal"/>
        <w:keepNext w:val="true"/>
        <w:widowControl w:val="false"/>
        <w:numPr>
          <w:ilvl w:val="0"/>
          <w:numId w:val="0"/>
        </w:numPr>
        <w:tabs>
          <w:tab w:val="clear" w:pos="708"/>
          <w:tab w:val="left" w:pos="0" w:leader="none"/>
        </w:tabs>
        <w:spacing w:lineRule="auto" w:line="240"/>
        <w:ind w:firstLine="709" w:left="0" w:right="0"/>
        <w:jc w:val="both"/>
        <w:outlineLvl w:val="0"/>
        <w:rPr>
          <w:b/>
          <w:bCs/>
        </w:rPr>
      </w:pPr>
      <w:r>
        <w:rPr>
          <w:b/>
          <w:bCs/>
        </w:rPr>
        <w:t>6. Требования к специальным гайкам и специальному инструменту</w:t>
      </w:r>
    </w:p>
    <w:p>
      <w:pPr>
        <w:pStyle w:val="Normal"/>
        <w:spacing w:lineRule="auto" w:line="240"/>
        <w:ind w:firstLine="708" w:right="0"/>
        <w:jc w:val="both"/>
        <w:rPr/>
      </w:pPr>
      <w:r>
        <w:rPr/>
        <w:t>6.1. Для крепления ремней к ЭБ должны использоваться специальные гайки, которые закручиваются и откручиваются специальным инструментом.</w:t>
      </w:r>
    </w:p>
    <w:p>
      <w:pPr>
        <w:pStyle w:val="Normal"/>
        <w:spacing w:lineRule="auto" w:line="240"/>
        <w:ind w:firstLine="708" w:right="0"/>
        <w:jc w:val="both"/>
        <w:rPr/>
      </w:pPr>
      <w:r>
        <w:rPr/>
        <w:t>6.2. Гайки должны быть изготовлены из нержавеющей стали для предотвращения возможной коррозии при контакте с агрессивными средами.</w:t>
      </w:r>
    </w:p>
    <w:p>
      <w:pPr>
        <w:pStyle w:val="Normal"/>
        <w:spacing w:lineRule="auto" w:line="240"/>
        <w:ind w:firstLine="708" w:right="0"/>
        <w:jc w:val="both"/>
        <w:rPr/>
      </w:pPr>
      <w:r>
        <w:rPr/>
        <w:t xml:space="preserve">6.3. Гайки должны быть изготовлены из магнитной стали, </w:t>
        <w:br/>
        <w:t>а в инструмент для завинчивания гаек (специальная отвёртка) должен быть встроен миниатюрный магнит, который должен удерживать гайку на конце отвёртки.</w:t>
      </w:r>
    </w:p>
    <w:p>
      <w:pPr>
        <w:pStyle w:val="Normal"/>
        <w:spacing w:lineRule="auto" w:line="240"/>
        <w:ind w:firstLine="708" w:right="0"/>
        <w:jc w:val="both"/>
        <w:rPr/>
      </w:pPr>
      <w:r>
        <w:rPr/>
        <w:t>6.4. Для предотвращения несанкционированного отвинчивания гаек</w:t>
        <w:br/>
        <w:t>и снятия ремня ЭБ данное изделие должно иметь особую форму, благодаря которой, закручивание и откручивание гаек возможно только специальным инструментом, который должен иметь на торцевой поверхности выступы, которые при закручивании/откручивании входят в соответствующие вырезы на гайке.</w:t>
      </w:r>
    </w:p>
    <w:p>
      <w:pPr>
        <w:pStyle w:val="Normal"/>
        <w:spacing w:lineRule="auto" w:line="240"/>
        <w:ind w:firstLine="708" w:right="0"/>
        <w:jc w:val="both"/>
        <w:rPr/>
      </w:pPr>
      <w:r>
        <w:rPr/>
        <w:t>6.5. Характеристики специальной гайки:</w:t>
      </w:r>
    </w:p>
    <w:p>
      <w:pPr>
        <w:pStyle w:val="Normal"/>
        <w:spacing w:lineRule="auto" w:line="240"/>
        <w:ind w:firstLine="709" w:right="0"/>
        <w:jc w:val="both"/>
        <w:rPr/>
      </w:pPr>
      <w:r>
        <w:rPr/>
        <w:t>диаметр гайки - 6мм</w:t>
      </w:r>
    </w:p>
    <w:p>
      <w:pPr>
        <w:pStyle w:val="Normal"/>
        <w:spacing w:lineRule="auto" w:line="240"/>
        <w:ind w:firstLine="709" w:right="0"/>
        <w:jc w:val="both"/>
        <w:rPr/>
      </w:pPr>
      <w:r>
        <w:rPr/>
        <w:t>шаг резьбы - 0,5 мм</w:t>
      </w:r>
    </w:p>
    <w:p>
      <w:pPr>
        <w:pStyle w:val="Normal"/>
        <w:spacing w:lineRule="auto" w:line="240"/>
        <w:ind w:firstLine="709" w:right="0"/>
        <w:jc w:val="both"/>
        <w:rPr/>
      </w:pPr>
      <w:r>
        <w:rPr/>
        <w:t>размер вырезов на гайке -2,4мм</w:t>
      </w:r>
    </w:p>
    <w:p>
      <w:pPr>
        <w:pStyle w:val="Normal"/>
        <w:spacing w:lineRule="auto" w:line="240"/>
        <w:ind w:firstLine="709" w:right="0"/>
        <w:jc w:val="both"/>
        <w:rPr/>
      </w:pPr>
      <w:r>
        <w:rPr/>
        <w:t>размеры гайки - 2,2мм х 6мм</w:t>
      </w:r>
    </w:p>
    <w:p>
      <w:pPr>
        <w:pStyle w:val="Normal"/>
        <w:spacing w:lineRule="auto" w:line="240"/>
        <w:ind w:firstLine="709" w:right="0"/>
        <w:jc w:val="both"/>
        <w:rPr/>
      </w:pPr>
      <w:r>
        <w:rPr/>
        <w:t>материал - сталь 20Х13</w:t>
      </w:r>
    </w:p>
    <w:p>
      <w:pPr>
        <w:pStyle w:val="Normal"/>
        <w:spacing w:lineRule="auto" w:line="240"/>
        <w:ind w:firstLine="709" w:right="0"/>
        <w:jc w:val="both"/>
        <w:rPr>
          <w:sz w:val="24"/>
          <w:szCs w:val="24"/>
        </w:rPr>
      </w:pPr>
      <w:r>
        <w:rPr/>
        <w:t xml:space="preserve">6.6. Гайка должна представлять собой цилиндрическую, выпуклую </w:t>
        <w:br/>
        <w:t>с одной стороны шайбу с резьбовым отверстием посередине. На боковой поверхности гайки должны быть выполнены три прямоугольных выреза, расположенных под углом 120 градусов.</w:t>
      </w:r>
    </w:p>
    <w:p>
      <w:pPr>
        <w:pStyle w:val="Style33"/>
        <w:spacing w:lineRule="auto" w:line="240"/>
        <w:rPr>
          <w:iCs/>
          <w:sz w:val="24"/>
          <w:szCs w:val="24"/>
        </w:rPr>
      </w:pPr>
      <w:r>
        <w:rPr>
          <w:sz w:val="24"/>
          <w:szCs w:val="24"/>
        </w:rPr>
        <w:t>6.7. </w:t>
      </w:r>
      <w:r>
        <w:rPr>
          <w:iCs/>
          <w:sz w:val="24"/>
          <w:szCs w:val="24"/>
        </w:rPr>
        <w:t>Гайки должны быть упакованы.</w:t>
      </w:r>
    </w:p>
    <w:p>
      <w:pPr>
        <w:pStyle w:val="Style33"/>
        <w:spacing w:lineRule="auto" w:line="240"/>
        <w:rPr>
          <w:b/>
          <w:bCs/>
        </w:rPr>
      </w:pPr>
      <w:r>
        <w:rPr>
          <w:iCs/>
          <w:sz w:val="24"/>
          <w:szCs w:val="24"/>
        </w:rPr>
        <w:t>6.8.</w:t>
      </w:r>
      <w:r>
        <w:rPr>
          <w:sz w:val="24"/>
          <w:szCs w:val="24"/>
          <w:lang w:eastAsia="ru-RU"/>
        </w:rPr>
        <w:t> Специальный инструмент к модернизированному ЭБ СЭМПЛ должен быть упакован.</w:t>
      </w:r>
    </w:p>
    <w:p>
      <w:pPr>
        <w:pStyle w:val="Normal"/>
        <w:keepNext w:val="true"/>
        <w:widowControl w:val="false"/>
        <w:numPr>
          <w:ilvl w:val="0"/>
          <w:numId w:val="0"/>
        </w:numPr>
        <w:tabs>
          <w:tab w:val="clear" w:pos="708"/>
          <w:tab w:val="left" w:pos="0" w:leader="none"/>
        </w:tabs>
        <w:spacing w:lineRule="auto" w:line="240"/>
        <w:ind w:firstLine="141" w:left="568" w:right="0"/>
        <w:jc w:val="both"/>
        <w:outlineLvl w:val="0"/>
        <w:rPr>
          <w:b/>
          <w:bCs/>
        </w:rPr>
      </w:pPr>
      <w:r>
        <w:rPr>
          <w:b/>
          <w:bCs/>
        </w:rPr>
        <w:t xml:space="preserve">7. Требования к крышке-пломбе модернизированного ЭБ </w:t>
      </w:r>
    </w:p>
    <w:p>
      <w:pPr>
        <w:pStyle w:val="Normal"/>
        <w:spacing w:lineRule="auto" w:line="240"/>
        <w:ind w:firstLine="708" w:right="0"/>
        <w:jc w:val="both"/>
        <w:rPr/>
      </w:pPr>
      <w:r>
        <w:rPr/>
        <w:t>7.1. Крышка-пломба предназначается для пломбирования места крепления ремня к корпусу электронного браслета (ЭБ). После установки крышку-пломбу можно извлечь только, сломав её с помощью плоской отвёртки или аналогичного инструмента.</w:t>
      </w:r>
    </w:p>
    <w:p>
      <w:pPr>
        <w:pStyle w:val="Normal"/>
        <w:spacing w:lineRule="auto" w:line="240"/>
        <w:ind w:firstLine="708" w:right="0"/>
        <w:jc w:val="both"/>
        <w:rPr/>
      </w:pPr>
      <w:r>
        <w:rPr/>
        <w:t xml:space="preserve">7.2. Крышка-пломба должна представлять собой деталь, изготовленную методом литья под давлением из пластика. Габаритные размеры должны составлять 7,3х11,1х22,4 мм. Толщина должна составлять 1 мм. </w:t>
      </w:r>
    </w:p>
    <w:p>
      <w:pPr>
        <w:pStyle w:val="Normal"/>
        <w:spacing w:lineRule="auto" w:line="240"/>
        <w:ind w:firstLine="708" w:right="0"/>
        <w:jc w:val="both"/>
        <w:rPr>
          <w:iCs/>
          <w:sz w:val="24"/>
          <w:szCs w:val="24"/>
        </w:rPr>
      </w:pPr>
      <w:r>
        <w:rPr/>
        <w:t xml:space="preserve">7.3. Крышка-пломба должна иметь упругие элементы для фиксации </w:t>
        <w:br/>
        <w:t>её в месте установки.</w:t>
      </w:r>
    </w:p>
    <w:p>
      <w:pPr>
        <w:pStyle w:val="Style33"/>
        <w:spacing w:lineRule="auto" w:line="240"/>
        <w:rPr>
          <w:iCs/>
          <w:sz w:val="24"/>
          <w:szCs w:val="24"/>
        </w:rPr>
      </w:pPr>
      <w:r>
        <w:rPr>
          <w:iCs/>
          <w:sz w:val="24"/>
          <w:szCs w:val="24"/>
        </w:rPr>
        <w:t>7.4. Каждая крышка-пломба должна иметь собственный неповторяющийся номер.</w:t>
      </w:r>
    </w:p>
    <w:p>
      <w:pPr>
        <w:pStyle w:val="Style33"/>
        <w:spacing w:lineRule="auto" w:line="240"/>
        <w:rPr>
          <w:iCs/>
          <w:sz w:val="24"/>
          <w:szCs w:val="24"/>
        </w:rPr>
      </w:pPr>
      <w:r>
        <w:rPr>
          <w:iCs/>
          <w:sz w:val="24"/>
          <w:szCs w:val="24"/>
        </w:rPr>
        <w:t>7.5. Номер крышки-пломбы должны состоять из набора букв и арабских цифр, общее количество которых не менее шести, выполненных методом гравировки.</w:t>
      </w:r>
    </w:p>
    <w:p>
      <w:pPr>
        <w:pStyle w:val="Style33"/>
        <w:spacing w:lineRule="auto" w:line="240"/>
        <w:rPr>
          <w:b/>
          <w:iCs/>
          <w:sz w:val="24"/>
          <w:szCs w:val="24"/>
        </w:rPr>
      </w:pPr>
      <w:r>
        <w:rPr>
          <w:iCs/>
          <w:sz w:val="24"/>
          <w:szCs w:val="24"/>
        </w:rPr>
        <w:t>7.6. Крышки-пломбы должны быть упакованы.</w:t>
      </w:r>
    </w:p>
    <w:p>
      <w:pPr>
        <w:pStyle w:val="Style33"/>
        <w:spacing w:lineRule="auto" w:line="240"/>
        <w:rPr>
          <w:iCs/>
          <w:sz w:val="24"/>
          <w:szCs w:val="24"/>
        </w:rPr>
      </w:pPr>
      <w:r>
        <w:rPr>
          <w:b/>
          <w:iCs/>
          <w:sz w:val="24"/>
          <w:szCs w:val="24"/>
        </w:rPr>
        <w:t>Примечания.</w:t>
      </w:r>
    </w:p>
    <w:p>
      <w:pPr>
        <w:pStyle w:val="Style33"/>
        <w:spacing w:lineRule="auto" w:line="240"/>
        <w:rPr>
          <w:b/>
          <w:iCs/>
          <w:sz w:val="24"/>
          <w:szCs w:val="24"/>
        </w:rPr>
      </w:pPr>
      <w:r>
        <w:rPr>
          <w:iCs/>
          <w:sz w:val="24"/>
          <w:szCs w:val="24"/>
        </w:rPr>
        <w:t>Расходные материалы: ремни модернизированного ЭБ, специальные гайки и специальный инструмент, крышка-пломба модернизированного ЭБ не подлежат обязательной сертификации. Исполнитель гарантирует, что поставляемые расходные материалы полностью удовлетворяют всем требование конструкторской документации на поставленные изделия.</w:t>
      </w:r>
    </w:p>
    <w:p>
      <w:pPr>
        <w:pStyle w:val="Style33"/>
        <w:spacing w:lineRule="auto" w:line="240"/>
        <w:rPr>
          <w:iCs/>
          <w:sz w:val="24"/>
          <w:szCs w:val="24"/>
        </w:rPr>
      </w:pPr>
      <w:r>
        <w:rPr>
          <w:b/>
          <w:iCs/>
          <w:sz w:val="24"/>
          <w:szCs w:val="24"/>
        </w:rPr>
        <w:t>8. Требование к зарядному устройству для МКУ</w:t>
      </w:r>
    </w:p>
    <w:p>
      <w:pPr>
        <w:pStyle w:val="Style33"/>
        <w:spacing w:lineRule="auto" w:line="240"/>
        <w:rPr>
          <w:iCs/>
          <w:sz w:val="24"/>
          <w:szCs w:val="24"/>
        </w:rPr>
      </w:pPr>
      <w:r>
        <w:rPr>
          <w:iCs/>
          <w:sz w:val="24"/>
          <w:szCs w:val="24"/>
        </w:rPr>
        <w:t>8.1 Зарядное устройство предназначено для преобразования переменного электрического тока в постоянный, необходимый для заряда аккумуляторной батареи МКУ.</w:t>
      </w:r>
    </w:p>
    <w:p>
      <w:pPr>
        <w:pStyle w:val="Style33"/>
        <w:spacing w:lineRule="auto" w:line="240"/>
        <w:rPr>
          <w:iCs/>
          <w:sz w:val="24"/>
          <w:szCs w:val="24"/>
        </w:rPr>
      </w:pPr>
      <w:r>
        <w:rPr>
          <w:iCs/>
          <w:sz w:val="24"/>
          <w:szCs w:val="24"/>
        </w:rPr>
        <w:t>8.2 Зарядное устройство должно представлять собой функционально и конструктивно законченное устройство в пластиковом корпусе.</w:t>
      </w:r>
    </w:p>
    <w:p>
      <w:pPr>
        <w:pStyle w:val="Style33"/>
        <w:spacing w:lineRule="auto" w:line="240"/>
        <w:rPr>
          <w:iCs/>
          <w:sz w:val="24"/>
          <w:szCs w:val="24"/>
        </w:rPr>
      </w:pPr>
      <w:r>
        <w:rPr>
          <w:iCs/>
          <w:sz w:val="24"/>
          <w:szCs w:val="24"/>
        </w:rPr>
        <w:t>8.3 Вилка зарядного устройства должна быть применима к разъёмам розетки сети электропитания тип С и F.</w:t>
      </w:r>
    </w:p>
    <w:p>
      <w:pPr>
        <w:pStyle w:val="Style33"/>
        <w:spacing w:lineRule="auto" w:line="240"/>
        <w:rPr>
          <w:b/>
          <w:iCs/>
          <w:sz w:val="24"/>
          <w:szCs w:val="24"/>
        </w:rPr>
      </w:pPr>
      <w:r>
        <w:rPr>
          <w:iCs/>
          <w:sz w:val="24"/>
          <w:szCs w:val="24"/>
        </w:rPr>
        <w:t>8.4 Зарядное устройство должно питаться от бытовой сети переменного напряжения 100-240 В с частотой 50 - 60 Гц, при токе 300 мА. Выходное напряжение не более 5 В, при токе не более 2 А.</w:t>
      </w:r>
    </w:p>
    <w:p>
      <w:pPr>
        <w:pStyle w:val="Style33"/>
        <w:spacing w:lineRule="auto" w:line="240"/>
        <w:rPr>
          <w:iCs/>
          <w:sz w:val="24"/>
          <w:szCs w:val="24"/>
        </w:rPr>
      </w:pPr>
      <w:r>
        <w:rPr>
          <w:b/>
          <w:iCs/>
          <w:sz w:val="24"/>
          <w:szCs w:val="24"/>
        </w:rPr>
        <w:t>9. Требование к зарядному устройству для СКУ</w:t>
      </w:r>
    </w:p>
    <w:p>
      <w:pPr>
        <w:pStyle w:val="Style33"/>
        <w:spacing w:lineRule="auto" w:line="240"/>
        <w:rPr>
          <w:iCs/>
          <w:sz w:val="24"/>
          <w:szCs w:val="24"/>
        </w:rPr>
      </w:pPr>
      <w:r>
        <w:rPr>
          <w:iCs/>
          <w:sz w:val="24"/>
          <w:szCs w:val="24"/>
        </w:rPr>
        <w:t>9.1 Зарядное устройство предназначено для преобразования переменного электрического тока в постоянный, необходимый для заряда аккумуляторной батареи СКУ.</w:t>
      </w:r>
    </w:p>
    <w:p>
      <w:pPr>
        <w:pStyle w:val="Style33"/>
        <w:spacing w:lineRule="auto" w:line="240"/>
        <w:rPr>
          <w:iCs/>
          <w:sz w:val="24"/>
          <w:szCs w:val="24"/>
        </w:rPr>
      </w:pPr>
      <w:r>
        <w:rPr>
          <w:iCs/>
          <w:sz w:val="24"/>
          <w:szCs w:val="24"/>
        </w:rPr>
        <w:t>9.2 Зарядное устройство должно представлять собой функционально и конструктивно законченное устройство в пластиковом корпусе.</w:t>
      </w:r>
    </w:p>
    <w:p>
      <w:pPr>
        <w:pStyle w:val="Style33"/>
        <w:spacing w:lineRule="auto" w:line="240"/>
        <w:rPr>
          <w:b w:val="false"/>
          <w:bCs w:val="false"/>
          <w:iCs/>
          <w:sz w:val="24"/>
          <w:szCs w:val="24"/>
        </w:rPr>
      </w:pPr>
      <w:r>
        <w:rPr>
          <w:iCs/>
          <w:sz w:val="24"/>
          <w:szCs w:val="24"/>
        </w:rPr>
        <w:t>9.3 Вилка зарядного устройства должна быть применима к разъёмам розетки сети электропитания тип С и F.</w:t>
      </w:r>
    </w:p>
    <w:p>
      <w:pPr>
        <w:pStyle w:val="Style33"/>
        <w:spacing w:lineRule="auto" w:line="240"/>
        <w:rPr>
          <w:b/>
          <w:bCs/>
          <w:iCs/>
          <w:sz w:val="24"/>
          <w:szCs w:val="24"/>
        </w:rPr>
      </w:pPr>
      <w:r>
        <w:rPr>
          <w:b w:val="false"/>
          <w:bCs w:val="false"/>
          <w:iCs/>
          <w:sz w:val="24"/>
          <w:szCs w:val="24"/>
        </w:rPr>
        <w:t>9.4 Зарядное устройство должно питаться от бытовой сети переменного напряжения 100-240 В с частотой 50 - 60 Гц, при токе 300 мА. Выходное напряжение не более 12 В, при токе не более 2 А.</w:t>
      </w:r>
    </w:p>
    <w:p>
      <w:pPr>
        <w:pStyle w:val="Style33"/>
        <w:spacing w:lineRule="auto" w:line="240"/>
        <w:rPr>
          <w:rFonts w:ascii="Times New Roman" w:hAnsi="Times New Roman" w:cs="Times New Roman"/>
          <w:b w:val="false"/>
          <w:bCs/>
          <w:i w:val="false"/>
          <w:i w:val="false"/>
          <w:iCs/>
          <w:caps w:val="false"/>
          <w:smallCaps w:val="false"/>
          <w:color w:val="111111"/>
          <w:spacing w:val="0"/>
          <w:sz w:val="24"/>
          <w:szCs w:val="24"/>
        </w:rPr>
      </w:pPr>
      <w:r>
        <w:rPr>
          <w:b/>
          <w:bCs/>
          <w:iCs/>
          <w:sz w:val="24"/>
          <w:szCs w:val="24"/>
        </w:rPr>
        <w:t>10. Требование к аккумуляторной батарейки для СКУ</w:t>
      </w:r>
    </w:p>
    <w:p>
      <w:pPr>
        <w:pStyle w:val="Style33"/>
        <w:spacing w:lineRule="auto" w:line="240"/>
        <w:rPr>
          <w:rFonts w:ascii="Times New Roman" w:hAnsi="Times New Roman" w:cs="Times New Roman"/>
          <w:b w:val="false"/>
          <w:bCs/>
          <w:i w:val="false"/>
          <w:i w:val="false"/>
          <w:iCs/>
          <w:caps w:val="false"/>
          <w:smallCaps w:val="false"/>
          <w:color w:val="111111"/>
          <w:spacing w:val="0"/>
          <w:sz w:val="24"/>
          <w:szCs w:val="24"/>
        </w:rPr>
      </w:pPr>
      <w:r>
        <w:rPr>
          <w:rFonts w:cs="Times New Roman"/>
          <w:b w:val="false"/>
          <w:bCs/>
          <w:i w:val="false"/>
          <w:iCs/>
          <w:caps w:val="false"/>
          <w:smallCaps w:val="false"/>
          <w:color w:val="111111"/>
          <w:spacing w:val="0"/>
          <w:sz w:val="24"/>
          <w:szCs w:val="24"/>
        </w:rPr>
        <w:t>10.1. Аккумуляторная батарея литий — полимерный для стационарного контрольного устройства номинальным напряжением 7,4 В, номинальное емкость 5300 mAh, от сети 220В.</w:t>
      </w:r>
    </w:p>
    <w:p>
      <w:pPr>
        <w:pStyle w:val="Style33"/>
        <w:spacing w:lineRule="auto" w:line="276"/>
        <w:rPr>
          <w:rFonts w:ascii="Times New Roman" w:hAnsi="Times New Roman" w:cs="Times New Roman"/>
          <w:b w:val="false"/>
          <w:bCs/>
          <w:i w:val="false"/>
          <w:i w:val="false"/>
          <w:iCs/>
          <w:caps w:val="false"/>
          <w:smallCaps w:val="false"/>
          <w:color w:val="111111"/>
          <w:spacing w:val="0"/>
          <w:sz w:val="24"/>
          <w:szCs w:val="24"/>
        </w:rPr>
      </w:pPr>
      <w:r>
        <w:rPr>
          <w:rFonts w:cs="Times New Roman"/>
          <w:b w:val="false"/>
          <w:bCs/>
          <w:i w:val="false"/>
          <w:iCs/>
          <w:caps w:val="false"/>
          <w:smallCaps w:val="false"/>
          <w:color w:val="111111"/>
          <w:spacing w:val="0"/>
          <w:sz w:val="24"/>
          <w:szCs w:val="24"/>
        </w:rPr>
      </w:r>
    </w:p>
    <w:p>
      <w:pPr>
        <w:pStyle w:val="Style33"/>
        <w:spacing w:lineRule="auto" w:line="276"/>
        <w:rPr>
          <w:rFonts w:ascii="Times New Roman" w:hAnsi="Times New Roman" w:cs="Times New Roman"/>
          <w:b w:val="false"/>
          <w:bCs/>
          <w:i w:val="false"/>
          <w:i w:val="false"/>
          <w:iCs/>
          <w:caps w:val="false"/>
          <w:smallCaps w:val="false"/>
          <w:color w:val="111111"/>
          <w:spacing w:val="0"/>
          <w:sz w:val="24"/>
          <w:szCs w:val="24"/>
          <w:lang w:val="ru-RU"/>
        </w:rPr>
      </w:pPr>
      <w:r>
        <w:rPr>
          <w:rFonts w:cs="Times New Roman"/>
          <w:b w:val="false"/>
          <w:bCs/>
          <w:i w:val="false"/>
          <w:iCs/>
          <w:caps w:val="false"/>
          <w:smallCaps w:val="false"/>
          <w:color w:val="111111"/>
          <w:spacing w:val="0"/>
          <w:sz w:val="24"/>
          <w:szCs w:val="24"/>
          <w:lang w:val="ru-RU"/>
        </w:rPr>
      </w:r>
    </w:p>
    <w:tbl>
      <w:tblPr>
        <w:tblW w:w="9747" w:type="dxa"/>
        <w:jc w:val="left"/>
        <w:tblInd w:w="0" w:type="dxa"/>
        <w:tblLayout w:type="fixed"/>
        <w:tblCellMar>
          <w:top w:w="0" w:type="dxa"/>
          <w:left w:w="108" w:type="dxa"/>
          <w:bottom w:w="0" w:type="dxa"/>
          <w:right w:w="108" w:type="dxa"/>
        </w:tblCellMar>
      </w:tblPr>
      <w:tblGrid>
        <w:gridCol w:w="5355"/>
        <w:gridCol w:w="4391"/>
      </w:tblGrid>
      <w:tr>
        <w:trPr>
          <w:trHeight w:val="380" w:hRule="atLeast"/>
        </w:trPr>
        <w:tc>
          <w:tcPr>
            <w:tcW w:w="5355" w:type="dxa"/>
            <w:tcBorders/>
          </w:tcPr>
          <w:p>
            <w:pPr>
              <w:pStyle w:val="Vor2"/>
              <w:snapToGrid w:val="false"/>
              <w:spacing w:before="0" w:after="0"/>
              <w:ind w:firstLine="567" w:right="0"/>
              <w:rPr>
                <w:bCs/>
                <w:caps/>
                <w:szCs w:val="24"/>
              </w:rPr>
            </w:pPr>
            <w:r>
              <w:rPr>
                <w:caps/>
              </w:rPr>
              <w:t>Государственный заказчик</w:t>
            </w:r>
          </w:p>
          <w:p>
            <w:pPr>
              <w:pStyle w:val="23"/>
              <w:spacing w:lineRule="auto" w:line="240"/>
              <w:ind w:firstLine="567" w:left="0" w:right="0"/>
              <w:jc w:val="left"/>
              <w:rPr>
                <w:bCs/>
                <w:caps/>
                <w:szCs w:val="24"/>
              </w:rPr>
            </w:pPr>
            <w:r>
              <w:rPr>
                <w:bCs/>
                <w:caps/>
                <w:szCs w:val="24"/>
              </w:rPr>
            </w:r>
          </w:p>
          <w:p>
            <w:pPr>
              <w:pStyle w:val="23"/>
              <w:spacing w:lineRule="auto" w:line="240"/>
              <w:ind w:firstLine="567" w:left="0" w:right="0"/>
              <w:jc w:val="left"/>
              <w:rPr>
                <w:bCs/>
                <w:szCs w:val="24"/>
              </w:rPr>
            </w:pPr>
            <w:r>
              <w:rPr>
                <w:bCs/>
                <w:szCs w:val="24"/>
              </w:rPr>
              <w:t>Врио начальника ФКУ УИИ</w:t>
            </w:r>
          </w:p>
          <w:p>
            <w:pPr>
              <w:pStyle w:val="23"/>
              <w:spacing w:lineRule="auto" w:line="240"/>
              <w:ind w:firstLine="567" w:left="0" w:right="0"/>
              <w:jc w:val="left"/>
              <w:rPr>
                <w:bCs/>
                <w:szCs w:val="24"/>
              </w:rPr>
            </w:pPr>
            <w:r>
              <w:rPr>
                <w:bCs/>
                <w:szCs w:val="24"/>
              </w:rPr>
              <w:t>УФСИН России по Томской области</w:t>
            </w:r>
          </w:p>
          <w:p>
            <w:pPr>
              <w:pStyle w:val="23"/>
              <w:spacing w:lineRule="auto" w:line="240"/>
              <w:ind w:firstLine="567" w:left="0" w:right="0"/>
              <w:jc w:val="left"/>
              <w:rPr>
                <w:bCs/>
                <w:szCs w:val="24"/>
              </w:rPr>
            </w:pPr>
            <w:r>
              <w:rPr>
                <w:bCs/>
                <w:szCs w:val="24"/>
              </w:rPr>
            </w:r>
          </w:p>
          <w:p>
            <w:pPr>
              <w:pStyle w:val="FR1"/>
              <w:spacing w:before="0" w:after="0"/>
              <w:ind w:firstLine="567" w:right="0"/>
              <w:contextualSpacing/>
              <w:rPr>
                <w:szCs w:val="24"/>
              </w:rPr>
            </w:pPr>
            <w:r>
              <w:rPr>
                <w:b w:val="false"/>
                <w:sz w:val="24"/>
                <w:szCs w:val="24"/>
              </w:rPr>
              <w:t>_________________ А.А. Сыренков</w:t>
            </w:r>
          </w:p>
          <w:p>
            <w:pPr>
              <w:pStyle w:val="23"/>
              <w:spacing w:lineRule="auto" w:line="240"/>
              <w:ind w:firstLine="567" w:left="0" w:right="0"/>
              <w:jc w:val="left"/>
              <w:rPr>
                <w:szCs w:val="24"/>
              </w:rPr>
            </w:pPr>
            <w:r>
              <w:rPr>
                <w:szCs w:val="24"/>
              </w:rPr>
              <w:t>«___»_____________ 2026 г.</w:t>
            </w:r>
          </w:p>
          <w:p>
            <w:pPr>
              <w:pStyle w:val="23"/>
              <w:spacing w:lineRule="auto" w:line="240"/>
              <w:ind w:firstLine="567" w:left="0" w:right="0"/>
              <w:jc w:val="left"/>
              <w:rPr>
                <w:szCs w:val="24"/>
              </w:rPr>
            </w:pPr>
            <w:r>
              <w:rPr>
                <w:szCs w:val="24"/>
              </w:rPr>
              <w:t>М.П.</w:t>
            </w:r>
          </w:p>
        </w:tc>
        <w:tc>
          <w:tcPr>
            <w:tcW w:w="4391" w:type="dxa"/>
            <w:tcBorders/>
          </w:tcPr>
          <w:p>
            <w:pPr>
              <w:pStyle w:val="FR1"/>
              <w:widowControl w:val="false"/>
              <w:suppressAutoHyphens w:val="true"/>
              <w:bidi w:val="0"/>
              <w:spacing w:before="0" w:after="0"/>
              <w:ind w:hanging="0" w:left="57" w:right="227"/>
              <w:contextualSpacing/>
              <w:jc w:val="both"/>
              <w:rPr/>
            </w:pPr>
            <w:r>
              <w:rPr>
                <w:sz w:val="24"/>
                <w:szCs w:val="24"/>
              </w:rPr>
              <w:t>ПОСТАВЩИК</w:t>
            </w:r>
          </w:p>
          <w:p>
            <w:pPr>
              <w:pStyle w:val="FR1"/>
              <w:widowControl w:val="false"/>
              <w:suppressAutoHyphens w:val="true"/>
              <w:bidi w:val="0"/>
              <w:spacing w:before="0" w:after="0"/>
              <w:ind w:hanging="0" w:left="57" w:right="227"/>
              <w:contextualSpacing/>
              <w:jc w:val="both"/>
              <w:rPr>
                <w:color w:val="000000"/>
                <w:spacing w:val="-1"/>
              </w:rPr>
            </w:pPr>
            <w:r>
              <w:rPr>
                <w:color w:val="000000"/>
                <w:spacing w:val="-1"/>
              </w:rPr>
            </w:r>
          </w:p>
          <w:p>
            <w:pPr>
              <w:pStyle w:val="FR1"/>
              <w:widowControl w:val="false"/>
              <w:suppressAutoHyphens w:val="true"/>
              <w:bidi w:val="0"/>
              <w:spacing w:before="0" w:after="0"/>
              <w:ind w:hanging="0" w:left="57" w:right="227"/>
              <w:contextualSpacing/>
              <w:jc w:val="both"/>
              <w:rPr>
                <w:b w:val="false"/>
                <w:bCs w:val="false"/>
                <w:sz w:val="24"/>
                <w:szCs w:val="24"/>
              </w:rPr>
            </w:pPr>
            <w:r>
              <w:rPr>
                <w:b w:val="false"/>
                <w:bCs w:val="false"/>
                <w:color w:val="000000"/>
                <w:spacing w:val="-1"/>
                <w:sz w:val="24"/>
                <w:szCs w:val="24"/>
              </w:rPr>
              <w:t xml:space="preserve">Генеральный директор АО </w:t>
            </w:r>
            <w:r>
              <w:rPr>
                <w:b w:val="false"/>
                <w:bCs w:val="false"/>
                <w:sz w:val="24"/>
                <w:szCs w:val="24"/>
              </w:rPr>
              <w:t>«ЦИТОС»</w:t>
            </w:r>
          </w:p>
          <w:p>
            <w:pPr>
              <w:pStyle w:val="Normal"/>
              <w:shd w:val="clear" w:fill="FFFFFF"/>
              <w:bidi w:val="0"/>
              <w:snapToGrid w:val="false"/>
              <w:spacing w:before="0" w:after="0"/>
              <w:ind w:hanging="0" w:left="397" w:right="227"/>
              <w:jc w:val="left"/>
              <w:rPr/>
            </w:pPr>
            <w:r>
              <w:rPr/>
            </w:r>
          </w:p>
          <w:p>
            <w:pPr>
              <w:pStyle w:val="Normal"/>
              <w:shd w:val="clear" w:fill="FFFFFF"/>
              <w:bidi w:val="0"/>
              <w:snapToGrid w:val="false"/>
              <w:spacing w:before="0" w:after="0"/>
              <w:ind w:hanging="0" w:left="397" w:right="227"/>
              <w:jc w:val="left"/>
              <w:rPr/>
            </w:pPr>
            <w:r>
              <w:rPr/>
            </w:r>
          </w:p>
          <w:p>
            <w:pPr>
              <w:pStyle w:val="23"/>
              <w:bidi w:val="0"/>
              <w:spacing w:lineRule="auto" w:line="240" w:before="0" w:after="0"/>
              <w:ind w:hanging="0" w:left="397" w:right="227"/>
              <w:jc w:val="left"/>
              <w:rPr/>
            </w:pPr>
            <w:r>
              <w:rPr>
                <w:color w:val="000000"/>
                <w:spacing w:val="-1"/>
                <w:szCs w:val="24"/>
              </w:rPr>
              <w:t>_______________ Ю.П. Тарасов</w:t>
            </w:r>
          </w:p>
          <w:p>
            <w:pPr>
              <w:pStyle w:val="23"/>
              <w:bidi w:val="0"/>
              <w:spacing w:lineRule="auto" w:line="240" w:before="0" w:after="0"/>
              <w:ind w:hanging="0" w:left="397" w:right="227"/>
              <w:jc w:val="left"/>
              <w:rPr/>
            </w:pPr>
            <w:r>
              <w:rPr>
                <w:szCs w:val="24"/>
              </w:rPr>
              <w:t>«___»_____________ 2026 г.</w:t>
            </w:r>
          </w:p>
          <w:p>
            <w:pPr>
              <w:pStyle w:val="23"/>
              <w:bidi w:val="0"/>
              <w:spacing w:lineRule="auto" w:line="240" w:before="0" w:after="0"/>
              <w:ind w:hanging="0" w:left="397" w:right="227"/>
              <w:jc w:val="left"/>
              <w:rPr>
                <w:szCs w:val="24"/>
              </w:rPr>
            </w:pPr>
            <w:r>
              <w:rPr>
                <w:szCs w:val="24"/>
              </w:rPr>
              <w:t>М.П.</w:t>
            </w:r>
          </w:p>
        </w:tc>
      </w:tr>
    </w:tbl>
    <w:p>
      <w:pPr>
        <w:pStyle w:val="42"/>
        <w:tabs>
          <w:tab w:val="clear" w:pos="708"/>
          <w:tab w:val="left" w:pos="6480" w:leader="none"/>
        </w:tabs>
        <w:spacing w:lineRule="auto" w:line="240" w:before="0" w:after="0"/>
        <w:ind w:firstLine="567" w:left="0" w:right="0"/>
        <w:contextualSpacing/>
        <w:jc w:val="right"/>
        <w:rPr>
          <w:szCs w:val="24"/>
        </w:rPr>
      </w:pPr>
      <w:r>
        <w:rPr>
          <w:szCs w:val="24"/>
        </w:rPr>
      </w:r>
    </w:p>
    <w:sectPr>
      <w:headerReference w:type="default" r:id="rId23"/>
      <w:headerReference w:type="first" r:id="rId24"/>
      <w:footerReference w:type="default" r:id="rId25"/>
      <w:footerReference w:type="first" r:id="rId26"/>
      <w:type w:val="nextPage"/>
      <w:pgSz w:w="11906" w:h="16838"/>
      <w:pgMar w:left="1701" w:right="709" w:gutter="0" w:header="709" w:top="1134" w:footer="720" w:bottom="777"/>
      <w:pgNumType w:fmt="decimal"/>
      <w:formProt w:val="false"/>
      <w:titlePg/>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Cambria">
    <w:charset w:val="01"/>
    <w:family w:val="roman"/>
    <w:pitch w:val="variable"/>
  </w:font>
  <w:font w:name="Symbol">
    <w:charset w:val="01"/>
    <w:family w:val="roman"/>
    <w:pitch w:val="variable"/>
  </w:font>
  <w:font w:name="Courier New">
    <w:charset w:val="01"/>
    <w:family w:val="auto"/>
    <w:pitch w:val="variable"/>
  </w:font>
  <w:font w:name="Wingdings">
    <w:charset w:val="01"/>
    <w:family w:val="auto"/>
    <w:pitch w:val="variable"/>
  </w:font>
  <w:font w:name="Tahoma">
    <w:charset w:val="01"/>
    <w:family w:val="swiss"/>
    <w:pitch w:val="variable"/>
  </w:font>
  <w:font w:name="PT Astra Serif">
    <w:altName w:val="Times New Roman"/>
    <w:charset w:val="01"/>
    <w:family w:val="roman"/>
    <w:pitch w:val="variable"/>
  </w:font>
  <w:font w:name="PT Astra Serif">
    <w:altName w:val="Times New Roman"/>
    <w:charset w:val="01"/>
    <w:family w:val="swiss"/>
    <w:pitch w:val="variable"/>
  </w:font>
  <w:font w:name="Liberation Sans">
    <w:altName w:val="Arial"/>
    <w:charset w:val="01"/>
    <w:family w:val="swiss"/>
    <w:pitch w:val="variable"/>
  </w:font>
  <w:font w:name="Calibri">
    <w:charset w:val="01"/>
    <w:family w:val="swiss"/>
    <w:pitch w:val="variable"/>
  </w:font>
  <w:font w:name="Bookman Old Style">
    <w:charset w:val="01"/>
    <w:family w:val="roman"/>
    <w:pitch w:val="variable"/>
  </w:font>
  <w:font w:name="ISOCPEUR">
    <w:altName w:val="Arial"/>
    <w:charset w:val="01"/>
    <w:family w:val="roman"/>
    <w:pitch w:val="variable"/>
  </w:font>
  <w:font w:name="Tinos">
    <w:charset w:val="01"/>
    <w:family w:val="auto"/>
    <w:pitch w:val="variable"/>
  </w:font>
  <w:font w:name="Symbol">
    <w:charset w:val="02"/>
    <w:family w:val="auto"/>
    <w:pitch w:val="default"/>
  </w:font>
  <w:font w:name="Times New Roman">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both"/>
      <w:rPr>
        <w:i/>
        <w:i/>
      </w:rPr>
    </w:pPr>
    <w:r>
      <w:rPr>
        <w:i/>
      </w:rPr>
      <w:tab/>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Cs w:val="20"/>
      </w:rPr>
    </w:pPr>
    <w:r>
      <w:rPr>
        <w:szCs w:val="20"/>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both"/>
      <w:rPr>
        <w:i/>
        <w:i/>
      </w:rPr>
    </w:pPr>
    <w:r>
      <w:rPr>
        <w:i/>
      </w:rPr>
      <w:tab/>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both"/>
      <w:rPr>
        <w:i/>
        <w:i/>
      </w:rPr>
    </w:pPr>
    <w:r>
      <w:rPr>
        <w:i/>
      </w:rPr>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1069" w:hanging="360"/>
      </w:pPr>
      <w:rPr>
        <w:lang w:val="ru-RU" w:eastAsia="ru-RU"/>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center"/>
      <w:pPr>
        <w:tabs>
          <w:tab w:val="num" w:pos="0"/>
        </w:tabs>
        <w:ind w:left="0" w:hanging="0"/>
      </w:pPr>
      <w:rPr>
        <w:i w:val="false"/>
        <w:b/>
      </w:rPr>
    </w:lvl>
    <w:lvl w:ilvl="1">
      <w:start w:val="1"/>
      <w:numFmt w:val="decimal"/>
      <w:lvlText w:val="%1.%2"/>
      <w:lvlJc w:val="left"/>
      <w:pPr>
        <w:tabs>
          <w:tab w:val="num" w:pos="2471"/>
        </w:tabs>
        <w:ind w:left="2471" w:hanging="851"/>
      </w:pPr>
      <w:rPr>
        <w:smallCaps w:val="false"/>
        <w:caps w:val="false"/>
        <w:dstrike w:val="false"/>
        <w:strike w:val="false"/>
        <w:vertAlign w:val="baseline"/>
        <w:position w:val="0"/>
        <w:sz w:val="24"/>
        <w:sz w:val="24"/>
        <w:spacing w:val="0"/>
        <w:i w:val="false"/>
        <w:u w:val="none"/>
        <w:b w:val="false"/>
        <w:kern w:val="0"/>
        <w:szCs w:val="24"/>
        <w:iCs w:val="false"/>
        <w:bCs w:val="false"/>
        <w:w w:val="100"/>
        <w:vanish w:val="false"/>
        <w:rFonts w:cs="Times New Roman"/>
        <w:color w:val="000000"/>
      </w:rPr>
    </w:lvl>
    <w:lvl w:ilvl="2">
      <w:start w:val="1"/>
      <w:numFmt w:val="decimal"/>
      <w:lvlText w:val="%1.%2.%3"/>
      <w:lvlJc w:val="left"/>
      <w:pPr>
        <w:tabs>
          <w:tab w:val="num" w:pos="851"/>
        </w:tabs>
        <w:ind w:left="851" w:hanging="851"/>
      </w:pPr>
      <w:rPr>
        <w:i w:val="false"/>
        <w:b w:val="false"/>
        <w:iCs w:val="false"/>
        <w:bCs w:val="false"/>
      </w:rPr>
    </w:lvl>
    <w:lvl w:ilvl="3">
      <w:start w:val="1"/>
      <w:numFmt w:val="lowerLetter"/>
      <w:lvlText w:val="%4)"/>
      <w:lvlJc w:val="left"/>
      <w:pPr>
        <w:tabs>
          <w:tab w:val="num" w:pos="1418"/>
        </w:tabs>
        <w:ind w:left="1418" w:hanging="567"/>
      </w:pPr>
      <w:rPr>
        <w:smallCaps w:val="false"/>
        <w:caps w:val="false"/>
        <w:dstrike w:val="false"/>
        <w:strike w:val="false"/>
        <w:vertAlign w:val="baseline"/>
        <w:position w:val="0"/>
        <w:sz w:val="24"/>
        <w:sz w:val="24"/>
        <w:spacing w:val="0"/>
        <w:i w:val="false"/>
        <w:u w:val="none"/>
        <w:b w:val="false"/>
        <w:kern w:val="0"/>
        <w:iCs w:val="false"/>
        <w:bCs w:val="false"/>
        <w:w w:val="100"/>
        <w:vanish w:val="false"/>
        <w:rFonts w:cs="Times New Roman"/>
        <w:color w:val="000000"/>
      </w:rPr>
    </w:lvl>
    <w:lvl w:ilvl="4">
      <w:start w:val="1"/>
      <w:numFmt w:val="lowerLetter"/>
      <w:lvlText w:val="%5)"/>
      <w:lvlJc w:val="left"/>
      <w:pPr>
        <w:tabs>
          <w:tab w:val="num" w:pos="1134"/>
        </w:tabs>
        <w:ind w:left="1134" w:hanging="567"/>
      </w:pPr>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lvl>
    <w:lvl w:ilvl="7">
      <w:start w:val="1"/>
      <w:numFmt w:val="decimal"/>
      <w:lvlText w:val="%1.%2.%3.%4.%5.%6.%7.%8."/>
      <w:lvlJc w:val="left"/>
      <w:pPr>
        <w:tabs>
          <w:tab w:val="num" w:pos="3978"/>
        </w:tabs>
        <w:ind w:left="2322" w:hanging="1224"/>
      </w:pPr>
      <w:rPr/>
    </w:lvl>
    <w:lvl w:ilvl="8">
      <w:start w:val="1"/>
      <w:numFmt w:val="decimal"/>
      <w:lvlText w:val="%1.%2.%3.%4.%5.%6.%7.%8.%9."/>
      <w:lvlJc w:val="left"/>
      <w:pPr>
        <w:tabs>
          <w:tab w:val="num" w:pos="4698"/>
        </w:tabs>
        <w:ind w:left="2898" w:hanging="1440"/>
      </w:pPr>
      <w:rPr/>
    </w:lvl>
  </w:abstractNum>
  <w:abstractNum w:abstractNumId="4">
    <w:lvl w:ilvl="0">
      <w:start w:val="1"/>
      <w:numFmt w:val="bullet"/>
      <w:lvlText w:val="−"/>
      <w:lvlJc w:val="left"/>
      <w:pPr>
        <w:tabs>
          <w:tab w:val="num" w:pos="0"/>
        </w:tabs>
        <w:ind w:left="1429" w:hanging="360"/>
      </w:pPr>
      <w:rPr>
        <w:rFonts w:ascii="Times New Roman" w:hAnsi="Times New Roman" w:cs="Times New Roman"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
    <w:lvl w:ilvl="0">
      <w:start w:val="1"/>
      <w:numFmt w:val="bullet"/>
      <w:lvlText w:val=""/>
      <w:lvlJc w:val="left"/>
      <w:pPr>
        <w:tabs>
          <w:tab w:val="num" w:pos="9432"/>
        </w:tabs>
        <w:ind w:left="8221" w:firstLine="851"/>
      </w:pPr>
      <w:rPr>
        <w:rFonts w:ascii="Symbol" w:hAnsi="Symbol" w:cs="Symbol" w:hint="default"/>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927"/>
        </w:tabs>
        <w:ind w:left="0" w:firstLine="567"/>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0"/>
        </w:tabs>
        <w:ind w:left="1069"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decimal"/>
      <w:lvlText w:val="%1"/>
      <w:lvlJc w:val="left"/>
      <w:pPr>
        <w:tabs>
          <w:tab w:val="num" w:pos="284"/>
        </w:tabs>
        <w:ind w:left="0" w:firstLine="851"/>
      </w:pPr>
      <w:rPr>
        <w:sz w:val="24"/>
        <w:i w:val="false"/>
        <w:b w:val="false"/>
        <w:szCs w:val="24"/>
        <w:rFonts w:ascii="Times New Roman" w:hAnsi="Times New Roman"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20"/>
  <w:displayBackgroundShape/>
  <w:defaultTabStop w:val="708"/>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Heading1">
    <w:name w:val="heading 1"/>
    <w:basedOn w:val="Normal"/>
    <w:next w:val="Normal"/>
    <w:qFormat/>
    <w:pPr>
      <w:widowControl w:val="false"/>
      <w:numPr>
        <w:ilvl w:val="0"/>
        <w:numId w:val="1"/>
      </w:numPr>
      <w:spacing w:before="108" w:after="108"/>
      <w:jc w:val="center"/>
      <w:outlineLvl w:val="0"/>
    </w:pPr>
    <w:rPr>
      <w:rFonts w:ascii="Arial" w:hAnsi="Arial" w:cs="Arial"/>
      <w:b/>
      <w:bCs/>
      <w:color w:val="000080"/>
      <w:sz w:val="20"/>
      <w:szCs w:val="20"/>
      <w:lang w:val="ru-RU"/>
    </w:rPr>
  </w:style>
  <w:style w:type="paragraph" w:styleId="Heading2">
    <w:name w:val="heading 2"/>
    <w:basedOn w:val="Normal"/>
    <w:next w:val="Normal"/>
    <w:qFormat/>
    <w:pPr>
      <w:keepNext w:val="true"/>
      <w:widowControl w:val="false"/>
      <w:numPr>
        <w:ilvl w:val="1"/>
        <w:numId w:val="1"/>
      </w:numPr>
      <w:ind w:hanging="0" w:left="0" w:right="-709"/>
      <w:jc w:val="center"/>
      <w:outlineLvl w:val="1"/>
    </w:pPr>
    <w:rPr>
      <w:b/>
      <w:sz w:val="20"/>
      <w:szCs w:val="20"/>
      <w:lang w:val="ru-RU"/>
    </w:rPr>
  </w:style>
  <w:style w:type="paragraph" w:styleId="Heading3">
    <w:name w:val="heading 3"/>
    <w:basedOn w:val="Normal"/>
    <w:next w:val="Normal"/>
    <w:qFormat/>
    <w:pPr>
      <w:keepNext w:val="true"/>
      <w:numPr>
        <w:ilvl w:val="2"/>
        <w:numId w:val="1"/>
      </w:numPr>
      <w:spacing w:before="240" w:after="60"/>
      <w:outlineLvl w:val="2"/>
    </w:pPr>
    <w:rPr>
      <w:rFonts w:ascii="Cambria" w:hAnsi="Cambria" w:cs="Cambria"/>
      <w:b/>
      <w:bCs/>
      <w:sz w:val="26"/>
      <w:szCs w:val="26"/>
      <w:lang w:val="ru-RU"/>
    </w:rPr>
  </w:style>
  <w:style w:type="paragraph" w:styleId="Heading4">
    <w:name w:val="heading 4"/>
    <w:basedOn w:val="Normal"/>
    <w:next w:val="Normal"/>
    <w:qFormat/>
    <w:pPr>
      <w:keepNext w:val="true"/>
      <w:keepLines/>
      <w:numPr>
        <w:ilvl w:val="3"/>
        <w:numId w:val="1"/>
      </w:numPr>
      <w:spacing w:before="200" w:after="0"/>
      <w:outlineLvl w:val="3"/>
    </w:pPr>
    <w:rPr>
      <w:rFonts w:ascii="Cambria" w:hAnsi="Cambria" w:cs="Cambria"/>
      <w:b/>
      <w:bCs/>
      <w:i/>
      <w:iCs/>
      <w:color w:val="4F81BD"/>
      <w:lang w:val="ru-RU"/>
    </w:rPr>
  </w:style>
  <w:style w:type="character" w:styleId="WW8Num2z0">
    <w:name w:val="WW8Num2z0"/>
    <w:qFormat/>
    <w:rPr>
      <w:lang w:val="ru-RU" w:eastAsia="ru-RU"/>
    </w:rPr>
  </w:style>
  <w:style w:type="character" w:styleId="WW8Num3z0">
    <w:name w:val="WW8Num3z0"/>
    <w:qFormat/>
    <w:rPr>
      <w:b/>
      <w:i w:val="false"/>
    </w:rPr>
  </w:style>
  <w:style w:type="character" w:styleId="WW8Num3z1">
    <w:name w:val="WW8Num3z1"/>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szCs w:val="24"/>
      <w:u w:val="none"/>
      <w:vertAlign w:val="baseline"/>
    </w:rPr>
  </w:style>
  <w:style w:type="character" w:styleId="WW8Num3z2">
    <w:name w:val="WW8Num3z2"/>
    <w:qFormat/>
    <w:rPr>
      <w:b w:val="false"/>
      <w:bCs w:val="false"/>
      <w:i w:val="false"/>
      <w:iCs w:val="false"/>
    </w:rPr>
  </w:style>
  <w:style w:type="character" w:styleId="WW8Num3z3">
    <w:name w:val="WW8Num3z3"/>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u w:val="none"/>
      <w:vertAlign w:val="baseline"/>
    </w:rPr>
  </w:style>
  <w:style w:type="character" w:styleId="WW8Num3z4">
    <w:name w:val="WW8Num3z4"/>
    <w:qFormat/>
    <w:rPr/>
  </w:style>
  <w:style w:type="character" w:styleId="WW8Num3z5">
    <w:name w:val="WW8Num3z5"/>
    <w:qFormat/>
    <w:rPr>
      <w:rFonts w:ascii="Symbol" w:hAnsi="Symbol" w:cs="Symbol"/>
    </w:rPr>
  </w:style>
  <w:style w:type="character" w:styleId="WW8Num4z0">
    <w:name w:val="WW8Num4z0"/>
    <w:qFormat/>
    <w:rPr>
      <w:rFonts w:ascii="Times New Roman" w:hAnsi="Times New Roman" w:cs="Times New Roman"/>
    </w:rPr>
  </w:style>
  <w:style w:type="character" w:styleId="WW8Num6z0">
    <w:name w:val="WW8Num6z0"/>
    <w:qFormat/>
    <w:rPr>
      <w:rFonts w:ascii="Symbol" w:hAnsi="Symbol" w:cs="Symbol"/>
      <w:color w:val="000000"/>
    </w:rPr>
  </w:style>
  <w:style w:type="character" w:styleId="WW8Num7z0">
    <w:name w:val="WW8Num7z0"/>
    <w:qFormat/>
    <w:rPr>
      <w:rFonts w:ascii="Symbol" w:hAnsi="Symbol" w:cs="Symbol"/>
    </w:rPr>
  </w:style>
  <w:style w:type="character" w:styleId="WW8Num8z0">
    <w:name w:val="WW8Num8z0"/>
    <w:qFormat/>
    <w:rPr/>
  </w:style>
  <w:style w:type="character" w:styleId="WW8Num9z0">
    <w:name w:val="WW8Num9z0"/>
    <w:qFormat/>
    <w:rPr>
      <w:rFonts w:ascii="Times New Roman" w:hAnsi="Times New Roman" w:cs="Times New Roman"/>
      <w:b w:val="false"/>
      <w:i w:val="false"/>
      <w:sz w:val="24"/>
      <w:szCs w:val="24"/>
    </w:rPr>
  </w:style>
  <w:style w:type="character" w:styleId="Style10">
    <w:name w:val="Основной шрифт абзаца"/>
    <w:qFormat/>
    <w:rPr/>
  </w:style>
  <w:style w:type="character" w:styleId="WW8Num1z0">
    <w:name w:val="WW8Num1z0"/>
    <w:qFormat/>
    <w:rPr>
      <w:rFonts w:ascii="Symbol" w:hAnsi="Symbol" w:eastAsia="Times New Roman" w:cs="Times New Roman"/>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1">
    <w:name w:val="WW8Num4z1"/>
    <w:qFormat/>
    <w:rPr>
      <w:rFonts w:ascii="Courier New" w:hAnsi="Courier New" w:cs="Courier New"/>
      <w:sz w:val="20"/>
    </w:rPr>
  </w:style>
  <w:style w:type="character" w:styleId="WW8Num4z2">
    <w:name w:val="WW8Num4z2"/>
    <w:qFormat/>
    <w:rPr>
      <w:rFonts w:ascii="Wingdings" w:hAnsi="Wingdings" w:cs="Wingdings"/>
      <w:sz w:val="20"/>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6z1">
    <w:name w:val="WW8Num6z1"/>
    <w:qFormat/>
    <w:rPr>
      <w:rFonts w:ascii="Courier New" w:hAnsi="Courier New" w:cs="Courier New"/>
      <w:sz w:val="20"/>
    </w:rPr>
  </w:style>
  <w:style w:type="character" w:styleId="WW8Num6z2">
    <w:name w:val="WW8Num6z2"/>
    <w:qFormat/>
    <w:rPr>
      <w:rFonts w:ascii="Wingdings" w:hAnsi="Wingdings" w:cs="Wingdings"/>
      <w:sz w:val="20"/>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1">
    <w:name w:val="WW8Num8z1"/>
    <w:qFormat/>
    <w:rPr>
      <w:rFonts w:ascii="Courier New" w:hAnsi="Courier New" w:cs="Courier New"/>
      <w:sz w:val="20"/>
    </w:rPr>
  </w:style>
  <w:style w:type="character" w:styleId="WW8Num8z2">
    <w:name w:val="WW8Num8z2"/>
    <w:qFormat/>
    <w:rPr>
      <w:rFonts w:ascii="Wingdings" w:hAnsi="Wingdings" w:cs="Wingdings"/>
      <w:sz w:val="20"/>
    </w:rPr>
  </w:style>
  <w:style w:type="character" w:styleId="WW8Num9z1">
    <w:name w:val="WW8Num9z1"/>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szCs w:val="24"/>
      <w:u w:val="none"/>
      <w:vertAlign w:val="baseline"/>
    </w:rPr>
  </w:style>
  <w:style w:type="character" w:styleId="WW8Num9z2">
    <w:name w:val="WW8Num9z2"/>
    <w:qFormat/>
    <w:rPr>
      <w:b w:val="false"/>
      <w:bCs w:val="false"/>
      <w:i w:val="false"/>
      <w:iCs w:val="false"/>
    </w:rPr>
  </w:style>
  <w:style w:type="character" w:styleId="WW8Num9z3">
    <w:name w:val="WW8Num9z3"/>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u w:val="none"/>
      <w:vertAlign w:val="baseline"/>
    </w:rPr>
  </w:style>
  <w:style w:type="character" w:styleId="WW8Num9z4">
    <w:name w:val="WW8Num9z4"/>
    <w:qFormat/>
    <w:rPr/>
  </w:style>
  <w:style w:type="character" w:styleId="WW8Num9z5">
    <w:name w:val="WW8Num9z5"/>
    <w:qFormat/>
    <w:rPr>
      <w:rFonts w:ascii="Symbol" w:hAnsi="Symbol" w:cs="Symbol"/>
    </w:rPr>
  </w:style>
  <w:style w:type="character" w:styleId="WW8Num10z0">
    <w:name w:val="WW8Num10z0"/>
    <w:qFormat/>
    <w:rPr>
      <w:rFonts w:ascii="Times New Roman" w:hAnsi="Times New Roman" w:eastAsia="Times New Roman" w:cs="Times New Roman"/>
    </w:rPr>
  </w:style>
  <w:style w:type="character" w:styleId="WW8Num10z1">
    <w:name w:val="WW8Num10z1"/>
    <w:qFormat/>
    <w:rPr>
      <w:rFonts w:ascii="Courier New" w:hAnsi="Courier New" w:cs="Courier New"/>
    </w:rPr>
  </w:style>
  <w:style w:type="character" w:styleId="WW8Num10z3">
    <w:name w:val="WW8Num10z3"/>
    <w:qFormat/>
    <w:rPr>
      <w:rFonts w:ascii="Symbol" w:hAnsi="Symbol" w:cs="Symbol"/>
    </w:rPr>
  </w:style>
  <w:style w:type="character" w:styleId="WW8Num10z5">
    <w:name w:val="WW8Num10z5"/>
    <w:qFormat/>
    <w:rPr>
      <w:rFonts w:ascii="Wingdings" w:hAnsi="Wingdings" w:cs="Wingdings"/>
    </w:rPr>
  </w:style>
  <w:style w:type="character" w:styleId="WW8Num11z0">
    <w:name w:val="WW8Num11z0"/>
    <w:qFormat/>
    <w:rPr>
      <w:rFonts w:ascii="Symbol" w:hAnsi="Symbol" w:eastAsia="Times New Roman" w:cs="Times New Roman"/>
      <w:sz w:val="26"/>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1z3">
    <w:name w:val="WW8Num11z3"/>
    <w:qFormat/>
    <w:rPr>
      <w:rFonts w:ascii="Symbol" w:hAnsi="Symbol" w:cs="Symbol"/>
    </w:rPr>
  </w:style>
  <w:style w:type="character" w:styleId="WW8Num12z0">
    <w:name w:val="WW8Num12z0"/>
    <w:qFormat/>
    <w:rPr>
      <w:rFonts w:ascii="Times New Roman" w:hAnsi="Times New Roman" w:cs="Times New Roman"/>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2z3">
    <w:name w:val="WW8Num12z3"/>
    <w:qFormat/>
    <w:rPr>
      <w:rFonts w:ascii="Symbol" w:hAnsi="Symbol" w:cs="Symbol"/>
    </w:rPr>
  </w:style>
  <w:style w:type="character" w:styleId="WW8Num13z0">
    <w:name w:val="WW8Num13z0"/>
    <w:qFormat/>
    <w:rPr>
      <w:rFonts w:ascii="Times New Roman" w:hAnsi="Times New Roman" w:cs="Times New Roman"/>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3z3">
    <w:name w:val="WW8Num13z3"/>
    <w:qFormat/>
    <w:rPr>
      <w:rFonts w:ascii="Symbol" w:hAnsi="Symbol" w:cs="Symbol"/>
    </w:rPr>
  </w:style>
  <w:style w:type="character" w:styleId="WW8Num14z0">
    <w:name w:val="WW8Num14z0"/>
    <w:qFormat/>
    <w:rPr>
      <w:rFonts w:ascii="Times New Roman" w:hAnsi="Times New Roman" w:cs="Times New Roman"/>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4z3">
    <w:name w:val="WW8Num14z3"/>
    <w:qFormat/>
    <w:rPr>
      <w:rFonts w:ascii="Symbol" w:hAnsi="Symbol" w:cs="Symbol"/>
    </w:rPr>
  </w:style>
  <w:style w:type="character" w:styleId="WW8Num15z0">
    <w:name w:val="WW8Num15z0"/>
    <w:qFormat/>
    <w:rPr>
      <w:rFonts w:ascii="Times New Roman" w:hAnsi="Times New Roman" w:cs="Times New Roman"/>
      <w:b w:val="false"/>
      <w:i w:val="false"/>
      <w:sz w:val="24"/>
      <w:szCs w:val="24"/>
    </w:rPr>
  </w:style>
  <w:style w:type="character" w:styleId="WW8Num15z1">
    <w:name w:val="WW8Num15z1"/>
    <w:qFormat/>
    <w:rPr>
      <w:rFonts w:ascii="Symbol" w:hAnsi="Symbol" w:cs="Symbol"/>
      <w:b w:val="false"/>
      <w:i w:val="false"/>
      <w:color w:val="000000"/>
      <w:sz w:val="24"/>
      <w:szCs w:val="24"/>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Symbol" w:hAnsi="Symbol" w:cs="Symbol"/>
      <w:sz w:val="20"/>
    </w:rPr>
  </w:style>
  <w:style w:type="character" w:styleId="WW8Num16z1">
    <w:name w:val="WW8Num16z1"/>
    <w:qFormat/>
    <w:rPr>
      <w:rFonts w:ascii="Courier New" w:hAnsi="Courier New" w:cs="Courier New"/>
      <w:sz w:val="20"/>
    </w:rPr>
  </w:style>
  <w:style w:type="character" w:styleId="WW8Num16z2">
    <w:name w:val="WW8Num16z2"/>
    <w:qFormat/>
    <w:rPr>
      <w:rFonts w:ascii="Wingdings" w:hAnsi="Wingdings" w:cs="Wingdings"/>
      <w:sz w:val="20"/>
    </w:rPr>
  </w:style>
  <w:style w:type="character" w:styleId="WW8Num17z0">
    <w:name w:val="WW8Num17z0"/>
    <w:qFormat/>
    <w:rPr>
      <w:b/>
    </w:rPr>
  </w:style>
  <w:style w:type="character" w:styleId="WW8Num17z1">
    <w:name w:val="WW8Num17z1"/>
    <w:qFormat/>
    <w:rPr>
      <w:b w:val="false"/>
    </w:rPr>
  </w:style>
  <w:style w:type="character" w:styleId="WW8Num17z2">
    <w:name w:val="WW8Num17z2"/>
    <w:qFormat/>
    <w:rPr/>
  </w:style>
  <w:style w:type="character" w:styleId="WW8Num18z0">
    <w:name w:val="WW8Num18z0"/>
    <w:qFormat/>
    <w:rPr>
      <w:rFonts w:ascii="Symbol" w:hAnsi="Symbol" w:eastAsia="Times New Roman" w:cs="Times New Roman"/>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8z3">
    <w:name w:val="WW8Num18z3"/>
    <w:qFormat/>
    <w:rPr>
      <w:rFonts w:ascii="Symbol" w:hAnsi="Symbol" w:cs="Symbol"/>
    </w:rPr>
  </w:style>
  <w:style w:type="character" w:styleId="WW8Num19z0">
    <w:name w:val="WW8Num19z0"/>
    <w:qFormat/>
    <w:rPr>
      <w:rFonts w:ascii="Symbol" w:hAnsi="Symbol" w:cs="Symbol"/>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19z3">
    <w:name w:val="WW8Num19z3"/>
    <w:qFormat/>
    <w:rPr>
      <w:rFonts w:ascii="Symbol" w:hAnsi="Symbol" w:cs="Symbol"/>
      <w:sz w:val="16"/>
      <w:szCs w:val="16"/>
    </w:rPr>
  </w:style>
  <w:style w:type="character" w:styleId="WW8Num20z0">
    <w:name w:val="WW8Num20z0"/>
    <w:qFormat/>
    <w:rPr>
      <w:b/>
    </w:rPr>
  </w:style>
  <w:style w:type="character" w:styleId="WW8Num20z1">
    <w:name w:val="WW8Num20z1"/>
    <w:qFormat/>
    <w:rPr>
      <w:rFonts w:ascii="Times New Roman" w:hAnsi="Times New Roman" w:cs="Times New Roman"/>
      <w:b/>
      <w:sz w:val="28"/>
      <w:szCs w:val="28"/>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2z0">
    <w:name w:val="WW8Num22z0"/>
    <w:qFormat/>
    <w:rPr/>
  </w:style>
  <w:style w:type="character" w:styleId="WW8Num23z0">
    <w:name w:val="WW8Num23z0"/>
    <w:qFormat/>
    <w:rPr>
      <w:rFonts w:ascii="Symbol" w:hAnsi="Symbol" w:cs="Symbol"/>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Times New Roman" w:hAnsi="Times New Roman" w:eastAsia="Times New Roman" w:cs="Times New Roman"/>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6z3">
    <w:name w:val="WW8Num26z3"/>
    <w:qFormat/>
    <w:rPr>
      <w:rFonts w:ascii="Symbol" w:hAnsi="Symbol" w:cs="Symbol"/>
    </w:rPr>
  </w:style>
  <w:style w:type="character" w:styleId="WW8Num27z0">
    <w:name w:val="WW8Num27z0"/>
    <w:qFormat/>
    <w:rPr>
      <w:rFonts w:ascii="Times New Roman" w:hAnsi="Times New Roman" w:eastAsia="Times New Roman" w:cs="Times New Roman"/>
    </w:rPr>
  </w:style>
  <w:style w:type="character" w:styleId="WW8Num27z1">
    <w:name w:val="WW8Num27z1"/>
    <w:qFormat/>
    <w:rPr>
      <w:rFonts w:ascii="Courier New" w:hAnsi="Courier New" w:cs="Courier New"/>
    </w:rPr>
  </w:style>
  <w:style w:type="character" w:styleId="WW8Num27z2">
    <w:name w:val="WW8Num27z2"/>
    <w:qFormat/>
    <w:rPr>
      <w:rFonts w:ascii="Wingdings" w:hAnsi="Wingdings" w:cs="Wingdings"/>
    </w:rPr>
  </w:style>
  <w:style w:type="character" w:styleId="WW8Num27z3">
    <w:name w:val="WW8Num27z3"/>
    <w:qFormat/>
    <w:rPr>
      <w:rFonts w:ascii="Symbol" w:hAnsi="Symbol" w:cs="Symbol"/>
    </w:rPr>
  </w:style>
  <w:style w:type="character" w:styleId="WW8Num28z0">
    <w:name w:val="WW8Num28z0"/>
    <w:qFormat/>
    <w:rPr>
      <w:rFonts w:ascii="Symbol" w:hAnsi="Symbol" w:cs="Symbol"/>
      <w:color w:val="000000"/>
    </w:rPr>
  </w:style>
  <w:style w:type="character" w:styleId="WW8Num28z1">
    <w:name w:val="WW8Num28z1"/>
    <w:qFormat/>
    <w:rPr>
      <w:rFonts w:cs="Times New Roman"/>
      <w:b w:val="false"/>
    </w:rPr>
  </w:style>
  <w:style w:type="character" w:styleId="WW8Num28z2">
    <w:name w:val="WW8Num28z2"/>
    <w:qFormat/>
    <w:rPr>
      <w:rFonts w:ascii="Wingdings" w:hAnsi="Wingdings" w:cs="Wingdings"/>
    </w:rPr>
  </w:style>
  <w:style w:type="character" w:styleId="WW8Num28z3">
    <w:name w:val="WW8Num28z3"/>
    <w:qFormat/>
    <w:rPr>
      <w:rFonts w:ascii="Symbol" w:hAnsi="Symbol" w:cs="Symbol"/>
    </w:rPr>
  </w:style>
  <w:style w:type="character" w:styleId="WW8Num28z4">
    <w:name w:val="WW8Num28z4"/>
    <w:qFormat/>
    <w:rPr>
      <w:rFonts w:ascii="Courier New" w:hAnsi="Courier New" w:cs="Courier New"/>
    </w:rPr>
  </w:style>
  <w:style w:type="character" w:styleId="WW8Num29z0">
    <w:name w:val="WW8Num29z0"/>
    <w:qFormat/>
    <w:rPr/>
  </w:style>
  <w:style w:type="character" w:styleId="WW8Num30z0">
    <w:name w:val="WW8Num30z0"/>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b/>
    </w:rPr>
  </w:style>
  <w:style w:type="character" w:styleId="WW8Num32z2">
    <w:name w:val="WW8Num32z2"/>
    <w:qFormat/>
    <w:rPr/>
  </w:style>
  <w:style w:type="character" w:styleId="WW8Num33z0">
    <w:name w:val="WW8Num33z0"/>
    <w:qFormat/>
    <w:rPr>
      <w:rFonts w:ascii="Symbol" w:hAnsi="Symbol" w:eastAsia="Times New Roman" w:cs="Times New Roman"/>
    </w:rPr>
  </w:style>
  <w:style w:type="character" w:styleId="WW8Num33z1">
    <w:name w:val="WW8Num33z1"/>
    <w:qFormat/>
    <w:rPr>
      <w:rFonts w:ascii="Courier New" w:hAnsi="Courier New" w:cs="Courier New"/>
    </w:rPr>
  </w:style>
  <w:style w:type="character" w:styleId="WW8Num33z2">
    <w:name w:val="WW8Num33z2"/>
    <w:qFormat/>
    <w:rPr>
      <w:rFonts w:ascii="Wingdings" w:hAnsi="Wingdings" w:cs="Wingdings"/>
    </w:rPr>
  </w:style>
  <w:style w:type="character" w:styleId="WW8Num33z3">
    <w:name w:val="WW8Num33z3"/>
    <w:qFormat/>
    <w:rPr>
      <w:rFonts w:ascii="Symbol" w:hAnsi="Symbol" w:cs="Symbol"/>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rFonts w:ascii="Symbol" w:hAnsi="Symbol" w:cs="Symbol"/>
      <w:sz w:val="20"/>
    </w:rPr>
  </w:style>
  <w:style w:type="character" w:styleId="WW8Num35z1">
    <w:name w:val="WW8Num35z1"/>
    <w:qFormat/>
    <w:rPr>
      <w:rFonts w:ascii="Courier New" w:hAnsi="Courier New" w:cs="Courier New"/>
      <w:sz w:val="20"/>
    </w:rPr>
  </w:style>
  <w:style w:type="character" w:styleId="WW8Num35z2">
    <w:name w:val="WW8Num35z2"/>
    <w:qFormat/>
    <w:rPr>
      <w:rFonts w:ascii="Wingdings" w:hAnsi="Wingdings" w:cs="Wingdings"/>
      <w:sz w:val="20"/>
    </w:rPr>
  </w:style>
  <w:style w:type="character" w:styleId="WW8Num36z0">
    <w:name w:val="WW8Num36z0"/>
    <w:qFormat/>
    <w:rPr>
      <w:rFonts w:ascii="Symbol" w:hAnsi="Symbol" w:cs="Symbol"/>
      <w:lang w:val="ru-RU" w:eastAsia="ru-RU"/>
    </w:rPr>
  </w:style>
  <w:style w:type="character" w:styleId="WW8Num36z1">
    <w:name w:val="WW8Num36z1"/>
    <w:qFormat/>
    <w:rPr>
      <w:rFonts w:ascii="Courier New" w:hAnsi="Courier New" w:cs="Courier New"/>
    </w:rPr>
  </w:style>
  <w:style w:type="character" w:styleId="WW8Num36z2">
    <w:name w:val="WW8Num36z2"/>
    <w:qFormat/>
    <w:rPr>
      <w:rFonts w:ascii="Wingdings" w:hAnsi="Wingdings" w:cs="Wingdings"/>
    </w:rPr>
  </w:style>
  <w:style w:type="character" w:styleId="WW8Num37z0">
    <w:name w:val="WW8Num37z0"/>
    <w:qFormat/>
    <w:rPr>
      <w:rFonts w:ascii="Symbol" w:hAnsi="Symbol" w:cs="Symbol"/>
    </w:rPr>
  </w:style>
  <w:style w:type="character" w:styleId="WW8Num37z1">
    <w:name w:val="WW8Num37z1"/>
    <w:qFormat/>
    <w:rPr>
      <w:rFonts w:ascii="Courier New" w:hAnsi="Courier New" w:cs="Courier New"/>
    </w:rPr>
  </w:style>
  <w:style w:type="character" w:styleId="WW8Num37z2">
    <w:name w:val="WW8Num37z2"/>
    <w:qFormat/>
    <w:rPr>
      <w:rFonts w:ascii="Wingdings" w:hAnsi="Wingdings" w:cs="Wingdings"/>
    </w:rPr>
  </w:style>
  <w:style w:type="character" w:styleId="WW8Num38z0">
    <w:name w:val="WW8Num38z0"/>
    <w:qFormat/>
    <w:rPr>
      <w:rFonts w:ascii="Symbol" w:hAnsi="Symbol" w:cs="Symbol"/>
    </w:rPr>
  </w:style>
  <w:style w:type="character" w:styleId="WW8Num38z1">
    <w:name w:val="WW8Num38z1"/>
    <w:qFormat/>
    <w:rPr>
      <w:rFonts w:ascii="Courier New" w:hAnsi="Courier New" w:cs="Courier New"/>
    </w:rPr>
  </w:style>
  <w:style w:type="character" w:styleId="WW8Num38z2">
    <w:name w:val="WW8Num38z2"/>
    <w:qFormat/>
    <w:rPr>
      <w:rFonts w:ascii="Wingdings" w:hAnsi="Wingdings" w:cs="Wingdings"/>
    </w:rPr>
  </w:style>
  <w:style w:type="character" w:styleId="WW8Num39z0">
    <w:name w:val="WW8Num39z0"/>
    <w:qFormat/>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1">
    <w:name w:val="Основной шрифт абзаца1"/>
    <w:qFormat/>
    <w:rPr/>
  </w:style>
  <w:style w:type="character" w:styleId="11">
    <w:name w:val="Заголовок 1 Знак"/>
    <w:qFormat/>
    <w:rPr>
      <w:rFonts w:ascii="Arial" w:hAnsi="Arial" w:eastAsia="Times New Roman" w:cs="Times New Roman"/>
      <w:b/>
      <w:bCs/>
      <w:color w:val="000080"/>
      <w:sz w:val="20"/>
      <w:szCs w:val="20"/>
    </w:rPr>
  </w:style>
  <w:style w:type="character" w:styleId="Style11">
    <w:name w:val="Верхний колонтитул Знак"/>
    <w:qFormat/>
    <w:rPr>
      <w:rFonts w:ascii="Times New Roman" w:hAnsi="Times New Roman" w:eastAsia="Times New Roman" w:cs="Times New Roman"/>
      <w:sz w:val="24"/>
      <w:szCs w:val="24"/>
    </w:rPr>
  </w:style>
  <w:style w:type="character" w:styleId="Style12">
    <w:name w:val="Нижний колонтитул Знак"/>
    <w:qFormat/>
    <w:rPr>
      <w:rFonts w:ascii="Times New Roman" w:hAnsi="Times New Roman" w:eastAsia="Times New Roman" w:cs="Times New Roman"/>
      <w:sz w:val="24"/>
      <w:szCs w:val="24"/>
    </w:rPr>
  </w:style>
  <w:style w:type="character" w:styleId="Style13">
    <w:name w:val="Текст выноски Знак"/>
    <w:qFormat/>
    <w:rPr>
      <w:rFonts w:ascii="Tahoma" w:hAnsi="Tahoma" w:eastAsia="Times New Roman" w:cs="Tahoma"/>
      <w:sz w:val="16"/>
      <w:szCs w:val="16"/>
    </w:rPr>
  </w:style>
  <w:style w:type="character" w:styleId="Style14">
    <w:name w:val="Основной текст Знак"/>
    <w:qFormat/>
    <w:rPr>
      <w:rFonts w:ascii="Arial" w:hAnsi="Arial" w:eastAsia="Times New Roman" w:cs="Times New Roman"/>
      <w:sz w:val="24"/>
      <w:szCs w:val="20"/>
    </w:rPr>
  </w:style>
  <w:style w:type="character" w:styleId="apple-converted-space">
    <w:name w:val="apple-converted-space"/>
    <w:qFormat/>
    <w:rPr>
      <w:rFonts w:cs="Times New Roman"/>
    </w:rPr>
  </w:style>
  <w:style w:type="character" w:styleId="4">
    <w:name w:val="Заголовок 4 Знак"/>
    <w:qFormat/>
    <w:rPr>
      <w:rFonts w:ascii="Cambria" w:hAnsi="Cambria" w:eastAsia="Times New Roman" w:cs="Times New Roman"/>
      <w:b/>
      <w:bCs/>
      <w:i/>
      <w:iCs/>
      <w:color w:val="4F81BD"/>
      <w:sz w:val="24"/>
      <w:szCs w:val="24"/>
    </w:rPr>
  </w:style>
  <w:style w:type="character" w:styleId="2">
    <w:name w:val="Основной текст с отступом 2 Знак"/>
    <w:qFormat/>
    <w:rPr>
      <w:rFonts w:ascii="Times New Roman" w:hAnsi="Times New Roman" w:eastAsia="Times New Roman" w:cs="Times New Roman"/>
      <w:sz w:val="24"/>
      <w:szCs w:val="24"/>
    </w:rPr>
  </w:style>
  <w:style w:type="character" w:styleId="CharChar">
    <w:name w:val="Обычный Char Char"/>
    <w:qFormat/>
    <w:rPr>
      <w:rFonts w:ascii="Times New Roman" w:hAnsi="Times New Roman" w:eastAsia="Times New Roman" w:cs="Times New Roman"/>
      <w:sz w:val="24"/>
      <w:lang w:bidi="ar-SA"/>
    </w:rPr>
  </w:style>
  <w:style w:type="character" w:styleId="FontStyle19">
    <w:name w:val="Font Style19"/>
    <w:qFormat/>
    <w:rPr>
      <w:rFonts w:ascii="Times New Roman" w:hAnsi="Times New Roman" w:cs="Times New Roman"/>
      <w:b/>
      <w:bCs/>
      <w:sz w:val="24"/>
      <w:szCs w:val="24"/>
    </w:rPr>
  </w:style>
  <w:style w:type="character" w:styleId="FontStyle20">
    <w:name w:val="Font Style20"/>
    <w:qFormat/>
    <w:rPr>
      <w:rFonts w:ascii="Times New Roman" w:hAnsi="Times New Roman" w:cs="Times New Roman"/>
      <w:i/>
      <w:iCs/>
      <w:sz w:val="26"/>
      <w:szCs w:val="26"/>
    </w:rPr>
  </w:style>
  <w:style w:type="character" w:styleId="FontStyle21">
    <w:name w:val="Font Style21"/>
    <w:qFormat/>
    <w:rPr>
      <w:rFonts w:ascii="Times New Roman" w:hAnsi="Times New Roman" w:cs="Times New Roman"/>
      <w:i/>
      <w:iCs/>
      <w:sz w:val="16"/>
      <w:szCs w:val="16"/>
    </w:rPr>
  </w:style>
  <w:style w:type="character" w:styleId="FontStyle23">
    <w:name w:val="Font Style23"/>
    <w:qFormat/>
    <w:rPr>
      <w:rFonts w:ascii="Times New Roman" w:hAnsi="Times New Roman" w:cs="Times New Roman"/>
      <w:b/>
      <w:bCs/>
      <w:sz w:val="16"/>
      <w:szCs w:val="16"/>
    </w:rPr>
  </w:style>
  <w:style w:type="character" w:styleId="FontStyle24">
    <w:name w:val="Font Style24"/>
    <w:qFormat/>
    <w:rPr>
      <w:rFonts w:ascii="Times New Roman" w:hAnsi="Times New Roman" w:cs="Times New Roman"/>
      <w:sz w:val="26"/>
      <w:szCs w:val="26"/>
    </w:rPr>
  </w:style>
  <w:style w:type="character" w:styleId="21">
    <w:name w:val="Заголовок 2 Знак"/>
    <w:qFormat/>
    <w:rPr>
      <w:rFonts w:ascii="Times New Roman" w:hAnsi="Times New Roman" w:eastAsia="Times New Roman" w:cs="Times New Roman"/>
      <w:b/>
      <w:szCs w:val="20"/>
    </w:rPr>
  </w:style>
  <w:style w:type="character" w:styleId="Style15">
    <w:name w:val="Замещающий текст"/>
    <w:qFormat/>
    <w:rPr>
      <w:color w:val="808080"/>
    </w:rPr>
  </w:style>
  <w:style w:type="character" w:styleId="Style16">
    <w:name w:val="Без интервала Знак"/>
    <w:qFormat/>
    <w:rPr>
      <w:rFonts w:eastAsia="Times New Roman"/>
      <w:lang w:bidi="ar-SA"/>
    </w:rPr>
  </w:style>
  <w:style w:type="character" w:styleId="3">
    <w:name w:val="Заголовок 3 Знак"/>
    <w:qFormat/>
    <w:rPr>
      <w:rFonts w:ascii="Cambria" w:hAnsi="Cambria" w:eastAsia="Times New Roman" w:cs="Times New Roman"/>
      <w:b/>
      <w:bCs/>
      <w:sz w:val="26"/>
      <w:szCs w:val="26"/>
    </w:rPr>
  </w:style>
  <w:style w:type="character" w:styleId="12">
    <w:name w:val="Знак примечания1"/>
    <w:qFormat/>
    <w:rPr>
      <w:sz w:val="16"/>
      <w:szCs w:val="16"/>
    </w:rPr>
  </w:style>
  <w:style w:type="character" w:styleId="Style17">
    <w:name w:val="Текст примечания Знак"/>
    <w:qFormat/>
    <w:rPr>
      <w:rFonts w:ascii="Times New Roman" w:hAnsi="Times New Roman" w:eastAsia="Times New Roman" w:cs="Times New Roman"/>
      <w:sz w:val="20"/>
      <w:szCs w:val="20"/>
    </w:rPr>
  </w:style>
  <w:style w:type="character" w:styleId="Style18">
    <w:name w:val="Тема примечания Знак"/>
    <w:qFormat/>
    <w:rPr>
      <w:rFonts w:ascii="Times New Roman" w:hAnsi="Times New Roman" w:eastAsia="Times New Roman" w:cs="Times New Roman"/>
      <w:b/>
      <w:bCs/>
      <w:sz w:val="20"/>
      <w:szCs w:val="20"/>
    </w:rPr>
  </w:style>
  <w:style w:type="character" w:styleId="Osn">
    <w:name w:val="Osn Знак"/>
    <w:qFormat/>
    <w:rPr>
      <w:rFonts w:ascii="Times New Roman" w:hAnsi="Times New Roman" w:eastAsia="Times New Roman" w:cs="Times New Roman"/>
      <w:bCs/>
      <w:color w:val="000000"/>
      <w:sz w:val="28"/>
      <w:szCs w:val="26"/>
      <w:shd w:fill="FFFFFF" w:val="clear"/>
    </w:rPr>
  </w:style>
  <w:style w:type="character" w:styleId="---">
    <w:name w:val="--- Знак"/>
    <w:qFormat/>
    <w:rPr>
      <w:rFonts w:ascii="Times New Roman" w:hAnsi="Times New Roman" w:eastAsia="Times New Roman" w:cs="Times New Roman"/>
      <w:sz w:val="28"/>
      <w:szCs w:val="28"/>
      <w:shd w:fill="FFFFFF" w:val="clear"/>
      <w:lang w:val="ru-RU"/>
    </w:rPr>
  </w:style>
  <w:style w:type="character" w:styleId="13">
    <w:name w:val="№1 Знак"/>
    <w:qFormat/>
    <w:rPr>
      <w:rFonts w:ascii="Times New Roman" w:hAnsi="Times New Roman" w:eastAsia="Times New Roman" w:cs="Times New Roman"/>
      <w:b/>
      <w:bCs/>
      <w:color w:val="000000"/>
      <w:sz w:val="28"/>
      <w:szCs w:val="28"/>
    </w:rPr>
  </w:style>
  <w:style w:type="character" w:styleId="22">
    <w:name w:val="№2 Знак"/>
    <w:qFormat/>
    <w:rPr>
      <w:rFonts w:ascii="Times New Roman" w:hAnsi="Times New Roman" w:eastAsia="Times New Roman" w:cs="Times New Roman"/>
      <w:bCs/>
      <w:color w:val="000000"/>
      <w:sz w:val="28"/>
      <w:szCs w:val="28"/>
    </w:rPr>
  </w:style>
  <w:style w:type="character" w:styleId="Style19">
    <w:name w:val="Основной текст с отступом Знак"/>
    <w:qFormat/>
    <w:rPr>
      <w:rFonts w:ascii="Times New Roman" w:hAnsi="Times New Roman" w:eastAsia="Times New Roman" w:cs="Times New Roman"/>
      <w:sz w:val="24"/>
      <w:szCs w:val="24"/>
    </w:rPr>
  </w:style>
  <w:style w:type="character" w:styleId="41">
    <w:name w:val="№4 Знак"/>
    <w:qFormat/>
    <w:rPr>
      <w:rFonts w:ascii="Times New Roman" w:hAnsi="Times New Roman" w:eastAsia="Times New Roman" w:cs="Times New Roman"/>
      <w:bCs/>
      <w:color w:val="000000"/>
      <w:spacing w:val="-2"/>
      <w:sz w:val="28"/>
      <w:szCs w:val="26"/>
      <w:shd w:fill="FFFFFF" w:val="clear"/>
    </w:rPr>
  </w:style>
  <w:style w:type="character" w:styleId="Style20">
    <w:name w:val="Основной текст_"/>
    <w:qFormat/>
    <w:rPr>
      <w:sz w:val="26"/>
      <w:szCs w:val="26"/>
      <w:shd w:fill="FFFFFF" w:val="clear"/>
    </w:rPr>
  </w:style>
  <w:style w:type="character" w:styleId="ConsPlusNormal">
    <w:name w:val="ConsPlusNormal Знак"/>
    <w:qFormat/>
    <w:rPr>
      <w:rFonts w:ascii="Arial" w:hAnsi="Arial" w:eastAsia="Times New Roman" w:cs="Arial"/>
      <w:sz w:val="24"/>
      <w:szCs w:val="24"/>
      <w:lang w:bidi="ar-SA"/>
    </w:rPr>
  </w:style>
  <w:style w:type="character" w:styleId="Hyperlink">
    <w:name w:val="Hyperlink"/>
    <w:rPr>
      <w:color w:val="0000FF"/>
      <w:u w:val="single"/>
    </w:rPr>
  </w:style>
  <w:style w:type="character" w:styleId="FontStyle42">
    <w:name w:val="Font Style42"/>
    <w:qFormat/>
    <w:rPr>
      <w:rFonts w:ascii="Times New Roman" w:hAnsi="Times New Roman" w:cs="Times New Roman"/>
      <w:sz w:val="24"/>
      <w:szCs w:val="24"/>
    </w:rPr>
  </w:style>
  <w:style w:type="character" w:styleId="Normal1">
    <w:name w:val="Normal Знак"/>
    <w:qFormat/>
    <w:rPr>
      <w:rFonts w:ascii="Times New Roman" w:hAnsi="Times New Roman" w:eastAsia="Arial" w:cs="Times New Roman"/>
      <w:lang w:bidi="ar-SA"/>
    </w:rPr>
  </w:style>
  <w:style w:type="character" w:styleId="blk">
    <w:name w:val="blk"/>
    <w:qFormat/>
    <w:rPr/>
  </w:style>
  <w:style w:type="character" w:styleId="FollowedHyperlink">
    <w:name w:val="FollowedHyperlink"/>
    <w:rPr>
      <w:color w:val="800080"/>
      <w:u w:val="single"/>
    </w:rPr>
  </w:style>
  <w:style w:type="paragraph" w:styleId="Style21">
    <w:name w:val="Заголовок"/>
    <w:basedOn w:val="Normal"/>
    <w:next w:val="BodyText"/>
    <w:qFormat/>
    <w:pPr>
      <w:keepNext w:val="true"/>
      <w:spacing w:before="240" w:after="120"/>
    </w:pPr>
    <w:rPr>
      <w:rFonts w:ascii="PT Astra Serif;Times New Roman" w:hAnsi="PT Astra Serif;Times New Roman" w:eastAsia="Tahoma" w:cs="Noto Sans Devanagari;Times New Roman"/>
      <w:sz w:val="28"/>
      <w:szCs w:val="28"/>
    </w:rPr>
  </w:style>
  <w:style w:type="paragraph" w:styleId="BodyText">
    <w:name w:val="Body Text"/>
    <w:basedOn w:val="Normal"/>
    <w:pPr>
      <w:spacing w:before="240" w:after="120"/>
      <w:ind w:firstLine="567" w:left="284" w:right="284"/>
      <w:jc w:val="both"/>
    </w:pPr>
    <w:rPr>
      <w:rFonts w:ascii="Arial" w:hAnsi="Arial" w:cs="Arial"/>
      <w:szCs w:val="20"/>
      <w:lang w:val="ru-RU"/>
    </w:rPr>
  </w:style>
  <w:style w:type="paragraph" w:styleId="List">
    <w:name w:val="List"/>
    <w:basedOn w:val="BodyText"/>
    <w:pPr/>
    <w:rPr>
      <w:rFonts w:ascii="PT Astra Serif;Times New Roman" w:hAnsi="PT Astra Serif;Times New Roman" w:cs="Noto Sans Devanagari;Times New Roman"/>
    </w:rPr>
  </w:style>
  <w:style w:type="paragraph" w:styleId="Caption">
    <w:name w:val="caption"/>
    <w:basedOn w:val="Normal"/>
    <w:qFormat/>
    <w:pPr>
      <w:suppressLineNumbers/>
      <w:spacing w:before="120" w:after="120"/>
    </w:pPr>
    <w:rPr>
      <w:i/>
      <w:iCs/>
      <w:sz w:val="24"/>
      <w:szCs w:val="24"/>
    </w:rPr>
  </w:style>
  <w:style w:type="paragraph" w:styleId="Style22">
    <w:name w:val="Указатель"/>
    <w:basedOn w:val="Normal"/>
    <w:qFormat/>
    <w:pPr>
      <w:suppressLineNumbers/>
    </w:pPr>
    <w:rPr/>
  </w:style>
  <w:style w:type="paragraph" w:styleId="user">
    <w:name w:val="Заголовок (user)"/>
    <w:basedOn w:val="Normal"/>
    <w:next w:val="BodyText"/>
    <w:qFormat/>
    <w:pPr>
      <w:keepNext w:val="true"/>
      <w:spacing w:before="240" w:after="120"/>
    </w:pPr>
    <w:rPr>
      <w:rFonts w:ascii="Liberation Sans" w:hAnsi="Liberation Sans" w:eastAsia="Noto Sans" w:cs="Noto Sans"/>
      <w:sz w:val="28"/>
      <w:szCs w:val="28"/>
    </w:rPr>
  </w:style>
  <w:style w:type="paragraph" w:styleId="user1">
    <w:name w:val="Указатель (user)"/>
    <w:basedOn w:val="Normal"/>
    <w:qFormat/>
    <w:pPr>
      <w:suppressLineNumbers/>
    </w:pPr>
    <w:rPr/>
  </w:style>
  <w:style w:type="paragraph" w:styleId="caption1">
    <w:name w:val="caption1"/>
    <w:basedOn w:val="Normal"/>
    <w:qFormat/>
    <w:pPr>
      <w:suppressLineNumbers/>
      <w:spacing w:before="120" w:after="120"/>
    </w:pPr>
    <w:rPr>
      <w:i/>
      <w:iCs/>
      <w:sz w:val="24"/>
      <w:szCs w:val="24"/>
    </w:rPr>
  </w:style>
  <w:style w:type="paragraph" w:styleId="caption11">
    <w:name w:val="caption11"/>
    <w:basedOn w:val="Normal"/>
    <w:qFormat/>
    <w:pPr>
      <w:suppressLineNumbers/>
      <w:spacing w:before="120" w:after="120"/>
    </w:pPr>
    <w:rPr>
      <w:i/>
      <w:iCs/>
      <w:sz w:val="24"/>
      <w:szCs w:val="24"/>
    </w:rPr>
  </w:style>
  <w:style w:type="paragraph" w:styleId="caption111">
    <w:name w:val="caption111"/>
    <w:basedOn w:val="Normal"/>
    <w:qFormat/>
    <w:pPr>
      <w:suppressLineNumbers/>
      <w:spacing w:before="120" w:after="120"/>
    </w:pPr>
    <w:rPr>
      <w:i/>
      <w:iCs/>
      <w:sz w:val="24"/>
      <w:szCs w:val="24"/>
    </w:rPr>
  </w:style>
  <w:style w:type="paragraph" w:styleId="caption1111">
    <w:name w:val="caption1111"/>
    <w:basedOn w:val="Normal"/>
    <w:qFormat/>
    <w:pPr>
      <w:suppressLineNumbers/>
      <w:spacing w:before="120" w:after="120"/>
    </w:pPr>
    <w:rPr>
      <w:i/>
      <w:iCs/>
      <w:sz w:val="24"/>
      <w:szCs w:val="24"/>
    </w:rPr>
  </w:style>
  <w:style w:type="paragraph" w:styleId="Style23">
    <w:name w:val="Название объекта"/>
    <w:basedOn w:val="Normal"/>
    <w:qFormat/>
    <w:pPr>
      <w:suppressLineNumbers/>
      <w:spacing w:before="120" w:after="120"/>
    </w:pPr>
    <w:rPr>
      <w:rFonts w:ascii="PT Astra Serif;Times New Roman" w:hAnsi="PT Astra Serif;Times New Roman" w:cs="Noto Sans Devanagari;Times New Roman"/>
      <w:i/>
      <w:iCs/>
      <w:sz w:val="24"/>
      <w:szCs w:val="24"/>
    </w:rPr>
  </w:style>
  <w:style w:type="paragraph" w:styleId="14">
    <w:name w:val="Указатель1"/>
    <w:basedOn w:val="Normal"/>
    <w:qFormat/>
    <w:pPr>
      <w:suppressLineNumbers/>
    </w:pPr>
    <w:rPr>
      <w:rFonts w:ascii="PT Astra Serif;Times New Roman" w:hAnsi="PT Astra Serif;Times New Roman" w:cs="Noto Sans Devanagari;Times New Roman"/>
    </w:rPr>
  </w:style>
  <w:style w:type="paragraph" w:styleId="Style24">
    <w:name w:val="Верхний и нижний колонтитулы"/>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rPr>
      <w:lang w:val="ru-RU"/>
    </w:rPr>
  </w:style>
  <w:style w:type="paragraph" w:styleId="Footer">
    <w:name w:val="footer"/>
    <w:basedOn w:val="Normal"/>
    <w:pPr/>
    <w:rPr>
      <w:lang w:val="ru-RU"/>
    </w:rPr>
  </w:style>
  <w:style w:type="paragraph" w:styleId="Style25">
    <w:name w:val="Без интервала"/>
    <w:qFormat/>
    <w:pPr>
      <w:widowControl/>
      <w:suppressAutoHyphens w:val="true"/>
      <w:bidi w:val="0"/>
      <w:spacing w:before="0" w:after="0"/>
      <w:jc w:val="left"/>
    </w:pPr>
    <w:rPr>
      <w:rFonts w:ascii="Calibri" w:hAnsi="Calibri" w:eastAsia="Times New Roman" w:cs="Calibri"/>
      <w:color w:val="auto"/>
      <w:kern w:val="0"/>
      <w:sz w:val="20"/>
      <w:szCs w:val="20"/>
      <w:lang w:val="ru-RU" w:eastAsia="zh-CN" w:bidi="ar-SA"/>
    </w:rPr>
  </w:style>
  <w:style w:type="paragraph" w:styleId="15">
    <w:name w:val="Обычный1"/>
    <w:qFormat/>
    <w:pPr>
      <w:widowControl w:val="false"/>
      <w:suppressAutoHyphens w:val="true"/>
      <w:bidi w:val="0"/>
      <w:spacing w:lineRule="auto" w:line="300" w:before="0" w:after="0"/>
      <w:ind w:firstLine="720" w:left="0" w:right="0"/>
      <w:jc w:val="both"/>
    </w:pPr>
    <w:rPr>
      <w:rFonts w:ascii="Times New Roman" w:hAnsi="Times New Roman" w:eastAsia="Times New Roman" w:cs="Times New Roman"/>
      <w:color w:val="auto"/>
      <w:kern w:val="0"/>
      <w:sz w:val="24"/>
      <w:szCs w:val="20"/>
      <w:lang w:val="ru-RU" w:eastAsia="zh-CN" w:bidi="ar-SA"/>
    </w:rPr>
  </w:style>
  <w:style w:type="paragraph" w:styleId="Style26">
    <w:name w:val="Абзац списка"/>
    <w:basedOn w:val="Normal"/>
    <w:qFormat/>
    <w:pPr>
      <w:ind w:hanging="0" w:left="708" w:right="0"/>
    </w:pPr>
    <w:rPr/>
  </w:style>
  <w:style w:type="paragraph" w:styleId="FR1">
    <w:name w:val="FR1"/>
    <w:qFormat/>
    <w:pPr>
      <w:widowControl w:val="false"/>
      <w:suppressAutoHyphens w:val="true"/>
      <w:bidi w:val="0"/>
      <w:spacing w:before="700" w:after="0"/>
      <w:jc w:val="left"/>
    </w:pPr>
    <w:rPr>
      <w:rFonts w:ascii="Times New Roman" w:hAnsi="Times New Roman" w:eastAsia="Times New Roman" w:cs="Times New Roman"/>
      <w:b/>
      <w:color w:val="auto"/>
      <w:kern w:val="0"/>
      <w:sz w:val="28"/>
      <w:szCs w:val="20"/>
      <w:lang w:val="ru-RU" w:eastAsia="zh-CN" w:bidi="ar-SA"/>
    </w:rPr>
  </w:style>
  <w:style w:type="paragraph" w:styleId="42">
    <w:name w:val="Обычный4"/>
    <w:qFormat/>
    <w:pPr>
      <w:widowControl w:val="false"/>
      <w:suppressAutoHyphens w:val="true"/>
      <w:bidi w:val="0"/>
      <w:spacing w:lineRule="auto" w:line="300" w:before="0" w:after="0"/>
      <w:ind w:firstLine="720" w:left="0" w:right="0"/>
      <w:jc w:val="both"/>
    </w:pPr>
    <w:rPr>
      <w:rFonts w:ascii="Times New Roman" w:hAnsi="Times New Roman" w:eastAsia="Times New Roman" w:cs="Times New Roman"/>
      <w:color w:val="auto"/>
      <w:kern w:val="0"/>
      <w:sz w:val="24"/>
      <w:szCs w:val="20"/>
      <w:lang w:val="ru-RU" w:eastAsia="zh-CN" w:bidi="ar-SA"/>
    </w:rPr>
  </w:style>
  <w:style w:type="paragraph" w:styleId="Style27">
    <w:name w:val="Текст выноски"/>
    <w:basedOn w:val="Normal"/>
    <w:qFormat/>
    <w:pPr/>
    <w:rPr>
      <w:rFonts w:ascii="Tahoma" w:hAnsi="Tahoma" w:cs="Tahoma"/>
      <w:sz w:val="16"/>
      <w:szCs w:val="16"/>
      <w:lang w:val="ru-RU"/>
    </w:rPr>
  </w:style>
  <w:style w:type="paragraph" w:styleId="23">
    <w:name w:val="Обычный2"/>
    <w:qFormat/>
    <w:pPr>
      <w:widowControl w:val="false"/>
      <w:suppressAutoHyphens w:val="true"/>
      <w:bidi w:val="0"/>
      <w:spacing w:lineRule="auto" w:line="300" w:before="0" w:after="0"/>
      <w:ind w:firstLine="720" w:left="0" w:right="0"/>
      <w:jc w:val="both"/>
    </w:pPr>
    <w:rPr>
      <w:rFonts w:ascii="Times New Roman" w:hAnsi="Times New Roman" w:eastAsia="Times New Roman" w:cs="Times New Roman"/>
      <w:color w:val="auto"/>
      <w:kern w:val="0"/>
      <w:sz w:val="24"/>
      <w:szCs w:val="20"/>
      <w:lang w:val="ru-RU" w:eastAsia="zh-CN" w:bidi="ar-SA"/>
    </w:rPr>
  </w:style>
  <w:style w:type="paragraph" w:styleId="ListParagraph1">
    <w:name w:val="List Paragraph1"/>
    <w:basedOn w:val="Normal"/>
    <w:qFormat/>
    <w:pPr>
      <w:ind w:hanging="0" w:left="720" w:right="0"/>
    </w:pPr>
    <w:rPr>
      <w:rFonts w:eastAsia="Calibri"/>
    </w:rPr>
  </w:style>
  <w:style w:type="paragraph" w:styleId="Style28">
    <w:name w:val="Обычный.Нормальный абзац"/>
    <w:qFormat/>
    <w:pPr>
      <w:widowControl w:val="false"/>
      <w:suppressAutoHyphens w:val="true"/>
      <w:bidi w:val="0"/>
      <w:spacing w:before="0" w:after="0"/>
      <w:ind w:firstLine="709" w:left="0" w:right="0"/>
      <w:jc w:val="both"/>
    </w:pPr>
    <w:rPr>
      <w:rFonts w:ascii="Times New Roman" w:hAnsi="Times New Roman" w:eastAsia="Times New Roman" w:cs="Times New Roman"/>
      <w:color w:val="auto"/>
      <w:kern w:val="0"/>
      <w:sz w:val="24"/>
      <w:szCs w:val="24"/>
      <w:lang w:val="ru-RU" w:eastAsia="zh-CN" w:bidi="ar-SA"/>
    </w:rPr>
  </w:style>
  <w:style w:type="paragraph" w:styleId="Default">
    <w:name w:val="Default"/>
    <w:qFormat/>
    <w:pPr>
      <w:widowControl/>
      <w:suppressAutoHyphens w:val="true"/>
      <w:bidi w:val="0"/>
      <w:spacing w:before="0" w:after="0"/>
      <w:jc w:val="left"/>
    </w:pPr>
    <w:rPr>
      <w:rFonts w:ascii="Bookman Old Style" w:hAnsi="Bookman Old Style" w:eastAsia="Calibri" w:cs="Bookman Old Style"/>
      <w:color w:val="000000"/>
      <w:kern w:val="0"/>
      <w:sz w:val="24"/>
      <w:szCs w:val="24"/>
      <w:lang w:val="ru-RU" w:eastAsia="zh-CN" w:bidi="ar-SA"/>
    </w:rPr>
  </w:style>
  <w:style w:type="paragraph" w:styleId="ConsPlusNonformat">
    <w:name w:val="ConsPlusNonformat"/>
    <w:qFormat/>
    <w:pPr>
      <w:widowControl/>
      <w:suppressAutoHyphens w:val="true"/>
      <w:bidi w:val="0"/>
      <w:spacing w:before="0" w:after="0"/>
      <w:jc w:val="left"/>
    </w:pPr>
    <w:rPr>
      <w:rFonts w:ascii="Courier New" w:hAnsi="Courier New" w:eastAsia="Times New Roman" w:cs="Courier New"/>
      <w:color w:val="auto"/>
      <w:kern w:val="0"/>
      <w:sz w:val="24"/>
      <w:szCs w:val="24"/>
      <w:lang w:val="ru-RU" w:eastAsia="zh-CN" w:bidi="ar-SA"/>
    </w:rPr>
  </w:style>
  <w:style w:type="paragraph" w:styleId="-">
    <w:name w:val="Контракт-раздел"/>
    <w:basedOn w:val="Normal"/>
    <w:next w:val="-1"/>
    <w:qFormat/>
    <w:pPr>
      <w:keepNext w:val="true"/>
      <w:numPr>
        <w:ilvl w:val="0"/>
        <w:numId w:val="3"/>
      </w:numPr>
      <w:suppressAutoHyphens w:val="true"/>
      <w:spacing w:before="360" w:after="120"/>
      <w:jc w:val="center"/>
    </w:pPr>
    <w:rPr>
      <w:b/>
      <w:bCs/>
      <w:caps/>
    </w:rPr>
  </w:style>
  <w:style w:type="paragraph" w:styleId="-1">
    <w:name w:val="Контракт-пункт"/>
    <w:basedOn w:val="Normal"/>
    <w:qFormat/>
    <w:pPr>
      <w:numPr>
        <w:ilvl w:val="0"/>
        <w:numId w:val="3"/>
      </w:numPr>
      <w:ind w:hanging="0" w:left="1391" w:right="0"/>
      <w:jc w:val="both"/>
    </w:pPr>
    <w:rPr/>
  </w:style>
  <w:style w:type="paragraph" w:styleId="-2">
    <w:name w:val="Контракт-подпункт"/>
    <w:basedOn w:val="Normal"/>
    <w:qFormat/>
    <w:pPr>
      <w:numPr>
        <w:ilvl w:val="0"/>
        <w:numId w:val="3"/>
      </w:numPr>
      <w:jc w:val="both"/>
    </w:pPr>
    <w:rPr/>
  </w:style>
  <w:style w:type="paragraph" w:styleId="-3">
    <w:name w:val="Контракт-подподпункт"/>
    <w:basedOn w:val="Normal"/>
    <w:qFormat/>
    <w:pPr>
      <w:numPr>
        <w:ilvl w:val="0"/>
        <w:numId w:val="3"/>
      </w:numPr>
      <w:jc w:val="both"/>
    </w:pPr>
    <w:rPr/>
  </w:style>
  <w:style w:type="paragraph" w:styleId="ConsPlusNormal1">
    <w:name w:val="ConsPlusNormal"/>
    <w:qFormat/>
    <w:pPr>
      <w:widowControl/>
      <w:suppressAutoHyphens w:val="true"/>
      <w:bidi w:val="0"/>
      <w:spacing w:before="0" w:after="0"/>
      <w:ind w:firstLine="720" w:left="0" w:right="0"/>
      <w:jc w:val="left"/>
    </w:pPr>
    <w:rPr>
      <w:rFonts w:ascii="Arial" w:hAnsi="Arial" w:eastAsia="Times New Roman" w:cs="Arial"/>
      <w:color w:val="auto"/>
      <w:kern w:val="0"/>
      <w:sz w:val="24"/>
      <w:szCs w:val="24"/>
      <w:lang w:val="ru-RU" w:eastAsia="zh-CN" w:bidi="ar-SA"/>
    </w:rPr>
  </w:style>
  <w:style w:type="paragraph" w:styleId="-4">
    <w:name w:val="Дефис-список"/>
    <w:basedOn w:val="Normal"/>
    <w:qFormat/>
    <w:pPr>
      <w:numPr>
        <w:ilvl w:val="0"/>
        <w:numId w:val="7"/>
      </w:numPr>
      <w:ind w:hanging="0" w:left="0" w:right="170"/>
      <w:jc w:val="both"/>
    </w:pPr>
    <w:rPr>
      <w:rFonts w:ascii="Arial" w:hAnsi="Arial" w:cs="Arial"/>
      <w:sz w:val="20"/>
      <w:szCs w:val="20"/>
    </w:rPr>
  </w:style>
  <w:style w:type="paragraph" w:styleId="31">
    <w:name w:val="Обычный3"/>
    <w:qFormat/>
    <w:pPr>
      <w:widowControl w:val="false"/>
      <w:suppressAutoHyphens w:val="true"/>
      <w:bidi w:val="0"/>
      <w:spacing w:lineRule="auto" w:line="300" w:before="0" w:after="0"/>
      <w:ind w:firstLine="720" w:left="0" w:right="0"/>
      <w:jc w:val="both"/>
    </w:pPr>
    <w:rPr>
      <w:rFonts w:ascii="Times New Roman" w:hAnsi="Times New Roman" w:eastAsia="Times New Roman" w:cs="Times New Roman"/>
      <w:color w:val="auto"/>
      <w:kern w:val="0"/>
      <w:sz w:val="24"/>
      <w:szCs w:val="20"/>
      <w:lang w:val="ru-RU" w:eastAsia="zh-CN" w:bidi="ar-SA"/>
    </w:rPr>
  </w:style>
  <w:style w:type="paragraph" w:styleId="Style29">
    <w:name w:val="Обычный (веб)"/>
    <w:basedOn w:val="Normal"/>
    <w:qFormat/>
    <w:pPr>
      <w:spacing w:before="280" w:after="280"/>
    </w:pPr>
    <w:rPr>
      <w:color w:val="000000"/>
    </w:rPr>
  </w:style>
  <w:style w:type="paragraph" w:styleId="5">
    <w:name w:val="Обычный5"/>
    <w:qFormat/>
    <w:pPr>
      <w:widowControl w:val="false"/>
      <w:suppressAutoHyphens w:val="true"/>
      <w:bidi w:val="0"/>
      <w:spacing w:lineRule="auto" w:line="300" w:before="0" w:after="0"/>
      <w:ind w:firstLine="720" w:left="0" w:right="0"/>
      <w:jc w:val="both"/>
    </w:pPr>
    <w:rPr>
      <w:rFonts w:ascii="Times New Roman" w:hAnsi="Times New Roman" w:eastAsia="Times New Roman" w:cs="Times New Roman"/>
      <w:color w:val="auto"/>
      <w:kern w:val="0"/>
      <w:sz w:val="24"/>
      <w:szCs w:val="20"/>
      <w:lang w:val="ru-RU" w:eastAsia="zh-CN" w:bidi="ar-SA"/>
    </w:rPr>
  </w:style>
  <w:style w:type="paragraph" w:styleId="16">
    <w:name w:val="Табличный  Стиль 1"/>
    <w:basedOn w:val="Normal"/>
    <w:qFormat/>
    <w:pPr>
      <w:widowControl w:val="false"/>
    </w:pPr>
    <w:rPr>
      <w:szCs w:val="20"/>
    </w:rPr>
  </w:style>
  <w:style w:type="paragraph" w:styleId="IT2">
    <w:name w:val="IT_Маркированный_список_уровень_2"/>
    <w:basedOn w:val="Normal"/>
    <w:qFormat/>
    <w:pPr>
      <w:numPr>
        <w:ilvl w:val="0"/>
        <w:numId w:val="6"/>
      </w:numPr>
      <w:spacing w:lineRule="auto" w:line="360"/>
    </w:pPr>
    <w:rPr>
      <w:rFonts w:ascii="ISOCPEUR;Arial" w:hAnsi="ISOCPEUR;Arial" w:cs="ISOCPEUR;Arial"/>
      <w:i/>
    </w:rPr>
  </w:style>
  <w:style w:type="paragraph" w:styleId="IT21">
    <w:name w:val="Стиль IT_Маркированный_список_уровень_2 +1"/>
    <w:basedOn w:val="IT2"/>
    <w:qFormat/>
    <w:pPr/>
    <w:rPr>
      <w:iCs/>
      <w:szCs w:val="20"/>
    </w:rPr>
  </w:style>
  <w:style w:type="paragraph" w:styleId="211">
    <w:name w:val="Основной текст с отступом 21"/>
    <w:basedOn w:val="Normal"/>
    <w:qFormat/>
    <w:pPr>
      <w:spacing w:lineRule="auto" w:line="480" w:before="0" w:after="120"/>
      <w:ind w:hanging="0" w:left="283" w:right="0"/>
    </w:pPr>
    <w:rPr>
      <w:lang w:val="ru-RU"/>
    </w:rPr>
  </w:style>
  <w:style w:type="paragraph" w:styleId="Style30">
    <w:name w:val=".обыч спис нум"/>
    <w:basedOn w:val="Normal"/>
    <w:qFormat/>
    <w:pPr>
      <w:numPr>
        <w:ilvl w:val="0"/>
        <w:numId w:val="9"/>
      </w:numPr>
      <w:jc w:val="both"/>
    </w:pPr>
    <w:rPr/>
  </w:style>
  <w:style w:type="paragraph" w:styleId="western">
    <w:name w:val="western"/>
    <w:basedOn w:val="Normal"/>
    <w:qFormat/>
    <w:pPr>
      <w:spacing w:before="280" w:after="280"/>
    </w:pPr>
    <w:rPr/>
  </w:style>
  <w:style w:type="paragraph" w:styleId="17">
    <w:name w:val="Без интервала1"/>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212">
    <w:name w:val="Заголовок 21"/>
    <w:basedOn w:val="15"/>
    <w:next w:val="15"/>
    <w:qFormat/>
    <w:pPr>
      <w:keepNext w:val="true"/>
      <w:keepLines/>
      <w:widowControl/>
      <w:spacing w:lineRule="auto" w:line="240" w:before="240" w:after="120"/>
      <w:ind w:hanging="0" w:left="0" w:right="0"/>
      <w:jc w:val="center"/>
    </w:pPr>
    <w:rPr>
      <w:b/>
    </w:rPr>
  </w:style>
  <w:style w:type="paragraph" w:styleId="Vor2">
    <w:name w:val="Vor2"/>
    <w:basedOn w:val="Normal"/>
    <w:qFormat/>
    <w:pPr>
      <w:suppressAutoHyphens w:val="true"/>
      <w:spacing w:before="120" w:after="0"/>
      <w:jc w:val="both"/>
    </w:pPr>
    <w:rPr>
      <w:b/>
    </w:rPr>
  </w:style>
  <w:style w:type="paragraph" w:styleId="Style31">
    <w:name w:val="_Обычный"/>
    <w:basedOn w:val="Normal"/>
    <w:qFormat/>
    <w:pPr>
      <w:ind w:firstLine="567" w:left="0" w:right="0"/>
      <w:jc w:val="both"/>
    </w:pPr>
    <w:rPr>
      <w:kern w:val="2"/>
      <w:sz w:val="22"/>
      <w:szCs w:val="20"/>
    </w:rPr>
  </w:style>
  <w:style w:type="paragraph" w:styleId="b-modelspecnote">
    <w:name w:val="b-modelspec__note"/>
    <w:basedOn w:val="Normal"/>
    <w:qFormat/>
    <w:pPr>
      <w:spacing w:before="280" w:after="280"/>
    </w:pPr>
    <w:rPr/>
  </w:style>
  <w:style w:type="paragraph" w:styleId="p008d83ec890a0e2d824458fb0c471908">
    <w:name w:val="p008d83ec890a0e2d824458fb0c471908"/>
    <w:basedOn w:val="Normal"/>
    <w:qFormat/>
    <w:pPr>
      <w:spacing w:before="280" w:after="280"/>
    </w:pPr>
    <w:rPr/>
  </w:style>
  <w:style w:type="paragraph" w:styleId="Style210">
    <w:name w:val="Style2"/>
    <w:basedOn w:val="Normal"/>
    <w:qFormat/>
    <w:pPr>
      <w:widowControl w:val="false"/>
    </w:pPr>
    <w:rPr>
      <w:rFonts w:eastAsia="Times New Roman"/>
    </w:rPr>
  </w:style>
  <w:style w:type="paragraph" w:styleId="Style51">
    <w:name w:val="Style5"/>
    <w:basedOn w:val="Normal"/>
    <w:qFormat/>
    <w:pPr>
      <w:widowControl w:val="false"/>
      <w:spacing w:lineRule="exact" w:line="310"/>
      <w:ind w:firstLine="660" w:left="0" w:right="0"/>
    </w:pPr>
    <w:rPr>
      <w:rFonts w:eastAsia="Times New Roman"/>
    </w:rPr>
  </w:style>
  <w:style w:type="paragraph" w:styleId="Style61">
    <w:name w:val="Style6"/>
    <w:basedOn w:val="Normal"/>
    <w:qFormat/>
    <w:pPr>
      <w:widowControl w:val="false"/>
    </w:pPr>
    <w:rPr>
      <w:rFonts w:eastAsia="Times New Roman"/>
    </w:rPr>
  </w:style>
  <w:style w:type="paragraph" w:styleId="Style81">
    <w:name w:val="Style8"/>
    <w:basedOn w:val="Normal"/>
    <w:qFormat/>
    <w:pPr>
      <w:widowControl w:val="false"/>
    </w:pPr>
    <w:rPr>
      <w:rFonts w:eastAsia="Times New Roman"/>
    </w:rPr>
  </w:style>
  <w:style w:type="paragraph" w:styleId="Style91">
    <w:name w:val="Style9"/>
    <w:basedOn w:val="Normal"/>
    <w:qFormat/>
    <w:pPr>
      <w:widowControl w:val="false"/>
    </w:pPr>
    <w:rPr>
      <w:rFonts w:eastAsia="Times New Roman"/>
    </w:rPr>
  </w:style>
  <w:style w:type="paragraph" w:styleId="Style101">
    <w:name w:val="Style10"/>
    <w:basedOn w:val="Normal"/>
    <w:qFormat/>
    <w:pPr>
      <w:widowControl w:val="false"/>
    </w:pPr>
    <w:rPr>
      <w:rFonts w:eastAsia="Times New Roman"/>
    </w:rPr>
  </w:style>
  <w:style w:type="paragraph" w:styleId="Style141">
    <w:name w:val="Style14"/>
    <w:basedOn w:val="Normal"/>
    <w:qFormat/>
    <w:pPr>
      <w:widowControl w:val="false"/>
    </w:pPr>
    <w:rPr>
      <w:rFonts w:eastAsia="Times New Roman"/>
    </w:rPr>
  </w:style>
  <w:style w:type="paragraph" w:styleId="Style171">
    <w:name w:val="Style17"/>
    <w:basedOn w:val="Normal"/>
    <w:qFormat/>
    <w:pPr>
      <w:widowControl w:val="false"/>
    </w:pPr>
    <w:rPr>
      <w:rFonts w:eastAsia="Times New Roman"/>
    </w:rPr>
  </w:style>
  <w:style w:type="paragraph" w:styleId="6">
    <w:name w:val="Обычный6"/>
    <w:qFormat/>
    <w:pPr>
      <w:widowControl w:val="false"/>
      <w:suppressAutoHyphens w:val="true"/>
      <w:bidi w:val="0"/>
      <w:spacing w:lineRule="auto" w:line="300" w:before="0" w:after="0"/>
      <w:ind w:firstLine="720" w:left="0" w:right="0"/>
      <w:jc w:val="both"/>
    </w:pPr>
    <w:rPr>
      <w:rFonts w:ascii="Times New Roman" w:hAnsi="Times New Roman" w:eastAsia="Times New Roman" w:cs="Times New Roman"/>
      <w:color w:val="auto"/>
      <w:kern w:val="0"/>
      <w:sz w:val="24"/>
      <w:szCs w:val="20"/>
      <w:lang w:val="ru-RU" w:eastAsia="zh-CN" w:bidi="ar-SA"/>
    </w:rPr>
  </w:style>
  <w:style w:type="paragraph" w:styleId="18">
    <w:name w:val="Текст примечания1"/>
    <w:basedOn w:val="Normal"/>
    <w:qFormat/>
    <w:pPr/>
    <w:rPr>
      <w:sz w:val="20"/>
      <w:szCs w:val="20"/>
      <w:lang w:val="ru-RU"/>
    </w:rPr>
  </w:style>
  <w:style w:type="paragraph" w:styleId="Style32">
    <w:name w:val="Тема примечания"/>
    <w:basedOn w:val="18"/>
    <w:next w:val="18"/>
    <w:qFormat/>
    <w:pPr/>
    <w:rPr>
      <w:b/>
      <w:bCs/>
    </w:rPr>
  </w:style>
  <w:style w:type="paragraph" w:styleId="BodyTextIndent">
    <w:name w:val="Body Text Indent"/>
    <w:basedOn w:val="Normal"/>
    <w:pPr>
      <w:spacing w:before="0" w:after="120"/>
      <w:ind w:hanging="0" w:left="283" w:right="0"/>
    </w:pPr>
    <w:rPr>
      <w:lang w:val="ru-RU"/>
    </w:rPr>
  </w:style>
  <w:style w:type="paragraph" w:styleId="Style33">
    <w:name w:val="Стиль текста"/>
    <w:basedOn w:val="BodyTextIndent"/>
    <w:qFormat/>
    <w:pPr>
      <w:suppressAutoHyphens w:val="true"/>
      <w:spacing w:before="0" w:after="0"/>
      <w:ind w:firstLine="709" w:left="0" w:right="0"/>
      <w:jc w:val="both"/>
    </w:pPr>
    <w:rPr>
      <w:bCs/>
      <w:sz w:val="28"/>
      <w:szCs w:val="28"/>
    </w:rPr>
  </w:style>
  <w:style w:type="paragraph" w:styleId="Osn1">
    <w:name w:val="Osn"/>
    <w:basedOn w:val="Normal"/>
    <w:qFormat/>
    <w:pPr>
      <w:widowControl w:val="false"/>
      <w:shd w:val="clear" w:fill="FFFFFF"/>
      <w:ind w:firstLine="709" w:left="0" w:right="0"/>
      <w:jc w:val="both"/>
    </w:pPr>
    <w:rPr>
      <w:bCs/>
      <w:color w:val="000000"/>
      <w:sz w:val="28"/>
      <w:szCs w:val="26"/>
      <w:lang w:val="ru-RU"/>
    </w:rPr>
  </w:style>
  <w:style w:type="paragraph" w:styleId="---1">
    <w:name w:val="---"/>
    <w:basedOn w:val="Style26"/>
    <w:qFormat/>
    <w:pPr>
      <w:widowControl w:val="false"/>
      <w:numPr>
        <w:ilvl w:val="0"/>
        <w:numId w:val="4"/>
      </w:numPr>
      <w:shd w:val="clear" w:fill="FFFFFF"/>
      <w:tabs>
        <w:tab w:val="clear" w:pos="708"/>
        <w:tab w:val="left" w:pos="993" w:leader="none"/>
      </w:tabs>
      <w:spacing w:lineRule="auto" w:line="276"/>
      <w:ind w:firstLine="709" w:left="0" w:right="0"/>
      <w:jc w:val="both"/>
    </w:pPr>
    <w:rPr>
      <w:sz w:val="28"/>
      <w:szCs w:val="28"/>
      <w:lang w:val="ru-RU"/>
    </w:rPr>
  </w:style>
  <w:style w:type="paragraph" w:styleId="19">
    <w:name w:val="№1"/>
    <w:basedOn w:val="Heading1"/>
    <w:qFormat/>
    <w:pPr>
      <w:keepNext w:val="true"/>
      <w:keepLines/>
      <w:widowControl/>
      <w:numPr>
        <w:ilvl w:val="0"/>
        <w:numId w:val="5"/>
      </w:numPr>
      <w:tabs>
        <w:tab w:val="clear" w:pos="708"/>
        <w:tab w:val="left" w:pos="993" w:leader="none"/>
      </w:tabs>
      <w:spacing w:before="240" w:after="240"/>
      <w:ind w:firstLine="709" w:left="0" w:right="0"/>
      <w:jc w:val="both"/>
      <w:outlineLvl w:val="9"/>
    </w:pPr>
    <w:rPr>
      <w:rFonts w:ascii="Times New Roman" w:hAnsi="Times New Roman" w:cs="Times New Roman"/>
      <w:color w:val="000000"/>
      <w:sz w:val="28"/>
      <w:szCs w:val="28"/>
    </w:rPr>
  </w:style>
  <w:style w:type="paragraph" w:styleId="24">
    <w:name w:val="№2"/>
    <w:basedOn w:val="19"/>
    <w:qFormat/>
    <w:pPr>
      <w:keepNext w:val="false"/>
      <w:keepLines w:val="false"/>
      <w:widowControl w:val="false"/>
      <w:numPr>
        <w:ilvl w:val="0"/>
        <w:numId w:val="5"/>
      </w:numPr>
      <w:tabs>
        <w:tab w:val="clear" w:pos="993"/>
        <w:tab w:val="left" w:pos="1418" w:leader="none"/>
      </w:tabs>
      <w:spacing w:before="0" w:after="0"/>
      <w:ind w:firstLine="709" w:left="0" w:right="0"/>
    </w:pPr>
    <w:rPr>
      <w:b w:val="false"/>
    </w:rPr>
  </w:style>
  <w:style w:type="paragraph" w:styleId="110">
    <w:name w:val="Название объекта1"/>
    <w:basedOn w:val="Normal"/>
    <w:next w:val="Normal"/>
    <w:qFormat/>
    <w:pPr>
      <w:shd w:val="clear" w:fill="FFFFFF"/>
      <w:spacing w:lineRule="exact" w:line="317" w:before="269" w:after="0"/>
    </w:pPr>
    <w:rPr>
      <w:spacing w:val="-1"/>
      <w:sz w:val="28"/>
      <w:szCs w:val="28"/>
    </w:rPr>
  </w:style>
  <w:style w:type="paragraph" w:styleId="43">
    <w:name w:val="№4"/>
    <w:basedOn w:val="Normal"/>
    <w:qFormat/>
    <w:pPr>
      <w:widowControl w:val="false"/>
      <w:shd w:val="clear" w:fill="FFFFFF"/>
      <w:tabs>
        <w:tab w:val="clear" w:pos="708"/>
        <w:tab w:val="left" w:pos="1843" w:leader="none"/>
      </w:tabs>
      <w:ind w:firstLine="709" w:left="0" w:right="0"/>
      <w:jc w:val="both"/>
    </w:pPr>
    <w:rPr>
      <w:bCs/>
      <w:color w:val="000000"/>
      <w:spacing w:val="-2"/>
      <w:sz w:val="28"/>
      <w:szCs w:val="26"/>
      <w:lang w:val="ru-RU"/>
    </w:rPr>
  </w:style>
  <w:style w:type="paragraph" w:styleId="191">
    <w:name w:val="Основной текст19"/>
    <w:basedOn w:val="Normal"/>
    <w:qFormat/>
    <w:pPr>
      <w:widowControl w:val="false"/>
      <w:shd w:val="clear" w:fill="FFFFFF"/>
      <w:spacing w:lineRule="exact" w:line="322" w:before="3240" w:after="0"/>
      <w:jc w:val="center"/>
    </w:pPr>
    <w:rPr>
      <w:rFonts w:ascii="Calibri" w:hAnsi="Calibri" w:eastAsia="Calibri" w:cs="Calibri"/>
      <w:sz w:val="26"/>
      <w:szCs w:val="26"/>
      <w:lang w:val="ru-RU"/>
    </w:rPr>
  </w:style>
  <w:style w:type="paragraph" w:styleId="Normal11">
    <w:name w:val="Normal1"/>
    <w:qFormat/>
    <w:pPr>
      <w:widowControl w:val="false"/>
      <w:suppressAutoHyphens w:val="true"/>
      <w:bidi w:val="0"/>
      <w:spacing w:lineRule="auto" w:line="300" w:before="0" w:after="0"/>
      <w:ind w:firstLine="720" w:left="0" w:right="0"/>
      <w:jc w:val="left"/>
    </w:pPr>
    <w:rPr>
      <w:rFonts w:ascii="Times New Roman" w:hAnsi="Times New Roman" w:eastAsia="Arial" w:cs="Times New Roman"/>
      <w:color w:val="auto"/>
      <w:kern w:val="0"/>
      <w:sz w:val="20"/>
      <w:szCs w:val="20"/>
      <w:lang w:val="ru-RU" w:eastAsia="zh-CN" w:bidi="ar-SA"/>
    </w:rPr>
  </w:style>
  <w:style w:type="paragraph" w:styleId="Style37">
    <w:name w:val="Style37"/>
    <w:basedOn w:val="Normal"/>
    <w:qFormat/>
    <w:pPr>
      <w:widowControl w:val="false"/>
      <w:spacing w:lineRule="exact" w:line="306"/>
      <w:jc w:val="center"/>
    </w:pPr>
    <w:rPr/>
  </w:style>
  <w:style w:type="paragraph" w:styleId="Style34">
    <w:name w:val="Содержимое таблицы"/>
    <w:basedOn w:val="Normal"/>
    <w:qFormat/>
    <w:pPr>
      <w:suppressLineNumbers/>
    </w:pPr>
    <w:rPr/>
  </w:style>
  <w:style w:type="paragraph" w:styleId="Style35">
    <w:name w:val="Заголовок таблицы"/>
    <w:basedOn w:val="Style34"/>
    <w:qFormat/>
    <w:pPr>
      <w:suppressLineNumbers/>
      <w:jc w:val="center"/>
    </w:pPr>
    <w:rPr>
      <w:b/>
      <w:bCs/>
    </w:rPr>
  </w:style>
  <w:style w:type="paragraph" w:styleId="311">
    <w:name w:val="Основной текст с отступом 31"/>
    <w:basedOn w:val="Normal"/>
    <w:qFormat/>
    <w:pPr>
      <w:suppressAutoHyphens w:val="true"/>
      <w:ind w:firstLine="708" w:left="0" w:right="0"/>
      <w:jc w:val="both"/>
    </w:pPr>
    <w:rPr>
      <w:sz w:val="24"/>
      <w:szCs w:val="24"/>
    </w:rPr>
  </w:style>
  <w:style w:type="paragraph" w:styleId="32">
    <w:name w:val="Основной текст с отступом 32"/>
    <w:basedOn w:val="Normal"/>
    <w:qFormat/>
    <w:pPr>
      <w:widowControl w:val="false"/>
      <w:ind w:firstLine="709" w:left="0" w:right="-523"/>
      <w:jc w:val="both"/>
    </w:pPr>
    <w:rPr>
      <w:sz w:val="24"/>
      <w:szCs w:val="24"/>
      <w:lang w:val="ru-RU"/>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1bullet1gif">
    <w:name w:val="1bullet1.gif"/>
    <w:basedOn w:val="Normal"/>
    <w:qFormat/>
    <w:pPr>
      <w:spacing w:before="100" w:after="100"/>
    </w:pPr>
    <w:rPr>
      <w:sz w:val="24"/>
      <w:szCs w:val="24"/>
    </w:rPr>
  </w:style>
  <w:style w:type="paragraph" w:styleId="1bullet2gif">
    <w:name w:val="1bullet2.gif"/>
    <w:basedOn w:val="Normal"/>
    <w:qFormat/>
    <w:pPr>
      <w:spacing w:before="100" w:after="100"/>
    </w:pPr>
    <w:rPr>
      <w:sz w:val="24"/>
      <w:szCs w:val="24"/>
    </w:rPr>
  </w:style>
  <w:style w:type="paragraph" w:styleId="312">
    <w:name w:val="Основной текст 31"/>
    <w:basedOn w:val="Normal"/>
    <w:qFormat/>
    <w:pPr>
      <w:ind w:hanging="0" w:left="0" w:right="-2"/>
      <w:jc w:val="both"/>
    </w:pPr>
    <w:rPr>
      <w:lang w:val="ru-RU"/>
    </w:rPr>
  </w:style>
  <w:style w:type="paragraph" w:styleId="caption11111">
    <w:name w:val="caption11111"/>
    <w:basedOn w:val="Normal"/>
    <w:next w:val="Normal"/>
    <w:qFormat/>
    <w:pPr>
      <w:shd w:val="clear" w:fill="FFFFFF"/>
      <w:spacing w:lineRule="exact" w:line="317" w:before="269" w:after="0"/>
    </w:pPr>
    <w:rPr>
      <w:spacing w:val="-1"/>
      <w:sz w:val="28"/>
      <w:szCs w:val="28"/>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E76DAC89F5F30876E20848E4CC6A020114A840B0A6392B684E4A83D1F459C2D875B9C7134F83E2C8C520947E99C64A1993180DA4EA14c7G" TargetMode="External"/><Relationship Id="rId3" Type="http://schemas.openxmlformats.org/officeDocument/2006/relationships/hyperlink" Target="consultantplus://offline/ref=51FB079AB93DA7152B9D8D80D2256A9AF1D4462C0245FCB59DB096D3C1F60991F7851B4306145EC72415D937089782830CD802371550CC04qCr1E" TargetMode="External"/><Relationship Id="rId4" Type="http://schemas.openxmlformats.org/officeDocument/2006/relationships/hyperlink" Target="consultantplus://offline/ref=0463A26E38399AFAD7066D045585B74B56755B1E19D9F79610D70CCCAFB30E17B7E544D8F543A5FBB03298087E878AE6D14EDCR8dDE" TargetMode="External"/><Relationship Id="rId5" Type="http://schemas.openxmlformats.org/officeDocument/2006/relationships/hyperlink" Target="consultantplus://offline/ref=0463A26E38399AFAD7066D045585B74B56755B1E19D9F79610D70CCCAFB30E17B7E544DFF71CA0EEA16A9501699982F0CD4CDD85RAd6E" TargetMode="External"/><Relationship Id="rId6" Type="http://schemas.openxmlformats.org/officeDocument/2006/relationships/hyperlink" Target="consultantplus://offline/ref=33F0FE22A057525D2F380D6A0EBE74975C7028CCDA574150AFFBD1CDC717D7E05DA972694B057C39C7AEDBC685484FB5F3B4AE2EAF1D5C9BACe3E" TargetMode="External"/><Relationship Id="rId7" Type="http://schemas.openxmlformats.org/officeDocument/2006/relationships/hyperlink" Target="consultantplus://offline/ref=0463A26E38399AFAD7066D045585B74B56755B1E19D9F79610D70CCCAFB30E17B7E544DCFD1CA0EEA16A9501699982F0CD4CDD85RAd6E" TargetMode="External"/><Relationship Id="rId8" Type="http://schemas.openxmlformats.org/officeDocument/2006/relationships/hyperlink" Target="consultantplus://offline/ref=1C89C39252F3AE84DD229CBBAB5C24AD2D478319C8E4FCCF5ED221FBA193D81CEC5226BD958A5D742F33D5C3A0A60D6D5EC737781B568C00H3h2E" TargetMode="External"/><Relationship Id="rId9" Type="http://schemas.openxmlformats.org/officeDocument/2006/relationships/hyperlink" Target="consultantplus://offline/ref=2EC3B0C6AB034A324789027B8222FB2BB2AFB23EA8576590A137B23C045A1A386081A1463F4F542FB443509A665A96D8C5D90A78D56ED7940Fi1E" TargetMode="External"/><Relationship Id="rId10" Type="http://schemas.openxmlformats.org/officeDocument/2006/relationships/hyperlink" Target="http://www.consultant.ru/document/cons_doc_LAW_144624/f4823c3311874efd0ecdfa668c9705968edbc47c/" TargetMode="External"/><Relationship Id="rId11" Type="http://schemas.openxmlformats.org/officeDocument/2006/relationships/hyperlink" Target="mailto:info@citosfsin.ru"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6.xml"/><Relationship Id="rId20" Type="http://schemas.openxmlformats.org/officeDocument/2006/relationships/header" Target="header7.xml"/><Relationship Id="rId21" Type="http://schemas.openxmlformats.org/officeDocument/2006/relationships/footer" Target="footer3.xml"/><Relationship Id="rId22" Type="http://schemas.openxmlformats.org/officeDocument/2006/relationships/footer" Target="footer4.xml"/><Relationship Id="rId23" Type="http://schemas.openxmlformats.org/officeDocument/2006/relationships/header" Target="header8.xml"/><Relationship Id="rId24" Type="http://schemas.openxmlformats.org/officeDocument/2006/relationships/header" Target="header9.xml"/><Relationship Id="rId25" Type="http://schemas.openxmlformats.org/officeDocument/2006/relationships/footer" Target="footer5.xml"/><Relationship Id="rId26" Type="http://schemas.openxmlformats.org/officeDocument/2006/relationships/footer" Target="footer6.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 Id="rId3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167</TotalTime>
  <Application>LibreOffice/24.8.5.2$Linux_X86_64 LibreOffice_project/480$Build-2</Application>
  <AppVersion>15.0000</AppVersion>
  <Pages>19</Pages>
  <Words>7411</Words>
  <Characters>53278</Characters>
  <CharactersWithSpaces>60613</CharactersWithSpaces>
  <Paragraphs>442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2022-02-07T10:43:00Z</dcterms:created>
  <dc:creator>user</dc:creator>
  <dc:description/>
  <dc:language>ru-RU</dc:language>
  <cp:lastModifiedBy/>
  <cp:lastPrinted>2016-04-18T09:43:00Z</cp:lastPrinted>
  <dcterms:modified xsi:type="dcterms:W3CDTF">2026-07-16T08:35:03Z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file>