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rFonts w:ascii="Times New Roman" w:hAnsi="Times New Roman"/>
          <w:sz w:val="24"/>
        </w:rPr>
      </w:pPr>
    </w:p>
    <w:p w14:paraId="02000000">
      <w:pPr>
        <w:pStyle w:val="Style_1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КОНТРАКТ  РГМУ33075</w:t>
      </w:r>
    </w:p>
    <w:p w14:paraId="03000000">
      <w:pPr>
        <w:pStyle w:val="Style_1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поставку </w:t>
      </w:r>
      <w:r>
        <w:rPr>
          <w:rFonts w:ascii="Times New Roman" w:hAnsi="Times New Roman"/>
          <w:sz w:val="24"/>
        </w:rPr>
        <w:t>запасных частей</w:t>
      </w:r>
    </w:p>
    <w:p w14:paraId="04000000">
      <w:pPr>
        <w:pStyle w:val="Style_1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ИКЗ:</w:t>
      </w:r>
      <w:r>
        <w:rPr>
          <w:rFonts w:ascii="Times New Roman" w:hAnsi="Times New Roman"/>
          <w:b w:val="1"/>
          <w:sz w:val="24"/>
        </w:rPr>
        <w:t>2616163032850616301001001300</w:t>
      </w:r>
      <w:r>
        <w:rPr>
          <w:rFonts w:ascii="Times New Roman" w:hAnsi="Times New Roman"/>
          <w:b w:val="1"/>
          <w:sz w:val="24"/>
        </w:rPr>
        <w:t>00</w:t>
      </w:r>
      <w:r>
        <w:rPr>
          <w:rFonts w:ascii="Times New Roman" w:hAnsi="Times New Roman"/>
          <w:b w:val="1"/>
          <w:sz w:val="24"/>
        </w:rPr>
        <w:t>000244</w:t>
      </w:r>
    </w:p>
    <w:p w14:paraId="05000000">
      <w:pPr>
        <w:pStyle w:val="Style_2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«__» _______ 2026 г.                         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г. Ростов-на-Дону</w:t>
      </w:r>
      <w:r>
        <w:rPr>
          <w:rFonts w:ascii="Times New Roman" w:hAnsi="Times New Roman"/>
          <w:sz w:val="24"/>
        </w:rPr>
        <w:t xml:space="preserve"> </w:t>
      </w:r>
    </w:p>
    <w:p w14:paraId="06000000">
      <w:pPr>
        <w:pStyle w:val="Style_1"/>
        <w:ind/>
        <w:jc w:val="both"/>
        <w:rPr>
          <w:rFonts w:ascii="Times New Roman" w:hAnsi="Times New Roman"/>
          <w:sz w:val="24"/>
        </w:rPr>
      </w:pPr>
    </w:p>
    <w:p w14:paraId="07000000">
      <w:pPr>
        <w:spacing w:after="0" w:line="240" w:lineRule="auto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Федеральное государственное бюджетное образовательное учреждение высшего образования «Ростовский государственный медицинский университет» Министерства здравоохранения Российской Федерации (ФГБОУ ВО </w:t>
      </w:r>
      <w:r>
        <w:rPr>
          <w:rFonts w:ascii="Times New Roman" w:hAnsi="Times New Roman"/>
          <w:sz w:val="24"/>
        </w:rPr>
        <w:t>РостГМУ</w:t>
      </w:r>
      <w:r>
        <w:rPr>
          <w:rFonts w:ascii="Times New Roman" w:hAnsi="Times New Roman"/>
          <w:sz w:val="24"/>
        </w:rPr>
        <w:t xml:space="preserve"> Минздрава России), именуемый в дальнейшем "Заказчик", </w:t>
      </w:r>
      <w:r>
        <w:rPr>
          <w:rStyle w:val="Style_3_ch"/>
          <w:sz w:val="24"/>
        </w:rPr>
        <w:t>в лице и.о. ректора Шишова Михаила Алексеевича</w:t>
      </w:r>
      <w:r>
        <w:rPr>
          <w:rStyle w:val="Style_3_ch"/>
          <w:sz w:val="24"/>
        </w:rPr>
        <w:t>, действующего на основании устава</w:t>
      </w:r>
      <w:r>
        <w:rPr>
          <w:rStyle w:val="Style_3_ch"/>
          <w:sz w:val="24"/>
        </w:rPr>
        <w:t>,</w:t>
      </w:r>
      <w:r>
        <w:rPr>
          <w:rFonts w:ascii="Times New Roman" w:hAnsi="Times New Roman"/>
          <w:sz w:val="24"/>
        </w:rPr>
        <w:t xml:space="preserve">  с одной стороны</w:t>
      </w:r>
      <w:r>
        <w:rPr>
          <w:rFonts w:ascii="Times New Roman" w:hAnsi="Times New Roman"/>
          <w:sz w:val="24"/>
        </w:rPr>
        <w:t xml:space="preserve">, и __________________, именуемый в дальнейшем "Поставщик", в лице __________________, действующего на основании __________________ </w:t>
      </w:r>
      <w:r>
        <w:rPr>
          <w:rFonts w:ascii="Times New Roman" w:hAnsi="Times New Roman"/>
          <w:sz w:val="24"/>
        </w:rPr>
        <w:t xml:space="preserve">(указывается фамилия, имя и отчество (при </w:t>
      </w:r>
      <w:r>
        <w:rPr>
          <w:rFonts w:ascii="Times New Roman" w:hAnsi="Times New Roman"/>
          <w:sz w:val="24"/>
        </w:rPr>
        <w:t>наличии), а также должность (при наличии) представителя исполнителя, уполномоченного на подписание контракта)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с другой стороны, вместе именуемые в дальнейшем "Стороны", </w:t>
      </w:r>
      <w:r>
        <w:rPr>
          <w:rFonts w:ascii="Times New Roman" w:hAnsi="Times New Roman"/>
          <w:sz w:val="24"/>
        </w:rPr>
        <w:t xml:space="preserve">в соответствии п. 4 </w:t>
      </w:r>
      <w:r>
        <w:rPr>
          <w:rFonts w:ascii="Times New Roman" w:hAnsi="Times New Roman"/>
          <w:sz w:val="24"/>
        </w:rPr>
        <w:t xml:space="preserve">ч 1 </w:t>
      </w:r>
      <w:r>
        <w:rPr>
          <w:rFonts w:ascii="Times New Roman" w:hAnsi="Times New Roman"/>
          <w:sz w:val="24"/>
        </w:rPr>
        <w:t>ст. 93 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нужд", заключили настоящий контракт (далее – контракт о нижеследующем).</w:t>
      </w:r>
    </w:p>
    <w:p w14:paraId="08000000">
      <w:pPr>
        <w:spacing w:after="0" w:line="240" w:lineRule="auto"/>
        <w:ind w:firstLine="708" w:left="0"/>
        <w:jc w:val="both"/>
        <w:rPr>
          <w:rFonts w:ascii="Times New Roman" w:hAnsi="Times New Roman"/>
          <w:sz w:val="24"/>
        </w:rPr>
      </w:pPr>
    </w:p>
    <w:p w14:paraId="09000000">
      <w:pPr>
        <w:pStyle w:val="Style_1"/>
        <w:ind/>
        <w:jc w:val="center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I. Предмет Контракта</w:t>
      </w:r>
    </w:p>
    <w:p w14:paraId="0A000000">
      <w:pPr>
        <w:pStyle w:val="Style_1"/>
        <w:ind/>
        <w:jc w:val="both"/>
        <w:rPr>
          <w:rFonts w:ascii="Times New Roman" w:hAnsi="Times New Roman"/>
          <w:sz w:val="24"/>
        </w:rPr>
      </w:pPr>
    </w:p>
    <w:p w14:paraId="0B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1.1. Поставщик обязуется поставить </w:t>
      </w:r>
      <w:r>
        <w:rPr>
          <w:rFonts w:ascii="Times New Roman" w:hAnsi="Times New Roman"/>
          <w:b w:val="1"/>
          <w:sz w:val="24"/>
        </w:rPr>
        <w:t xml:space="preserve">согласно Спецификации (Приложение №1 к </w:t>
      </w:r>
      <w:r>
        <w:rPr>
          <w:rFonts w:ascii="Times New Roman" w:hAnsi="Times New Roman"/>
          <w:b w:val="1"/>
          <w:sz w:val="24"/>
        </w:rPr>
        <w:t>контракту</w:t>
      </w:r>
      <w:r>
        <w:rPr>
          <w:rFonts w:ascii="Times New Roman" w:hAnsi="Times New Roman"/>
          <w:b w:val="1"/>
          <w:sz w:val="24"/>
        </w:rPr>
        <w:t>)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>(далее - Товар), а Заказчик обязуется принять и оплатить Товар в порядке и на условиях, предусмотренных Контрактом.</w:t>
      </w:r>
    </w:p>
    <w:p w14:paraId="0C000000">
      <w:pPr>
        <w:pStyle w:val="Style_1"/>
        <w:spacing w:before="220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 Наименование, количество и иные характеристики поставляемого Товара указаны в спецификации (</w:t>
      </w:r>
      <w:r>
        <w:rPr>
          <w:rFonts w:ascii="Times New Roman" w:hAnsi="Times New Roman"/>
          <w:color w:val="0000FF"/>
          <w:sz w:val="24"/>
        </w:rPr>
        <w:fldChar w:fldCharType="begin"/>
      </w:r>
      <w:r>
        <w:rPr>
          <w:rFonts w:ascii="Times New Roman" w:hAnsi="Times New Roman"/>
          <w:color w:val="0000FF"/>
          <w:sz w:val="24"/>
        </w:rPr>
        <w:instrText>HYPERLINK "consultantplus://offline/ref=0E3652586902207727CC59B8CE49B64A789BA61CDC4111269662C9A4B85F8313591E541AB9C2AF0F2E20F1F1CAA19AB5785C00D01EB68495S7U9G"</w:instrText>
      </w:r>
      <w:r>
        <w:rPr>
          <w:rFonts w:ascii="Times New Roman" w:hAnsi="Times New Roman"/>
          <w:color w:val="0000FF"/>
          <w:sz w:val="24"/>
        </w:rPr>
        <w:fldChar w:fldCharType="separate"/>
      </w:r>
      <w:r>
        <w:rPr>
          <w:rFonts w:ascii="Times New Roman" w:hAnsi="Times New Roman"/>
          <w:color w:val="0000FF"/>
          <w:sz w:val="24"/>
        </w:rPr>
        <w:t>приложение</w:t>
      </w:r>
      <w:r>
        <w:rPr>
          <w:rFonts w:ascii="Times New Roman" w:hAnsi="Times New Roman"/>
          <w:color w:val="0000FF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№ 1 </w:t>
      </w:r>
      <w:r>
        <w:rPr>
          <w:rFonts w:ascii="Times New Roman" w:hAnsi="Times New Roman"/>
          <w:sz w:val="24"/>
        </w:rPr>
        <w:t>к Контракту), являющейся неотъемлемой частью Контракта.</w:t>
      </w:r>
    </w:p>
    <w:p w14:paraId="0D000000">
      <w:pPr>
        <w:pStyle w:val="Style_1"/>
        <w:ind/>
        <w:jc w:val="both"/>
        <w:rPr>
          <w:rFonts w:ascii="Times New Roman" w:hAnsi="Times New Roman"/>
          <w:sz w:val="24"/>
        </w:rPr>
      </w:pPr>
    </w:p>
    <w:p w14:paraId="0E000000">
      <w:pPr>
        <w:pStyle w:val="Style_1"/>
        <w:ind/>
        <w:jc w:val="center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II. Цена Контракта и порядок расчетов</w:t>
      </w:r>
    </w:p>
    <w:p w14:paraId="0F000000">
      <w:pPr>
        <w:pStyle w:val="Style_1"/>
        <w:ind/>
        <w:jc w:val="both"/>
        <w:rPr>
          <w:rFonts w:ascii="Times New Roman" w:hAnsi="Times New Roman"/>
          <w:sz w:val="24"/>
        </w:rPr>
      </w:pPr>
    </w:p>
    <w:p w14:paraId="10000000">
      <w:pPr>
        <w:pStyle w:val="Style_2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  Цена Контракта составляет </w:t>
      </w:r>
      <w:r>
        <w:rPr>
          <w:rFonts w:ascii="Times New Roman" w:hAnsi="Times New Roman"/>
          <w:b w:val="1"/>
          <w:sz w:val="24"/>
        </w:rPr>
        <w:t>________(___</w:t>
      </w:r>
      <w:r>
        <w:rPr>
          <w:rFonts w:ascii="Times New Roman" w:hAnsi="Times New Roman"/>
          <w:b w:val="1"/>
          <w:sz w:val="24"/>
        </w:rPr>
        <w:t xml:space="preserve">) рубля </w:t>
      </w:r>
      <w:r>
        <w:rPr>
          <w:rFonts w:ascii="Times New Roman" w:hAnsi="Times New Roman"/>
          <w:b w:val="1"/>
          <w:sz w:val="24"/>
        </w:rPr>
        <w:t>___</w:t>
      </w:r>
      <w:r>
        <w:rPr>
          <w:rFonts w:ascii="Times New Roman" w:hAnsi="Times New Roman"/>
          <w:b w:val="1"/>
          <w:sz w:val="24"/>
        </w:rPr>
        <w:t xml:space="preserve"> копеек</w:t>
      </w:r>
    </w:p>
    <w:p w14:paraId="11000000">
      <w:pPr>
        <w:pStyle w:val="Style_2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2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 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</w:t>
      </w:r>
      <w:r>
        <w:rPr>
          <w:rFonts w:ascii="Times New Roman" w:hAnsi="Times New Roman"/>
          <w:sz w:val="24"/>
        </w:rPr>
        <w:t>.</w:t>
      </w:r>
    </w:p>
    <w:p w14:paraId="13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2.4. Цена Контракта является твердой и определяется на весь срок исполнения Контракта, за исключением случаев, установленных Федеральным </w:t>
      </w:r>
      <w:r>
        <w:rPr>
          <w:rFonts w:ascii="Times New Roman" w:hAnsi="Times New Roman"/>
          <w:color w:val="0000FF"/>
          <w:sz w:val="24"/>
        </w:rPr>
        <w:fldChar w:fldCharType="begin"/>
      </w:r>
      <w:r>
        <w:rPr>
          <w:rFonts w:ascii="Times New Roman" w:hAnsi="Times New Roman"/>
          <w:color w:val="0000FF"/>
          <w:sz w:val="24"/>
        </w:rPr>
        <w:instrText>HYPERLINK "consultantplus://offline/ref=0E3652586902207727CC59B8CE49B64A7896A81CDF4A11269662C9A4B85F83134B1E0C16B8C2B2072435A7A08CSFU5G"</w:instrText>
      </w:r>
      <w:r>
        <w:rPr>
          <w:rFonts w:ascii="Times New Roman" w:hAnsi="Times New Roman"/>
          <w:color w:val="0000FF"/>
          <w:sz w:val="24"/>
        </w:rPr>
        <w:fldChar w:fldCharType="separate"/>
      </w:r>
      <w:r>
        <w:rPr>
          <w:rFonts w:ascii="Times New Roman" w:hAnsi="Times New Roman"/>
          <w:color w:val="0000FF"/>
          <w:sz w:val="24"/>
        </w:rPr>
        <w:t>законом</w:t>
      </w:r>
      <w:r>
        <w:rPr>
          <w:rFonts w:ascii="Times New Roman" w:hAnsi="Times New Roman"/>
          <w:color w:val="0000FF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и Контрактом.</w:t>
      </w:r>
    </w:p>
    <w:p w14:paraId="14000000">
      <w:pPr>
        <w:pStyle w:val="Style_1"/>
        <w:spacing w:before="220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</w:t>
      </w:r>
    </w:p>
    <w:p w14:paraId="15000000">
      <w:pPr>
        <w:pStyle w:val="Style_1"/>
        <w:ind w:firstLine="540" w:left="0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sz w:val="24"/>
        </w:rPr>
        <w:t xml:space="preserve">2.5. Источник финансирования Контракта - </w:t>
      </w:r>
      <w:r>
        <w:rPr>
          <w:rFonts w:ascii="Times New Roman" w:hAnsi="Times New Roman"/>
          <w:b w:val="1"/>
          <w:i w:val="1"/>
          <w:sz w:val="24"/>
        </w:rPr>
        <w:t>средства бюджетной организации.</w:t>
      </w:r>
    </w:p>
    <w:p w14:paraId="16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 Расчеты </w:t>
      </w:r>
      <w:r>
        <w:rPr>
          <w:rFonts w:ascii="Times New Roman" w:hAnsi="Times New Roman"/>
          <w:sz w:val="24"/>
        </w:rPr>
        <w:t xml:space="preserve">между Заказчиком и Поставщиком производятся не позднее </w:t>
      </w: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 рабочих дней</w:t>
      </w:r>
      <w:r>
        <w:rPr>
          <w:rFonts w:ascii="Times New Roman" w:hAnsi="Times New Roman"/>
          <w:sz w:val="24"/>
        </w:rPr>
        <w:t xml:space="preserve"> с даты подписания Заказчиком </w:t>
      </w:r>
      <w:r>
        <w:rPr>
          <w:rFonts w:ascii="Times New Roman" w:hAnsi="Times New Roman"/>
          <w:sz w:val="24"/>
        </w:rPr>
        <w:t>акт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приема-передачи Товара</w:t>
      </w:r>
      <w:r>
        <w:rPr>
          <w:rFonts w:ascii="Times New Roman" w:hAnsi="Times New Roman"/>
          <w:color w:val="000000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 основании выставленного Поставщиком счета, товарной накладной</w:t>
      </w:r>
      <w:r>
        <w:rPr>
          <w:rFonts w:ascii="Times New Roman" w:hAnsi="Times New Roman"/>
          <w:sz w:val="24"/>
        </w:rPr>
        <w:t>, акт приема-передачи Товара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счета-фактуры (при наличии)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Акта приемки ТРУ по форме ОКУД 0510452 (Приказ Минфина от 15.04.2021 №61н)</w:t>
      </w:r>
      <w:r>
        <w:rPr>
          <w:rFonts w:ascii="Times New Roman" w:hAnsi="Times New Roman"/>
          <w:color w:val="000000"/>
          <w:sz w:val="24"/>
        </w:rPr>
        <w:t xml:space="preserve">. </w:t>
      </w:r>
    </w:p>
    <w:p w14:paraId="17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 </w:t>
      </w:r>
    </w:p>
    <w:p w14:paraId="18000000">
      <w:pPr>
        <w:pStyle w:val="Style_1"/>
        <w:ind/>
        <w:jc w:val="both"/>
        <w:rPr>
          <w:rFonts w:ascii="Times New Roman" w:hAnsi="Times New Roman"/>
          <w:sz w:val="24"/>
        </w:rPr>
      </w:pPr>
    </w:p>
    <w:p w14:paraId="19000000">
      <w:pPr>
        <w:pStyle w:val="Style_1"/>
        <w:ind/>
        <w:jc w:val="center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III. Порядок, сроки и условия поставки</w:t>
      </w:r>
    </w:p>
    <w:p w14:paraId="1A000000">
      <w:pPr>
        <w:pStyle w:val="Style_1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 приемки Товара </w:t>
      </w:r>
    </w:p>
    <w:p w14:paraId="1B000000">
      <w:pPr>
        <w:pStyle w:val="Style_1"/>
        <w:ind/>
        <w:jc w:val="both"/>
        <w:rPr>
          <w:rFonts w:ascii="Times New Roman" w:hAnsi="Times New Roman"/>
          <w:sz w:val="24"/>
        </w:rPr>
      </w:pPr>
    </w:p>
    <w:p w14:paraId="1C000000">
      <w:pPr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 Поставщик самостоятельно доставляет Товар Заказчику по адресу: </w:t>
      </w:r>
      <w:r>
        <w:rPr>
          <w:rFonts w:ascii="Times New Roman" w:hAnsi="Times New Roman"/>
          <w:b w:val="1"/>
          <w:sz w:val="24"/>
        </w:rPr>
        <w:t xml:space="preserve">г. Ростов-на-Дону, пер. Нахичеванский, </w:t>
      </w:r>
      <w:r>
        <w:rPr>
          <w:rFonts w:ascii="Times New Roman" w:hAnsi="Times New Roman"/>
          <w:b w:val="1"/>
          <w:sz w:val="24"/>
        </w:rPr>
        <w:t>29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строение 8 </w:t>
      </w:r>
      <w:r>
        <w:rPr>
          <w:rFonts w:ascii="Times New Roman" w:hAnsi="Times New Roman"/>
          <w:b w:val="1"/>
          <w:sz w:val="24"/>
        </w:rPr>
        <w:t>(помещение склада</w:t>
      </w:r>
      <w:r>
        <w:rPr>
          <w:rFonts w:ascii="Times New Roman" w:hAnsi="Times New Roman"/>
          <w:b w:val="1"/>
          <w:sz w:val="24"/>
        </w:rPr>
        <w:t xml:space="preserve"> №1</w:t>
      </w:r>
      <w:r>
        <w:rPr>
          <w:rFonts w:ascii="Times New Roman" w:hAnsi="Times New Roman"/>
          <w:b w:val="1"/>
          <w:sz w:val="24"/>
        </w:rPr>
        <w:t>)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>(далее - место доставки</w:t>
      </w:r>
      <w:r>
        <w:rPr>
          <w:rFonts w:ascii="Times New Roman" w:hAnsi="Times New Roman"/>
          <w:sz w:val="24"/>
        </w:rPr>
        <w:t xml:space="preserve">), </w:t>
      </w:r>
      <w:r>
        <w:rPr>
          <w:rFonts w:ascii="Times New Roman" w:hAnsi="Times New Roman"/>
          <w:b w:val="1"/>
          <w:sz w:val="24"/>
        </w:rPr>
        <w:t xml:space="preserve">в срок </w:t>
      </w:r>
      <w:r>
        <w:rPr>
          <w:rFonts w:ascii="Times New Roman" w:hAnsi="Times New Roman"/>
          <w:b w:val="1"/>
          <w:sz w:val="24"/>
        </w:rPr>
        <w:t>10 рабочих</w:t>
      </w:r>
      <w:r>
        <w:rPr>
          <w:rFonts w:ascii="Times New Roman" w:hAnsi="Times New Roman"/>
          <w:b w:val="1"/>
          <w:sz w:val="24"/>
        </w:rPr>
        <w:t xml:space="preserve"> дней </w:t>
      </w:r>
      <w:r>
        <w:rPr>
          <w:rFonts w:ascii="Times New Roman" w:hAnsi="Times New Roman"/>
          <w:b w:val="1"/>
          <w:sz w:val="24"/>
        </w:rPr>
        <w:t>с даты заключения</w:t>
      </w:r>
      <w:r>
        <w:rPr>
          <w:rFonts w:ascii="Times New Roman" w:hAnsi="Times New Roman"/>
          <w:b w:val="1"/>
          <w:sz w:val="24"/>
        </w:rPr>
        <w:t xml:space="preserve"> контракта</w:t>
      </w:r>
      <w:r>
        <w:rPr>
          <w:rFonts w:ascii="Times New Roman" w:hAnsi="Times New Roman"/>
          <w:sz w:val="24"/>
        </w:rPr>
        <w:t xml:space="preserve"> в рабочие дни (понедельник-пятница), с 9:00 часов до 15:00 часов (обеденный перерыв с 12:00 до13:00). Поставщик обязан произвести поставку Товара в ассортименте, количестве и сумме согласно </w:t>
      </w:r>
      <w:r>
        <w:rPr>
          <w:rFonts w:ascii="Times New Roman" w:hAnsi="Times New Roman"/>
          <w:sz w:val="24"/>
        </w:rPr>
        <w:t>спецификации</w:t>
      </w:r>
      <w:r>
        <w:rPr>
          <w:rFonts w:ascii="Times New Roman" w:hAnsi="Times New Roman"/>
          <w:sz w:val="24"/>
        </w:rPr>
        <w:t xml:space="preserve">. </w:t>
      </w:r>
    </w:p>
    <w:p w14:paraId="1D000000">
      <w:pPr>
        <w:spacing w:after="0" w:line="240" w:lineRule="auto"/>
        <w:ind w:firstLine="567" w:left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</w:rPr>
        <w:t xml:space="preserve">Поставщик не менее чем за </w:t>
      </w:r>
      <w:r>
        <w:rPr>
          <w:rFonts w:ascii="Times New Roman" w:hAnsi="Times New Roman"/>
          <w:sz w:val="24"/>
        </w:rPr>
        <w:t>1 (один) рабочий день</w:t>
      </w:r>
      <w:r>
        <w:rPr>
          <w:rFonts w:ascii="Times New Roman" w:hAnsi="Times New Roman"/>
          <w:sz w:val="24"/>
        </w:rPr>
        <w:t xml:space="preserve"> до осуществления поставки Товара направляет в адрес Заказчика уведомление о времени и дате доставки Товара в место доставки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highlight w:val="white"/>
        </w:rPr>
        <w:t>и предостав</w:t>
      </w:r>
      <w:r>
        <w:rPr>
          <w:rFonts w:ascii="Times New Roman" w:hAnsi="Times New Roman"/>
          <w:sz w:val="24"/>
          <w:highlight w:val="white"/>
        </w:rPr>
        <w:t>ляет</w:t>
      </w:r>
      <w:r>
        <w:rPr>
          <w:rFonts w:ascii="Times New Roman" w:hAnsi="Times New Roman"/>
          <w:sz w:val="24"/>
          <w:highlight w:val="white"/>
        </w:rPr>
        <w:t xml:space="preserve"> информацию об автомобиле, на котором будет осуществлена доставка (марка и государственный регистрационный номер), и </w:t>
      </w:r>
      <w:r>
        <w:rPr>
          <w:rFonts w:ascii="Times New Roman" w:hAnsi="Times New Roman"/>
          <w:sz w:val="24"/>
          <w:highlight w:val="white"/>
        </w:rPr>
        <w:t>информацию</w:t>
      </w:r>
      <w:r>
        <w:rPr>
          <w:rFonts w:ascii="Times New Roman" w:hAnsi="Times New Roman"/>
          <w:sz w:val="24"/>
          <w:highlight w:val="white"/>
        </w:rPr>
        <w:t xml:space="preserve"> о лицах,</w:t>
      </w:r>
      <w:r>
        <w:rPr>
          <w:rFonts w:ascii="Times New Roman" w:hAnsi="Times New Roman"/>
          <w:sz w:val="24"/>
          <w:highlight w:val="white"/>
        </w:rPr>
        <w:t xml:space="preserve"> сопровождающих </w:t>
      </w:r>
      <w:r>
        <w:rPr>
          <w:rFonts w:ascii="Times New Roman" w:hAnsi="Times New Roman"/>
          <w:sz w:val="24"/>
          <w:highlight w:val="white"/>
        </w:rPr>
        <w:t>груз</w:t>
      </w:r>
      <w:r>
        <w:rPr>
          <w:rFonts w:ascii="Times New Roman" w:hAnsi="Times New Roman"/>
          <w:sz w:val="24"/>
          <w:highlight w:val="white"/>
        </w:rPr>
        <w:t xml:space="preserve"> для оформления временного пропуска на территорию Заказчика.</w:t>
      </w:r>
    </w:p>
    <w:p w14:paraId="1E000000">
      <w:pPr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В день</w:t>
      </w:r>
      <w:r>
        <w:rPr>
          <w:rFonts w:ascii="Times New Roman" w:hAnsi="Times New Roman"/>
          <w:sz w:val="24"/>
        </w:rPr>
        <w:t xml:space="preserve"> поставк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товара Поставщик предоставляет Заказчику следующую документацию:</w:t>
      </w:r>
    </w:p>
    <w:p w14:paraId="1F000000">
      <w:pPr>
        <w:pStyle w:val="Style_4"/>
        <w:numPr>
          <w:ilvl w:val="0"/>
          <w:numId w:val="0"/>
        </w:numPr>
        <w:ind w:firstLine="567" w:left="0"/>
      </w:pPr>
      <w:r>
        <w:t xml:space="preserve">- </w:t>
      </w:r>
      <w:r>
        <w:t>товарную (товарно-транспортную) накладную;</w:t>
      </w:r>
    </w:p>
    <w:p w14:paraId="20000000">
      <w:pPr>
        <w:pStyle w:val="Style_4"/>
        <w:numPr>
          <w:ilvl w:val="0"/>
          <w:numId w:val="0"/>
        </w:numPr>
        <w:ind w:firstLine="567" w:left="0"/>
      </w:pPr>
      <w:r>
        <w:t xml:space="preserve">- </w:t>
      </w:r>
      <w:r>
        <w:t xml:space="preserve"> акт приема-передачи товара; </w:t>
      </w:r>
    </w:p>
    <w:p w14:paraId="21000000">
      <w:pPr>
        <w:pStyle w:val="Style_4"/>
        <w:numPr>
          <w:ilvl w:val="0"/>
          <w:numId w:val="0"/>
        </w:numPr>
        <w:ind w:firstLine="567" w:left="0"/>
      </w:pPr>
      <w:r>
        <w:t xml:space="preserve">- </w:t>
      </w:r>
      <w:r>
        <w:t>с</w:t>
      </w:r>
      <w:r>
        <w:t>чет; счет-фактуру (при наличии);</w:t>
      </w:r>
    </w:p>
    <w:p w14:paraId="22000000">
      <w:pPr>
        <w:pStyle w:val="Style_4"/>
        <w:numPr>
          <w:ilvl w:val="0"/>
          <w:numId w:val="0"/>
        </w:numPr>
        <w:ind w:firstLine="567" w:left="0"/>
      </w:pPr>
      <w:r>
        <w:t>- Акт приемки ТРУ по форме ОКУД 0510452 (Приказ Минфина от 15.04.2021 №61н).</w:t>
      </w:r>
    </w:p>
    <w:p w14:paraId="23000000">
      <w:pPr>
        <w:pStyle w:val="Style_5"/>
        <w:tabs>
          <w:tab w:leader="none" w:pos="426" w:val="left"/>
        </w:tabs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сертификат соответствия (или декларацию), оформленный в соответствии с законодательством Российской Федерации, по товарам, подлежащим обязательной сертификации;</w:t>
      </w:r>
    </w:p>
    <w:p w14:paraId="24000000">
      <w:pPr>
        <w:pStyle w:val="Style_5"/>
        <w:tabs>
          <w:tab w:leader="none" w:pos="426" w:val="left"/>
        </w:tabs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сертификат (паспорт) качества производителя, другие документы по качеству, предусмотренные законодательством Российской Федерации;</w:t>
      </w:r>
    </w:p>
    <w:p w14:paraId="25000000">
      <w:pPr>
        <w:pStyle w:val="Style_5"/>
        <w:tabs>
          <w:tab w:leader="none" w:pos="426" w:val="left"/>
        </w:tabs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технический паспорт (при наличии);</w:t>
      </w:r>
    </w:p>
    <w:p w14:paraId="26000000">
      <w:pPr>
        <w:pStyle w:val="Style_5"/>
        <w:tabs>
          <w:tab w:leader="none" w:pos="426" w:val="left"/>
        </w:tabs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копии санитарно-эпидемиологических заключений (при их наличии в соответствии с требованиями законодательства РФ);</w:t>
      </w:r>
    </w:p>
    <w:p w14:paraId="27000000">
      <w:pPr>
        <w:pStyle w:val="Style_5"/>
        <w:tabs>
          <w:tab w:leader="none" w:pos="426" w:val="left"/>
        </w:tabs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иные документы, подтверждающие соответствие товара требованиям действующего законодательства Российской Федерации.</w:t>
      </w:r>
    </w:p>
    <w:p w14:paraId="28000000">
      <w:pPr>
        <w:pStyle w:val="Style_6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Фактической датой поставки Товара считается дата, указанная в </w:t>
      </w:r>
      <w:r>
        <w:rPr>
          <w:rFonts w:ascii="Times New Roman" w:hAnsi="Times New Roman"/>
          <w:sz w:val="24"/>
        </w:rPr>
        <w:t>акт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 приема-передачи Товара</w:t>
      </w:r>
      <w:r>
        <w:rPr>
          <w:rFonts w:ascii="Times New Roman" w:hAnsi="Times New Roman"/>
          <w:sz w:val="24"/>
        </w:rPr>
        <w:t>.</w:t>
      </w:r>
    </w:p>
    <w:p w14:paraId="29000000">
      <w:pPr>
        <w:pStyle w:val="Style_6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14:paraId="2A000000">
      <w:pPr>
        <w:pStyle w:val="Style_5"/>
        <w:tabs>
          <w:tab w:leader="none" w:pos="426" w:val="left"/>
        </w:tabs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2B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r>
        <w:rPr>
          <w:rFonts w:ascii="Times New Roman" w:hAnsi="Times New Roman"/>
          <w:color w:val="0000FF"/>
          <w:sz w:val="24"/>
        </w:rPr>
        <w:fldChar w:fldCharType="begin"/>
      </w:r>
      <w:r>
        <w:rPr>
          <w:rFonts w:ascii="Times New Roman" w:hAnsi="Times New Roman"/>
          <w:color w:val="0000FF"/>
          <w:sz w:val="24"/>
        </w:rPr>
        <w:instrText>HYPERLINK "consultantplus://offline/ref=0E3652586902207727CC59B8CE49B64A7896A81CDF4A11269662C9A4B85F83134B1E0C16B8C2B2072435A7A08CSFU5G"</w:instrText>
      </w:r>
      <w:r>
        <w:rPr>
          <w:rFonts w:ascii="Times New Roman" w:hAnsi="Times New Roman"/>
          <w:color w:val="0000FF"/>
          <w:sz w:val="24"/>
        </w:rPr>
        <w:fldChar w:fldCharType="separate"/>
      </w:r>
      <w:r>
        <w:rPr>
          <w:rFonts w:ascii="Times New Roman" w:hAnsi="Times New Roman"/>
          <w:color w:val="0000FF"/>
          <w:sz w:val="24"/>
        </w:rPr>
        <w:t>законом</w:t>
      </w:r>
      <w:r>
        <w:rPr>
          <w:rFonts w:ascii="Times New Roman" w:hAnsi="Times New Roman"/>
          <w:color w:val="0000FF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bookmarkStart w:id="1" w:name="P71"/>
      <w:bookmarkEnd w:id="1"/>
    </w:p>
    <w:p w14:paraId="2C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. При отсутствии у Заказчика претензий по количеству и качеству поставленного </w:t>
      </w:r>
      <w:r>
        <w:rPr>
          <w:rFonts w:ascii="Times New Roman" w:hAnsi="Times New Roman"/>
          <w:sz w:val="24"/>
        </w:rPr>
        <w:t xml:space="preserve">Товара </w:t>
      </w:r>
      <w:r>
        <w:rPr>
          <w:rFonts w:ascii="Times New Roman" w:hAnsi="Times New Roman"/>
          <w:sz w:val="24"/>
        </w:rPr>
        <w:t xml:space="preserve">Заказчик в </w:t>
      </w:r>
      <w:r>
        <w:rPr>
          <w:rFonts w:ascii="Times New Roman" w:hAnsi="Times New Roman"/>
          <w:sz w:val="24"/>
        </w:rPr>
        <w:t xml:space="preserve">срок не более 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рабочих</w:t>
      </w:r>
      <w:r>
        <w:rPr>
          <w:rFonts w:ascii="Times New Roman" w:hAnsi="Times New Roman"/>
          <w:sz w:val="24"/>
        </w:rPr>
        <w:t xml:space="preserve"> дней с момента</w:t>
      </w:r>
      <w:r>
        <w:rPr>
          <w:rFonts w:ascii="Times New Roman" w:hAnsi="Times New Roman"/>
          <w:sz w:val="24"/>
        </w:rPr>
        <w:t xml:space="preserve"> доставки Товара Поставщиком подписывает </w:t>
      </w:r>
      <w:r>
        <w:rPr>
          <w:rFonts w:ascii="Times New Roman" w:hAnsi="Times New Roman"/>
          <w:sz w:val="24"/>
        </w:rPr>
        <w:t xml:space="preserve">акт приема-передачи Товара (отдельного этапа исполнения Контракта), </w:t>
      </w:r>
      <w:r>
        <w:rPr>
          <w:rFonts w:ascii="Times New Roman" w:hAnsi="Times New Roman"/>
          <w:sz w:val="24"/>
        </w:rPr>
        <w:t>Акт</w:t>
      </w:r>
      <w:r>
        <w:rPr>
          <w:rFonts w:ascii="Times New Roman" w:hAnsi="Times New Roman"/>
          <w:sz w:val="24"/>
        </w:rPr>
        <w:t xml:space="preserve"> приемки ТРУ по форме ОКУД 0510452 (Приказ Минфина от 15.04.2021 №61н)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sz w:val="24"/>
        </w:rPr>
        <w:t>товарную (товарно-транспортную) накладную, счет, счет-фактуру</w:t>
      </w:r>
      <w:r>
        <w:rPr>
          <w:rFonts w:ascii="Times New Roman" w:hAnsi="Times New Roman"/>
          <w:sz w:val="24"/>
        </w:rPr>
        <w:t xml:space="preserve"> (при наличии)</w:t>
      </w:r>
      <w:r>
        <w:rPr>
          <w:rFonts w:ascii="Times New Roman" w:hAnsi="Times New Roman"/>
          <w:sz w:val="24"/>
        </w:rPr>
        <w:t>. После этого Товар считается переданным Поставщиком Заказчику.</w:t>
      </w:r>
    </w:p>
    <w:p w14:paraId="2D000000">
      <w:pPr>
        <w:pStyle w:val="Style_1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Заказчик имеет право частично принять поставленный Товар с отражением информации о фактически принятом количестве Товара в </w:t>
      </w:r>
      <w:r>
        <w:rPr>
          <w:rFonts w:ascii="Times New Roman" w:hAnsi="Times New Roman"/>
          <w:sz w:val="24"/>
        </w:rPr>
        <w:t>Акте</w:t>
      </w:r>
      <w:r>
        <w:rPr>
          <w:rFonts w:ascii="Times New Roman" w:hAnsi="Times New Roman"/>
          <w:sz w:val="24"/>
        </w:rPr>
        <w:t xml:space="preserve"> приемки ТРУ по форме ОКУД 0510452 (Приказ Минфина от 15.04.2021 №61н)</w:t>
      </w:r>
      <w:r>
        <w:rPr>
          <w:rFonts w:ascii="Times New Roman" w:hAnsi="Times New Roman"/>
          <w:sz w:val="24"/>
        </w:rPr>
        <w:t>.</w:t>
      </w:r>
    </w:p>
    <w:p w14:paraId="2E000000">
      <w:pPr>
        <w:pStyle w:val="Style_1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r>
        <w:rPr>
          <w:rFonts w:ascii="Times New Roman" w:hAnsi="Times New Roman"/>
          <w:color w:val="0000FF"/>
          <w:sz w:val="24"/>
        </w:rPr>
        <w:fldChar w:fldCharType="begin"/>
      </w:r>
      <w:r>
        <w:rPr>
          <w:rFonts w:ascii="Times New Roman" w:hAnsi="Times New Roman"/>
          <w:color w:val="0000FF"/>
          <w:sz w:val="24"/>
        </w:rPr>
        <w:instrText>HYPERLINK \l "P71"</w:instrText>
      </w:r>
      <w:r>
        <w:rPr>
          <w:rFonts w:ascii="Times New Roman" w:hAnsi="Times New Roman"/>
          <w:color w:val="0000FF"/>
          <w:sz w:val="24"/>
        </w:rPr>
        <w:fldChar w:fldCharType="separate"/>
      </w:r>
      <w:r>
        <w:rPr>
          <w:rFonts w:ascii="Times New Roman" w:hAnsi="Times New Roman"/>
          <w:color w:val="0000FF"/>
          <w:sz w:val="24"/>
        </w:rPr>
        <w:t>3.7.</w:t>
      </w:r>
      <w:r>
        <w:rPr>
          <w:rFonts w:ascii="Times New Roman" w:hAnsi="Times New Roman"/>
          <w:color w:val="0000FF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Контракта, отказывает в приемке Товара, направляя Поставщику мотивированный отказ от приемки Товара</w:t>
      </w:r>
      <w:r>
        <w:rPr>
          <w:rFonts w:ascii="Times New Roman" w:hAnsi="Times New Roman"/>
          <w:sz w:val="24"/>
        </w:rPr>
        <w:t xml:space="preserve">, от </w:t>
      </w:r>
      <w:r>
        <w:rPr>
          <w:rFonts w:ascii="Times New Roman" w:hAnsi="Times New Roman"/>
          <w:sz w:val="24"/>
        </w:rPr>
        <w:t>подписания документ</w:t>
      </w:r>
      <w:r>
        <w:rPr>
          <w:rFonts w:ascii="Times New Roman" w:hAnsi="Times New Roman"/>
          <w:sz w:val="24"/>
        </w:rPr>
        <w:t>ов</w:t>
      </w:r>
      <w:r>
        <w:rPr>
          <w:rFonts w:ascii="Times New Roman" w:hAnsi="Times New Roman"/>
          <w:sz w:val="24"/>
        </w:rPr>
        <w:t xml:space="preserve"> о приемке</w:t>
      </w:r>
      <w:r>
        <w:rPr>
          <w:rFonts w:ascii="Times New Roman" w:hAnsi="Times New Roman"/>
          <w:sz w:val="24"/>
        </w:rPr>
        <w:t xml:space="preserve"> с перечнем</w:t>
      </w:r>
      <w:r>
        <w:rPr>
          <w:rFonts w:ascii="Times New Roman" w:hAnsi="Times New Roman"/>
          <w:sz w:val="24"/>
        </w:rPr>
        <w:t xml:space="preserve"> выявленных недостатков и указанием сроков их устранения.</w:t>
      </w:r>
    </w:p>
    <w:p w14:paraId="2F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>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14:paraId="30000000">
      <w:pPr>
        <w:pStyle w:val="Style_1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>. В случае получения мотивированного отказа от подписания документ</w:t>
      </w:r>
      <w:r>
        <w:rPr>
          <w:rFonts w:ascii="Times New Roman" w:hAnsi="Times New Roman"/>
          <w:sz w:val="24"/>
        </w:rPr>
        <w:t>ов</w:t>
      </w:r>
      <w:r>
        <w:rPr>
          <w:rFonts w:ascii="Times New Roman" w:hAnsi="Times New Roman"/>
          <w:sz w:val="24"/>
        </w:rPr>
        <w:t xml:space="preserve"> о приемке Поставщик вправе устранить причины, указанные в таком мотивированном отказе, и направить Заказчику документ о приемке в порядке, предусмотренном Контрактом для направления Поставщиком документа о приемке.</w:t>
      </w:r>
    </w:p>
    <w:p w14:paraId="31000000">
      <w:pPr>
        <w:pStyle w:val="Style_1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32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</w:t>
      </w:r>
      <w:r>
        <w:rPr>
          <w:rFonts w:ascii="Times New Roman" w:hAnsi="Times New Roman"/>
          <w:sz w:val="24"/>
        </w:rPr>
        <w:t>акт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приема-передачи Товара</w:t>
      </w:r>
      <w:r>
        <w:rPr>
          <w:rFonts w:ascii="Times New Roman" w:hAnsi="Times New Roman"/>
          <w:sz w:val="24"/>
        </w:rPr>
        <w:t>.</w:t>
      </w:r>
    </w:p>
    <w:p w14:paraId="33000000">
      <w:pPr>
        <w:pStyle w:val="Style_1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. Обязательства Поставщика по поставке Товара по Контракту (этапу) считаются выполненными Поставщиком после подписания Сторонами </w:t>
      </w:r>
      <w:r>
        <w:rPr>
          <w:rFonts w:ascii="Times New Roman" w:hAnsi="Times New Roman"/>
          <w:sz w:val="24"/>
        </w:rPr>
        <w:t>акт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приема-передачи Товара</w:t>
      </w:r>
      <w:r>
        <w:rPr>
          <w:rFonts w:ascii="Times New Roman" w:hAnsi="Times New Roman"/>
          <w:sz w:val="24"/>
        </w:rPr>
        <w:t xml:space="preserve">. Датой приемки поставленного товара считается дата </w:t>
      </w:r>
      <w:r>
        <w:rPr>
          <w:rFonts w:ascii="Times New Roman" w:hAnsi="Times New Roman"/>
          <w:sz w:val="24"/>
        </w:rPr>
        <w:t>акт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приема-передачи Товара</w:t>
      </w:r>
      <w:r>
        <w:rPr>
          <w:rFonts w:ascii="Times New Roman" w:hAnsi="Times New Roman"/>
          <w:sz w:val="24"/>
        </w:rPr>
        <w:t>, подписанного Заказчиком.</w:t>
      </w:r>
    </w:p>
    <w:p w14:paraId="34000000">
      <w:pPr>
        <w:pStyle w:val="Style_1"/>
        <w:ind/>
        <w:jc w:val="both"/>
        <w:rPr>
          <w:rFonts w:ascii="Times New Roman" w:hAnsi="Times New Roman"/>
          <w:sz w:val="24"/>
        </w:rPr>
      </w:pPr>
    </w:p>
    <w:p w14:paraId="35000000">
      <w:pPr>
        <w:pStyle w:val="Style_1"/>
        <w:ind/>
        <w:jc w:val="center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IV. Взаимодействие Сторон</w:t>
      </w:r>
    </w:p>
    <w:p w14:paraId="36000000">
      <w:pPr>
        <w:pStyle w:val="Style_1"/>
        <w:ind/>
        <w:jc w:val="both"/>
        <w:rPr>
          <w:rFonts w:ascii="Times New Roman" w:hAnsi="Times New Roman"/>
          <w:sz w:val="24"/>
        </w:rPr>
      </w:pPr>
    </w:p>
    <w:p w14:paraId="37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 Поставщик обязан: </w:t>
      </w:r>
    </w:p>
    <w:p w14:paraId="38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4.1.1. поставить Товар в порядке, количестве, в срок и на условиях, предусмотренных Контрактом и спецификацией</w:t>
      </w:r>
      <w:r>
        <w:rPr>
          <w:rFonts w:ascii="Times New Roman" w:hAnsi="Times New Roman"/>
          <w:sz w:val="24"/>
        </w:rPr>
        <w:t>;</w:t>
      </w:r>
    </w:p>
    <w:p w14:paraId="39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3A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14:paraId="3B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bookmarkStart w:id="2" w:name="P87"/>
      <w:bookmarkEnd w:id="2"/>
      <w:r>
        <w:rPr>
          <w:rFonts w:ascii="Times New Roman" w:hAnsi="Times New Roman"/>
          <w:sz w:val="24"/>
        </w:rPr>
        <w:t>4.1.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3C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bookmarkStart w:id="3" w:name="P89"/>
      <w:bookmarkEnd w:id="3"/>
      <w:bookmarkStart w:id="4" w:name="P90"/>
      <w:bookmarkEnd w:id="4"/>
      <w:bookmarkStart w:id="5" w:name="P94"/>
      <w:bookmarkEnd w:id="5"/>
      <w:r>
        <w:rPr>
          <w:rFonts w:ascii="Times New Roman" w:hAnsi="Times New Roman"/>
          <w:sz w:val="24"/>
        </w:rPr>
        <w:t>4.2. Поставщик вправе:</w:t>
      </w:r>
    </w:p>
    <w:p w14:paraId="3D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4.2.1. требовать от Заказчика произвести приемку Товара в порядке и в сроки, предусмотренные Контрактом;</w:t>
      </w:r>
    </w:p>
    <w:p w14:paraId="3E000000">
      <w:pPr>
        <w:pStyle w:val="Style_1"/>
        <w:spacing w:before="220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 </w:t>
      </w:r>
    </w:p>
    <w:p w14:paraId="3F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4.2.3. принять решение об одностороннем отказе от исполнения Контракта в соответствии с гражданским законодательством; </w:t>
      </w:r>
    </w:p>
    <w:p w14:paraId="40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4.2.4. требовать возмещения убытков, уплаты неустоек (штрафов, пеней) в соответствии с </w:t>
      </w:r>
      <w:r>
        <w:rPr>
          <w:rFonts w:ascii="Times New Roman" w:hAnsi="Times New Roman"/>
          <w:color w:val="0000FF"/>
          <w:sz w:val="24"/>
        </w:rPr>
        <w:fldChar w:fldCharType="begin"/>
      </w:r>
      <w:r>
        <w:rPr>
          <w:rFonts w:ascii="Times New Roman" w:hAnsi="Times New Roman"/>
          <w:color w:val="0000FF"/>
          <w:sz w:val="24"/>
        </w:rPr>
        <w:instrText>HYPERLINK \l "P132"</w:instrText>
      </w:r>
      <w:r>
        <w:rPr>
          <w:rFonts w:ascii="Times New Roman" w:hAnsi="Times New Roman"/>
          <w:color w:val="0000FF"/>
          <w:sz w:val="24"/>
        </w:rPr>
        <w:fldChar w:fldCharType="separate"/>
      </w:r>
      <w:r>
        <w:rPr>
          <w:rFonts w:ascii="Times New Roman" w:hAnsi="Times New Roman"/>
          <w:color w:val="0000FF"/>
          <w:sz w:val="24"/>
        </w:rPr>
        <w:t>разделом VI</w:t>
      </w:r>
      <w:r>
        <w:rPr>
          <w:rFonts w:ascii="Times New Roman" w:hAnsi="Times New Roman"/>
          <w:color w:val="0000FF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Контракта;</w:t>
      </w:r>
    </w:p>
    <w:p w14:paraId="41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</w:t>
      </w:r>
      <w:r>
        <w:rPr>
          <w:rFonts w:ascii="Times New Roman" w:hAnsi="Times New Roman"/>
          <w:color w:val="0000FF"/>
          <w:sz w:val="24"/>
        </w:rPr>
        <w:fldChar w:fldCharType="begin"/>
      </w:r>
      <w:r>
        <w:rPr>
          <w:rFonts w:ascii="Times New Roman" w:hAnsi="Times New Roman"/>
          <w:color w:val="0000FF"/>
          <w:sz w:val="24"/>
        </w:rPr>
        <w:instrText>HYPERLINK "consultantplus://offline/ref=0E3652586902207727CC59B8CE49B64A7896A81CDF4A11269662C9A4B85F8313591E541AB9CBA7537D6FF0AD8FF589B4715C02D802SBU5G"</w:instrText>
      </w:r>
      <w:r>
        <w:rPr>
          <w:rFonts w:ascii="Times New Roman" w:hAnsi="Times New Roman"/>
          <w:color w:val="0000FF"/>
          <w:sz w:val="24"/>
        </w:rPr>
        <w:fldChar w:fldCharType="separate"/>
      </w:r>
      <w:r>
        <w:rPr>
          <w:rFonts w:ascii="Times New Roman" w:hAnsi="Times New Roman"/>
          <w:color w:val="0000FF"/>
          <w:sz w:val="24"/>
        </w:rPr>
        <w:t>частью 6 статьи 14</w:t>
      </w:r>
      <w:r>
        <w:rPr>
          <w:rFonts w:ascii="Times New Roman" w:hAnsi="Times New Roman"/>
          <w:color w:val="0000FF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</w:t>
      </w:r>
      <w:r>
        <w:rPr>
          <w:rFonts w:ascii="Times New Roman" w:hAnsi="Times New Roman"/>
          <w:sz w:val="24"/>
        </w:rPr>
        <w:t>.</w:t>
      </w:r>
    </w:p>
    <w:p w14:paraId="42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 Заказчик обязуется:</w:t>
      </w:r>
    </w:p>
    <w:p w14:paraId="43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4.3.1. обеспечить своевременную приемку и оплату поставленного Товара надлежащего качества в порядке и сроки, предусмотренные Контрактом; </w:t>
      </w:r>
    </w:p>
    <w:p w14:paraId="44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4.3.2. 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</w:t>
      </w:r>
      <w:r>
        <w:rPr>
          <w:rFonts w:ascii="Times New Roman" w:hAnsi="Times New Roman"/>
          <w:sz w:val="24"/>
        </w:rPr>
        <w:t>перестали</w:t>
      </w:r>
      <w:r>
        <w:rPr>
          <w:rFonts w:ascii="Times New Roman" w:hAnsi="Times New Roman"/>
          <w:sz w:val="24"/>
        </w:rPr>
        <w:t xml:space="preserve"> соответств</w:t>
      </w:r>
      <w:r>
        <w:rPr>
          <w:rFonts w:ascii="Times New Roman" w:hAnsi="Times New Roman"/>
          <w:sz w:val="24"/>
        </w:rPr>
        <w:t>овать</w:t>
      </w:r>
      <w:r>
        <w:rPr>
          <w:rFonts w:ascii="Times New Roman" w:hAnsi="Times New Roman"/>
          <w:sz w:val="24"/>
        </w:rPr>
        <w:t xml:space="preserve"> установленным извещением об осуществлении закупки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поставщика; </w:t>
      </w:r>
    </w:p>
    <w:p w14:paraId="45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. требовать уплаты неустоек (штрафов, пеней) в соответствии с </w:t>
      </w:r>
      <w:r>
        <w:rPr>
          <w:rFonts w:ascii="Times New Roman" w:hAnsi="Times New Roman"/>
          <w:color w:val="0000FF"/>
          <w:sz w:val="24"/>
        </w:rPr>
        <w:fldChar w:fldCharType="begin"/>
      </w:r>
      <w:r>
        <w:rPr>
          <w:rFonts w:ascii="Times New Roman" w:hAnsi="Times New Roman"/>
          <w:color w:val="0000FF"/>
          <w:sz w:val="24"/>
        </w:rPr>
        <w:instrText>HYPERLINK \l "P132"</w:instrText>
      </w:r>
      <w:r>
        <w:rPr>
          <w:rFonts w:ascii="Times New Roman" w:hAnsi="Times New Roman"/>
          <w:color w:val="0000FF"/>
          <w:sz w:val="24"/>
        </w:rPr>
        <w:fldChar w:fldCharType="separate"/>
      </w:r>
      <w:r>
        <w:rPr>
          <w:rFonts w:ascii="Times New Roman" w:hAnsi="Times New Roman"/>
          <w:color w:val="0000FF"/>
          <w:sz w:val="24"/>
        </w:rPr>
        <w:t>разделом VI</w:t>
      </w:r>
      <w:r>
        <w:rPr>
          <w:rFonts w:ascii="Times New Roman" w:hAnsi="Times New Roman"/>
          <w:color w:val="0000FF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Контракта;</w:t>
      </w:r>
    </w:p>
    <w:p w14:paraId="46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 провести экспертизу поставленного Товара для проверки его соответствия условиям Контракта в соответствии с Федеральным </w:t>
      </w:r>
      <w:r>
        <w:rPr>
          <w:rFonts w:ascii="Times New Roman" w:hAnsi="Times New Roman"/>
          <w:color w:val="0000FF"/>
          <w:sz w:val="24"/>
        </w:rPr>
        <w:fldChar w:fldCharType="begin"/>
      </w:r>
      <w:r>
        <w:rPr>
          <w:rFonts w:ascii="Times New Roman" w:hAnsi="Times New Roman"/>
          <w:color w:val="0000FF"/>
          <w:sz w:val="24"/>
        </w:rPr>
        <w:instrText>HYPERLINK "consultantplus://offline/ref=0E3652586902207727CC59B8CE49B64A7896A81CDF4A11269662C9A4B85F83134B1E0C16B8C2B2072435A7A08CSFU5G"</w:instrText>
      </w:r>
      <w:r>
        <w:rPr>
          <w:rFonts w:ascii="Times New Roman" w:hAnsi="Times New Roman"/>
          <w:color w:val="0000FF"/>
          <w:sz w:val="24"/>
        </w:rPr>
        <w:fldChar w:fldCharType="separate"/>
      </w:r>
      <w:r>
        <w:rPr>
          <w:rFonts w:ascii="Times New Roman" w:hAnsi="Times New Roman"/>
          <w:color w:val="0000FF"/>
          <w:sz w:val="24"/>
        </w:rPr>
        <w:t>законом</w:t>
      </w:r>
      <w:r>
        <w:rPr>
          <w:rFonts w:ascii="Times New Roman" w:hAnsi="Times New Roman"/>
          <w:color w:val="0000FF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47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 Заказчик вправе:</w:t>
      </w:r>
    </w:p>
    <w:p w14:paraId="48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4.4.1. требовать от Поставщика надлежащего исполнения обязательств по Контракту;</w:t>
      </w:r>
    </w:p>
    <w:p w14:paraId="49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14:paraId="4A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14:paraId="4B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4.4.4. требовать возмещения убытков в соответствии с </w:t>
      </w:r>
      <w:r>
        <w:rPr>
          <w:rFonts w:ascii="Times New Roman" w:hAnsi="Times New Roman"/>
          <w:color w:val="0000FF"/>
          <w:sz w:val="24"/>
        </w:rPr>
        <w:fldChar w:fldCharType="begin"/>
      </w:r>
      <w:r>
        <w:rPr>
          <w:rFonts w:ascii="Times New Roman" w:hAnsi="Times New Roman"/>
          <w:color w:val="0000FF"/>
          <w:sz w:val="24"/>
        </w:rPr>
        <w:instrText>HYPERLINK \l "P132"</w:instrText>
      </w:r>
      <w:r>
        <w:rPr>
          <w:rFonts w:ascii="Times New Roman" w:hAnsi="Times New Roman"/>
          <w:color w:val="0000FF"/>
          <w:sz w:val="24"/>
        </w:rPr>
        <w:fldChar w:fldCharType="separate"/>
      </w:r>
      <w:r>
        <w:rPr>
          <w:rFonts w:ascii="Times New Roman" w:hAnsi="Times New Roman"/>
          <w:color w:val="0000FF"/>
          <w:sz w:val="24"/>
        </w:rPr>
        <w:t>разделом VI</w:t>
      </w:r>
      <w:r>
        <w:rPr>
          <w:rFonts w:ascii="Times New Roman" w:hAnsi="Times New Roman"/>
          <w:color w:val="0000FF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Контракта, причиненных по вине Поставщика;</w:t>
      </w:r>
    </w:p>
    <w:p w14:paraId="4C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Федеральным </w:t>
      </w:r>
      <w:r>
        <w:rPr>
          <w:rFonts w:ascii="Times New Roman" w:hAnsi="Times New Roman"/>
          <w:color w:val="0000FF"/>
          <w:sz w:val="24"/>
        </w:rPr>
        <w:fldChar w:fldCharType="begin"/>
      </w:r>
      <w:r>
        <w:rPr>
          <w:rFonts w:ascii="Times New Roman" w:hAnsi="Times New Roman"/>
          <w:color w:val="0000FF"/>
          <w:sz w:val="24"/>
        </w:rPr>
        <w:instrText>HYPERLINK "consultantplus://offline/ref=0E3652586902207727CC59B8CE49B64A7896A81CDF4A11269662C9A4B85F83134B1E0C16B8C2B2072435A7A08CSFU5G"</w:instrText>
      </w:r>
      <w:r>
        <w:rPr>
          <w:rFonts w:ascii="Times New Roman" w:hAnsi="Times New Roman"/>
          <w:color w:val="0000FF"/>
          <w:sz w:val="24"/>
        </w:rPr>
        <w:fldChar w:fldCharType="separate"/>
      </w:r>
      <w:r>
        <w:rPr>
          <w:rFonts w:ascii="Times New Roman" w:hAnsi="Times New Roman"/>
          <w:color w:val="0000FF"/>
          <w:sz w:val="24"/>
        </w:rPr>
        <w:t>законом</w:t>
      </w:r>
      <w:r>
        <w:rPr>
          <w:rFonts w:ascii="Times New Roman" w:hAnsi="Times New Roman"/>
          <w:color w:val="0000FF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нужд"; </w:t>
      </w:r>
    </w:p>
    <w:p w14:paraId="4D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4.4.6. отказаться от приемки и оплаты Товара, не соответствующего условиям Контракта;</w:t>
      </w:r>
    </w:p>
    <w:p w14:paraId="4E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4.4.7. принять решение об одностороннем отказе от исполнения Контракта в соответствии с гражданским законодательством; </w:t>
      </w:r>
    </w:p>
    <w:p w14:paraId="4F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 </w:t>
      </w:r>
    </w:p>
    <w:p w14:paraId="50000000">
      <w:pPr>
        <w:pStyle w:val="Style_1"/>
        <w:ind/>
        <w:jc w:val="center"/>
        <w:outlineLvl w:val="0"/>
        <w:rPr>
          <w:rFonts w:ascii="Times New Roman" w:hAnsi="Times New Roman"/>
          <w:sz w:val="24"/>
        </w:rPr>
      </w:pPr>
    </w:p>
    <w:p w14:paraId="51000000">
      <w:pPr>
        <w:pStyle w:val="Style_1"/>
        <w:ind/>
        <w:jc w:val="center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V. Качество Товара</w:t>
      </w:r>
    </w:p>
    <w:p w14:paraId="52000000">
      <w:pPr>
        <w:pStyle w:val="Style_1"/>
        <w:ind/>
        <w:jc w:val="both"/>
        <w:rPr>
          <w:rFonts w:ascii="Times New Roman" w:hAnsi="Times New Roman"/>
          <w:sz w:val="24"/>
        </w:rPr>
      </w:pPr>
    </w:p>
    <w:p w14:paraId="53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 Поставщик гарантирует, что поставляемый Товар соответствует требованиям, установленным Контрактом.</w:t>
      </w:r>
    </w:p>
    <w:p w14:paraId="54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</w:t>
      </w:r>
      <w:r>
        <w:rPr>
          <w:rFonts w:ascii="Times New Roman" w:hAnsi="Times New Roman"/>
          <w:sz w:val="24"/>
        </w:rPr>
        <w:t>законодательством Российской Федерации.</w:t>
      </w:r>
    </w:p>
    <w:p w14:paraId="55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14:paraId="56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Товар должен быть упакован и замаркирован в соответствии с действующими стандартами.</w:t>
      </w:r>
    </w:p>
    <w:p w14:paraId="57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58000000">
      <w:pPr>
        <w:pStyle w:val="Style_1"/>
        <w:ind/>
        <w:jc w:val="both"/>
        <w:rPr>
          <w:rFonts w:ascii="Times New Roman" w:hAnsi="Times New Roman"/>
          <w:sz w:val="24"/>
        </w:rPr>
      </w:pPr>
    </w:p>
    <w:p w14:paraId="59000000">
      <w:pPr>
        <w:pStyle w:val="Style_1"/>
        <w:ind/>
        <w:jc w:val="center"/>
        <w:outlineLvl w:val="0"/>
        <w:rPr>
          <w:rFonts w:ascii="Times New Roman" w:hAnsi="Times New Roman"/>
          <w:sz w:val="24"/>
        </w:rPr>
      </w:pPr>
      <w:bookmarkStart w:id="6" w:name="P132"/>
      <w:bookmarkEnd w:id="6"/>
      <w:r>
        <w:rPr>
          <w:rFonts w:ascii="Times New Roman" w:hAnsi="Times New Roman"/>
          <w:sz w:val="24"/>
        </w:rPr>
        <w:t xml:space="preserve">VI. Ответственность Сторон </w:t>
      </w:r>
    </w:p>
    <w:p w14:paraId="5A000000">
      <w:pPr>
        <w:pStyle w:val="Style_1"/>
        <w:ind/>
        <w:jc w:val="both"/>
        <w:rPr>
          <w:rFonts w:ascii="Times New Roman" w:hAnsi="Times New Roman"/>
          <w:sz w:val="24"/>
        </w:rPr>
      </w:pPr>
    </w:p>
    <w:p w14:paraId="5B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.1. За неисполнение или ненадлежащее исполнение обязательств, предусмотренных Контрактом, Стороны несут ответственность в соответствии с законодательством Российской Федерации.</w:t>
      </w:r>
    </w:p>
    <w:p w14:paraId="5C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5D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.3. Размер штрафа устанавливается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N 1042 (далее - Правила определения размера штрафа).</w:t>
      </w:r>
    </w:p>
    <w:p w14:paraId="5E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.4.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5F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.5. За каждый факт неисполнения Заказчиком обязательств, предусмотренных </w:t>
      </w:r>
      <w:r>
        <w:rPr>
          <w:rFonts w:ascii="Times New Roman" w:hAnsi="Times New Roman"/>
          <w:sz w:val="24"/>
        </w:rPr>
        <w:t>Контрактом</w:t>
      </w:r>
      <w:r>
        <w:rPr>
          <w:rFonts w:ascii="Times New Roman" w:hAnsi="Times New Roman"/>
          <w:sz w:val="24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/>
          <w:sz w:val="24"/>
        </w:rPr>
        <w:t>Контрактом</w:t>
      </w:r>
      <w:r>
        <w:rPr>
          <w:rFonts w:ascii="Times New Roman" w:hAnsi="Times New Roman"/>
          <w:sz w:val="24"/>
        </w:rPr>
        <w:t xml:space="preserve">, Поставщик вправе взыскать с Заказчика штраф </w:t>
      </w:r>
      <w:r>
        <w:rPr>
          <w:rFonts w:ascii="Times New Roman" w:hAnsi="Times New Roman"/>
          <w:sz w:val="24"/>
        </w:rPr>
        <w:t>в следующем порядке</w:t>
      </w:r>
      <w:r>
        <w:rPr>
          <w:rFonts w:ascii="Times New Roman" w:hAnsi="Times New Roman"/>
          <w:i w:val="1"/>
          <w:sz w:val="24"/>
        </w:rPr>
        <w:t>:</w:t>
      </w:r>
    </w:p>
    <w:p w14:paraId="60000000">
      <w:pPr>
        <w:pStyle w:val="Style_1"/>
        <w:ind w:firstLine="540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а) 1000 рублей, если цена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>а не превышает 3 млн. рублей (включительно);</w:t>
      </w:r>
    </w:p>
    <w:p w14:paraId="61000000">
      <w:pPr>
        <w:pStyle w:val="Style_1"/>
        <w:ind w:firstLine="540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б) 5000 рублей, если цена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>а составляет от 3 млн. рублей до 50 млн. рублей (включительно);</w:t>
      </w:r>
    </w:p>
    <w:p w14:paraId="62000000">
      <w:pPr>
        <w:pStyle w:val="Style_1"/>
        <w:ind w:firstLine="540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в) 10000 рублей, если цена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>а составляет от 50 млн. рублей до 100 млн. рублей (включительно);</w:t>
      </w:r>
    </w:p>
    <w:p w14:paraId="63000000">
      <w:pPr>
        <w:pStyle w:val="Style_1"/>
        <w:ind w:firstLine="540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г) 100000 рублей, если цена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>а превышает 100 млн. рублей).</w:t>
      </w:r>
    </w:p>
    <w:p w14:paraId="64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.6. В случае нарушения Поставщиком срока представления документов, </w:t>
      </w:r>
      <w:r>
        <w:rPr>
          <w:rFonts w:ascii="Times New Roman" w:hAnsi="Times New Roman"/>
          <w:sz w:val="24"/>
        </w:rPr>
        <w:t xml:space="preserve">предусмотренного пунктом 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 Контракта, Заказчик не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несет ответственность, установленную пунктами 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- 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.5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а.</w:t>
      </w:r>
    </w:p>
    <w:p w14:paraId="65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.7. Общая сумма штрафов за ненадлежащее исполнение Заказчиком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не может превышать цену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а.</w:t>
      </w:r>
    </w:p>
    <w:p w14:paraId="66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.8. В случае просрочки исполнения Поставщиком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ом, Заказчик направляет Поставщику требование об уплате неустоек (штрафов, пеней).</w:t>
      </w:r>
    </w:p>
    <w:p w14:paraId="67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.9. </w:t>
      </w:r>
      <w:r>
        <w:rPr>
          <w:rFonts w:ascii="Times New Roman" w:hAnsi="Times New Roman"/>
          <w:sz w:val="24"/>
        </w:rPr>
        <w:t xml:space="preserve"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исполнения Контракта), уменьшенной на </w:t>
      </w:r>
      <w:r>
        <w:rPr>
          <w:rFonts w:ascii="Times New Roman" w:hAnsi="Times New Roman"/>
          <w:sz w:val="24"/>
        </w:rPr>
        <w:t>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</w:t>
      </w:r>
      <w:r>
        <w:rPr>
          <w:rFonts w:ascii="Times New Roman" w:hAnsi="Times New Roman"/>
          <w:sz w:val="24"/>
        </w:rPr>
        <w:t>.</w:t>
      </w:r>
    </w:p>
    <w:p w14:paraId="68000000">
      <w:pPr>
        <w:pStyle w:val="Style_1"/>
        <w:ind w:firstLine="540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.10. За каждый факт неисполнения или ненадлежащего исполнения Поставщиком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Поставщик выплачивает Заказчику штраф </w:t>
      </w:r>
      <w:r>
        <w:rPr>
          <w:rFonts w:ascii="Times New Roman" w:hAnsi="Times New Roman"/>
          <w:sz w:val="24"/>
        </w:rPr>
        <w:t>в следующем порядке</w:t>
      </w:r>
      <w:r>
        <w:rPr>
          <w:rFonts w:ascii="Times New Roman" w:hAnsi="Times New Roman"/>
          <w:i w:val="1"/>
          <w:sz w:val="24"/>
        </w:rPr>
        <w:t>:</w:t>
      </w:r>
    </w:p>
    <w:p w14:paraId="69000000">
      <w:pPr>
        <w:pStyle w:val="Style_1"/>
        <w:ind w:firstLine="540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а) 10 процентов цены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 xml:space="preserve">а (этапа) в случае, если цена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>а (этапа) не превышает 3 млн. рублей;</w:t>
      </w:r>
    </w:p>
    <w:p w14:paraId="6A000000">
      <w:pPr>
        <w:pStyle w:val="Style_1"/>
        <w:ind w:firstLine="540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б) 5 процентов цены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 xml:space="preserve">а (этапа) в случае, если цена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>а (этапа) составляет от 3 млн. рублей до 50 млн. рублей (включительно);</w:t>
      </w:r>
    </w:p>
    <w:p w14:paraId="6B000000">
      <w:pPr>
        <w:pStyle w:val="Style_1"/>
        <w:ind w:firstLine="540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в) 1 процент цены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 xml:space="preserve">а (этапа) в случае, если цена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>а (этапа) составляет от 50 млн. рублей до 100 млн. рублей (включительно);</w:t>
      </w:r>
    </w:p>
    <w:p w14:paraId="6C000000">
      <w:pPr>
        <w:pStyle w:val="Style_1"/>
        <w:ind w:firstLine="540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г) 0,5 процента цены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 xml:space="preserve">а (этапа) в случае, если цена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>а (этапа) составляет от 100 млн. рублей до 500 млн. рублей (включительно);</w:t>
      </w:r>
    </w:p>
    <w:p w14:paraId="6D000000">
      <w:pPr>
        <w:pStyle w:val="Style_1"/>
        <w:ind w:firstLine="540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д) 0,4 процента цены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 xml:space="preserve">а (этапа) в случае, если цена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>а (этапа) составляет от 500 млн. рублей до 1 млрд. рублей (включительно);</w:t>
      </w:r>
    </w:p>
    <w:p w14:paraId="6E000000">
      <w:pPr>
        <w:pStyle w:val="Style_1"/>
        <w:ind w:firstLine="540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е) 0,3 процента цены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 xml:space="preserve">а (этапа) в случае, если цена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>а (этапа) составляет от 1 млрд. рублей до 2 млрд. рублей (включительно);</w:t>
      </w:r>
    </w:p>
    <w:p w14:paraId="6F000000">
      <w:pPr>
        <w:pStyle w:val="Style_1"/>
        <w:ind w:firstLine="540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ж) 0,25 процента цены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 xml:space="preserve">а (этапа) в случае, если цена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>а (этапа) составляет от 2 млрд. рублей до 5 млрд. рублей (включительно);</w:t>
      </w:r>
    </w:p>
    <w:p w14:paraId="70000000">
      <w:pPr>
        <w:pStyle w:val="Style_1"/>
        <w:ind w:firstLine="540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з) 0,2 процента цены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 xml:space="preserve">а (этапа) в случае, если цена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>а (этапа) составляет от 5 млрд. рублей до 10 млрд. рублей (включительно);</w:t>
      </w:r>
    </w:p>
    <w:p w14:paraId="71000000">
      <w:pPr>
        <w:pStyle w:val="Style_1"/>
        <w:ind w:firstLine="540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и) 0,1 процента цены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 xml:space="preserve">а (этапа) в случае, если цена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>а (этапа) превышает 10 млрд. рублей).</w:t>
      </w:r>
    </w:p>
    <w:p w14:paraId="72000000">
      <w:pPr>
        <w:pStyle w:val="Style_6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.11. За каждый факт неисполнения или ненадлежащего исполнения Поставщиком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заключенным по результатам определения Поставщика в соответствии с </w:t>
      </w:r>
      <w:r>
        <w:rPr>
          <w:rFonts w:ascii="Times New Roman" w:hAnsi="Times New Roman"/>
          <w:i w:val="1"/>
          <w:sz w:val="24"/>
        </w:rPr>
        <w:fldChar w:fldCharType="begin"/>
      </w:r>
      <w:r>
        <w:rPr>
          <w:rFonts w:ascii="Times New Roman" w:hAnsi="Times New Roman"/>
          <w:i w:val="1"/>
          <w:sz w:val="24"/>
        </w:rPr>
        <w:instrText>HYPERLINK "consultantplus://offline/ref=0DAE22E69727C54A4EDF01B580C027E200703AA4D96E9419C311C9EB3D0C174C52B6030936E98E5Aj73CK"</w:instrText>
      </w:r>
      <w:r>
        <w:rPr>
          <w:rFonts w:ascii="Times New Roman" w:hAnsi="Times New Roman"/>
          <w:i w:val="1"/>
          <w:sz w:val="24"/>
        </w:rPr>
        <w:fldChar w:fldCharType="separate"/>
      </w:r>
      <w:r>
        <w:rPr>
          <w:rFonts w:ascii="Times New Roman" w:hAnsi="Times New Roman"/>
          <w:i w:val="1"/>
          <w:sz w:val="24"/>
        </w:rPr>
        <w:t>пунктом 1 части 1 статьи 30</w:t>
      </w:r>
      <w:r>
        <w:rPr>
          <w:rFonts w:ascii="Times New Roman" w:hAnsi="Times New Roman"/>
          <w:i w:val="1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Федерального закона о контрактной системе,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Поставщик выплачивает Заказчику штраф в размере 1% цены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 (этапа) но не более 5 тысяч рублей и не менее 1 тысячи рублей.</w:t>
      </w:r>
    </w:p>
    <w:p w14:paraId="73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.12. За каждый факт неисполнения или ненадлежащего исполнения Поставщиком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заключенным с победителем закупки (или с иным участником закупки в случаях, установленных Федеральным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"consultantplus://offline/ref=0DAE22E69727C54A4EDF01B580C027E200703AA4D96E9419C311C9EB3Dj03CK"</w:instrText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законом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о контрактной системе), предложившим наиболее высокую цену за право заключения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ом, Поставщик выплачивает Заказчику штраф в следующем порядке</w:t>
      </w:r>
      <w:r>
        <w:rPr>
          <w:sz w:val="24"/>
        </w:rPr>
        <w:t>:</w:t>
      </w:r>
    </w:p>
    <w:p w14:paraId="74000000">
      <w:pPr>
        <w:pStyle w:val="Style_6"/>
        <w:ind w:firstLine="567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а) в случае, если цена контракта не превышает начальную (максимальную) цену контракта:</w:t>
      </w:r>
    </w:p>
    <w:p w14:paraId="75000000">
      <w:pPr>
        <w:pStyle w:val="Style_6"/>
        <w:ind w:firstLine="567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10 процентов начальной (максимальной) цены контракта, если цена контракта не превышает 3 млн. рублей;</w:t>
      </w:r>
    </w:p>
    <w:p w14:paraId="76000000">
      <w:pPr>
        <w:pStyle w:val="Style_6"/>
        <w:ind w:firstLine="567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14:paraId="77000000">
      <w:pPr>
        <w:pStyle w:val="Style_6"/>
        <w:ind w:firstLine="567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1 процент начальной (максимальной) цены контракта, если цена контракта составляет от 50 млн. рублей до 100 млн. рублей (включительно);</w:t>
      </w:r>
    </w:p>
    <w:p w14:paraId="78000000">
      <w:pPr>
        <w:pStyle w:val="Style_6"/>
        <w:ind w:firstLine="567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б) в случае, если цена контракта превышает начальную (максимальную) цену контракта:</w:t>
      </w:r>
    </w:p>
    <w:p w14:paraId="79000000">
      <w:pPr>
        <w:pStyle w:val="Style_6"/>
        <w:ind w:firstLine="567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10 процентов цены контракта, если цена контракта не превышает 3 млн. рублей;</w:t>
      </w:r>
    </w:p>
    <w:p w14:paraId="7A000000">
      <w:pPr>
        <w:pStyle w:val="Style_6"/>
        <w:ind w:firstLine="567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5 процентов цены контракта, если цена контракта составляет от 3 млн. рублей до 50 млн. рублей (включительно);</w:t>
      </w:r>
    </w:p>
    <w:p w14:paraId="7B000000">
      <w:pPr>
        <w:pStyle w:val="Style_6"/>
        <w:ind w:firstLine="567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1 процент цены контракта, если цена контракта составляет от 50 млн. рублей до 100 млн. рублей (включительно).</w:t>
      </w:r>
    </w:p>
    <w:p w14:paraId="7C000000">
      <w:pPr>
        <w:pStyle w:val="Style_1"/>
        <w:ind w:firstLine="540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.13. За каждый факт неисполнения или ненадлежащего исполнения Поставщиком обязательства, предусмотренного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которое не имеет стоимостного выражения, Поставщик выплачивает Заказчику штраф </w:t>
      </w:r>
      <w:r>
        <w:rPr>
          <w:rFonts w:ascii="Times New Roman" w:hAnsi="Times New Roman"/>
          <w:sz w:val="24"/>
        </w:rPr>
        <w:t>в следующем порядке:</w:t>
      </w:r>
    </w:p>
    <w:p w14:paraId="7D000000">
      <w:pPr>
        <w:pStyle w:val="Style_1"/>
        <w:ind w:firstLine="540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а) 1000 рублей, если цена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>а не превышает 3 млн. рублей;</w:t>
      </w:r>
    </w:p>
    <w:p w14:paraId="7E000000">
      <w:pPr>
        <w:pStyle w:val="Style_1"/>
        <w:ind w:firstLine="540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б) 5000 рублей, если цена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>а составляет от 3 млн. рублей до 50 млн. рублей (включительно);</w:t>
      </w:r>
    </w:p>
    <w:p w14:paraId="7F000000">
      <w:pPr>
        <w:pStyle w:val="Style_1"/>
        <w:ind w:firstLine="540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в) 10000 рублей, если цена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>а составляет от 50 млн. рублей до 100 млн. рублей (включительно);</w:t>
      </w:r>
    </w:p>
    <w:p w14:paraId="80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 xml:space="preserve">г) 100000 рублей, если цена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>а превышает 100 млн. рублей</w:t>
      </w:r>
      <w:r>
        <w:rPr>
          <w:rFonts w:ascii="Times New Roman" w:hAnsi="Times New Roman"/>
          <w:sz w:val="24"/>
        </w:rPr>
        <w:t>).</w:t>
      </w:r>
    </w:p>
    <w:p w14:paraId="81000000">
      <w:pPr>
        <w:pStyle w:val="Style_1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.14. В случае если Поставщиком не предоставлено новое обеспечение исполнения Контракта в соответствии с пунктом </w:t>
      </w: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 xml:space="preserve"> Контракта, Заказчик вправе потребовать уплаты пеней. При этом размер пени начисляется за каждый день просрочки исполнения Поставщиком обязательства, предусмотренного пунктом </w:t>
      </w: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 xml:space="preserve"> Контракта,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</w:t>
      </w:r>
      <w:r>
        <w:rPr>
          <w:rFonts w:ascii="Times New Roman" w:hAnsi="Times New Roman"/>
          <w:sz w:val="24"/>
        </w:rPr>
        <w:t>.</w:t>
      </w:r>
    </w:p>
    <w:p w14:paraId="82000000">
      <w:pPr>
        <w:pStyle w:val="Style_1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.15.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83000000">
      <w:pPr>
        <w:pStyle w:val="Style_1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.16.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84000000">
      <w:pPr>
        <w:pStyle w:val="Style_1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.17. Уплата неустойки (штрафа, пени) не освобождает Стороны от исполнения обязательств по Контракту.</w:t>
      </w:r>
    </w:p>
    <w:p w14:paraId="85000000">
      <w:pPr>
        <w:pStyle w:val="Style_1"/>
        <w:ind/>
        <w:jc w:val="both"/>
        <w:rPr>
          <w:rFonts w:ascii="Times New Roman" w:hAnsi="Times New Roman"/>
          <w:sz w:val="24"/>
        </w:rPr>
      </w:pPr>
    </w:p>
    <w:p w14:paraId="86000000">
      <w:pPr>
        <w:pStyle w:val="Style_1"/>
        <w:ind/>
        <w:jc w:val="both"/>
        <w:rPr>
          <w:rFonts w:ascii="Times New Roman" w:hAnsi="Times New Roman"/>
          <w:sz w:val="24"/>
        </w:rPr>
      </w:pPr>
      <w:bookmarkStart w:id="7" w:name="P169"/>
      <w:bookmarkEnd w:id="7"/>
    </w:p>
    <w:p w14:paraId="87000000">
      <w:pPr>
        <w:pStyle w:val="Style_1"/>
        <w:ind/>
        <w:jc w:val="center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VII</w:t>
      </w:r>
      <w:r>
        <w:rPr>
          <w:rFonts w:ascii="Times New Roman" w:hAnsi="Times New Roman"/>
          <w:sz w:val="24"/>
        </w:rPr>
        <w:t>. Обстоятельства непреодолимой силы</w:t>
      </w:r>
    </w:p>
    <w:p w14:paraId="88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14:paraId="89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</w:t>
      </w:r>
      <w:r>
        <w:rPr>
          <w:rFonts w:ascii="Times New Roman" w:hAnsi="Times New Roman"/>
          <w:sz w:val="24"/>
        </w:rPr>
        <w:t>10 (десяти) дней</w:t>
      </w:r>
      <w:r>
        <w:rPr>
          <w:rFonts w:ascii="Times New Roman" w:hAnsi="Times New Roman"/>
          <w:sz w:val="24"/>
        </w:rPr>
        <w:t xml:space="preserve">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8A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8B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8C000000">
      <w:pPr>
        <w:pStyle w:val="Style_1"/>
        <w:ind/>
        <w:jc w:val="both"/>
        <w:rPr>
          <w:rFonts w:ascii="Times New Roman" w:hAnsi="Times New Roman"/>
          <w:sz w:val="24"/>
        </w:rPr>
      </w:pPr>
    </w:p>
    <w:p w14:paraId="8D000000">
      <w:pPr>
        <w:pStyle w:val="Style_1"/>
        <w:ind/>
        <w:jc w:val="center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VII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>. Рассмотрение и разрешение споров</w:t>
      </w:r>
    </w:p>
    <w:p w14:paraId="8E000000">
      <w:pPr>
        <w:pStyle w:val="Style_1"/>
        <w:ind/>
        <w:jc w:val="both"/>
        <w:rPr>
          <w:rFonts w:ascii="Times New Roman" w:hAnsi="Times New Roman"/>
          <w:sz w:val="24"/>
        </w:rPr>
      </w:pPr>
    </w:p>
    <w:p w14:paraId="8F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>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14:paraId="90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91000000">
      <w:pPr>
        <w:pStyle w:val="Style_1"/>
        <w:ind w:firstLine="54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 xml:space="preserve">.3. </w:t>
      </w:r>
      <w:r>
        <w:rPr>
          <w:rFonts w:ascii="Times New Roman" w:hAnsi="Times New Roman"/>
        </w:rPr>
        <w:t xml:space="preserve">Срок рассмотрения претензии не может превышать 10 (десять) дней. </w:t>
      </w:r>
    </w:p>
    <w:p w14:paraId="92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 xml:space="preserve">.4. </w:t>
      </w:r>
      <w:r>
        <w:rPr>
          <w:rFonts w:ascii="Times New Roman" w:hAnsi="Times New Roman"/>
          <w:sz w:val="24"/>
        </w:rPr>
        <w:t>При не урегулировании Сторонами спора в досудебном порядке, спор передается на разрешение в Арбитражный суд Ростовской области</w:t>
      </w:r>
      <w:r>
        <w:rPr>
          <w:rFonts w:ascii="Times New Roman" w:hAnsi="Times New Roman"/>
          <w:sz w:val="24"/>
        </w:rPr>
        <w:t>.</w:t>
      </w:r>
    </w:p>
    <w:p w14:paraId="93000000">
      <w:pPr>
        <w:pStyle w:val="Style_1"/>
        <w:ind/>
        <w:jc w:val="both"/>
        <w:rPr>
          <w:rFonts w:ascii="Times New Roman" w:hAnsi="Times New Roman"/>
          <w:sz w:val="24"/>
        </w:rPr>
      </w:pPr>
    </w:p>
    <w:p w14:paraId="94000000">
      <w:pPr>
        <w:pStyle w:val="Style_1"/>
        <w:ind/>
        <w:jc w:val="center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>X. Срок действия и порядок расторжения Контракта</w:t>
      </w:r>
    </w:p>
    <w:p w14:paraId="95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 xml:space="preserve">.1. </w:t>
      </w:r>
      <w:r>
        <w:rPr>
          <w:rFonts w:ascii="Times New Roman" w:hAnsi="Times New Roman"/>
          <w:sz w:val="24"/>
        </w:rPr>
        <w:t>Контра</w:t>
      </w:r>
      <w:r>
        <w:rPr>
          <w:rFonts w:ascii="Times New Roman" w:hAnsi="Times New Roman"/>
          <w:sz w:val="24"/>
        </w:rPr>
        <w:t>кт вст</w:t>
      </w:r>
      <w:r>
        <w:rPr>
          <w:rFonts w:ascii="Times New Roman" w:hAnsi="Times New Roman"/>
          <w:sz w:val="24"/>
        </w:rPr>
        <w:t>упает в силу с момента подписания и действует до 01.12.2026 г. Окончание срока действия Контракта влечет прекращение обязательств сторон по Контракту с 01.12.2026г., за исключением обязательств по оплате, возникших на 30.11.2026 г</w:t>
      </w:r>
      <w:r>
        <w:rPr>
          <w:rFonts w:ascii="Times New Roman" w:hAnsi="Times New Roman"/>
          <w:sz w:val="24"/>
        </w:rPr>
        <w:t>.</w:t>
      </w:r>
      <w:bookmarkStart w:id="8" w:name="_GoBack"/>
      <w:bookmarkEnd w:id="8"/>
    </w:p>
    <w:p w14:paraId="96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 xml:space="preserve">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</w:t>
      </w:r>
      <w:r>
        <w:rPr>
          <w:rFonts w:ascii="Times New Roman" w:hAnsi="Times New Roman"/>
          <w:color w:val="0000FF"/>
          <w:sz w:val="24"/>
        </w:rPr>
        <w:fldChar w:fldCharType="begin"/>
      </w:r>
      <w:r>
        <w:rPr>
          <w:rFonts w:ascii="Times New Roman" w:hAnsi="Times New Roman"/>
          <w:color w:val="0000FF"/>
          <w:sz w:val="24"/>
        </w:rPr>
        <w:instrText>HYPERLINK "consultantplus://offline/ref=0E3652586902207727CC59B8CE49B64A7896A81CDF4A11269662C9A4B85F8313591E541AB9C2AB0E2820F1F1CAA19AB5785C00D01EB68495S7U9G"</w:instrText>
      </w:r>
      <w:r>
        <w:rPr>
          <w:rFonts w:ascii="Times New Roman" w:hAnsi="Times New Roman"/>
          <w:color w:val="0000FF"/>
          <w:sz w:val="24"/>
        </w:rPr>
        <w:fldChar w:fldCharType="separate"/>
      </w:r>
      <w:r>
        <w:rPr>
          <w:rFonts w:ascii="Times New Roman" w:hAnsi="Times New Roman"/>
          <w:color w:val="0000FF"/>
          <w:sz w:val="24"/>
        </w:rPr>
        <w:t>частями 9</w:t>
      </w:r>
      <w:r>
        <w:rPr>
          <w:rFonts w:ascii="Times New Roman" w:hAnsi="Times New Roman"/>
          <w:color w:val="0000FF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- </w:t>
      </w:r>
      <w:r>
        <w:rPr>
          <w:rFonts w:ascii="Times New Roman" w:hAnsi="Times New Roman"/>
          <w:color w:val="0000FF"/>
          <w:sz w:val="24"/>
        </w:rPr>
        <w:fldChar w:fldCharType="begin"/>
      </w:r>
      <w:r>
        <w:rPr>
          <w:rFonts w:ascii="Times New Roman" w:hAnsi="Times New Roman"/>
          <w:color w:val="0000FF"/>
          <w:sz w:val="24"/>
        </w:rPr>
        <w:instrText>HYPERLINK "consultantplus://offline/ref=0E3652586902207727CC59B8CE49B64A7896A81CDF4A11269662C9A4B85F8313591E541AB9C2AF032C20F1F1CAA19AB5785C00D01EB68495S7U9G"</w:instrText>
      </w:r>
      <w:r>
        <w:rPr>
          <w:rFonts w:ascii="Times New Roman" w:hAnsi="Times New Roman"/>
          <w:color w:val="0000FF"/>
          <w:sz w:val="24"/>
        </w:rPr>
        <w:fldChar w:fldCharType="separate"/>
      </w:r>
      <w:r>
        <w:rPr>
          <w:rFonts w:ascii="Times New Roman" w:hAnsi="Times New Roman"/>
          <w:color w:val="0000FF"/>
          <w:sz w:val="24"/>
        </w:rPr>
        <w:t>23 статьи 95</w:t>
      </w:r>
      <w:r>
        <w:rPr>
          <w:rFonts w:ascii="Times New Roman" w:hAnsi="Times New Roman"/>
          <w:color w:val="0000FF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97000000">
      <w:pPr>
        <w:pStyle w:val="Style_1"/>
        <w:ind/>
        <w:jc w:val="center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X</w:t>
      </w:r>
      <w:r>
        <w:rPr>
          <w:rFonts w:ascii="Times New Roman" w:hAnsi="Times New Roman"/>
          <w:sz w:val="24"/>
        </w:rPr>
        <w:t xml:space="preserve">. Прочие положения </w:t>
      </w:r>
    </w:p>
    <w:p w14:paraId="98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 xml:space="preserve">.1. Во всем, что не предусмотрено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ом, Стороны руководствуются законодательством Российской Федерации.</w:t>
      </w:r>
    </w:p>
    <w:p w14:paraId="99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9A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 xml:space="preserve">.3. Внесение изменений и дополнений, не противоречащих законодательству Российской Федерации, в условия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 осуществляется путем заключения Сторонами в письменной форме дополнительных соглашений к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у, которые яв</w:t>
      </w:r>
      <w:r>
        <w:rPr>
          <w:rFonts w:ascii="Times New Roman" w:hAnsi="Times New Roman"/>
          <w:sz w:val="24"/>
        </w:rPr>
        <w:t>ляются его неотъемлемой частью.</w:t>
      </w:r>
    </w:p>
    <w:p w14:paraId="9B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 xml:space="preserve">.4. Изменение условий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 при его исполнении не допускается, за исключением случаев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предусмотренных статьей 95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9C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 xml:space="preserve">.5. При исполнении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9D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Передача прав и обязанностей по настоящему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у правопреемнику Поставщика осуществляется путем заключения соответствующего дополнительного соглашения к настоящему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у.</w:t>
      </w:r>
    </w:p>
    <w:p w14:paraId="9E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 xml:space="preserve">.6. Стороны обязуются обеспечить конфиденциальность сведений, относящихся к предмету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и ставших им известными в ходе исполнения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а.</w:t>
      </w:r>
    </w:p>
    <w:p w14:paraId="9F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. При исполнении своих обязательств по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A0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 xml:space="preserve">. В случае возникновения у Стороны подозрений, что произошло или может произойти нарушение каких-либо положений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</w:t>
      </w:r>
      <w:r>
        <w:rPr>
          <w:rFonts w:ascii="Times New Roman" w:hAnsi="Times New Roman"/>
          <w:sz w:val="24"/>
        </w:rPr>
        <w:t xml:space="preserve">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A1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 xml:space="preserve">.  Ни одна из Сторон не вправе передавать свои обязательства по настоящему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 третьим лицам без письменного согласия на то другой Стороны.</w:t>
      </w:r>
    </w:p>
    <w:p w14:paraId="A2000000">
      <w:pPr>
        <w:pStyle w:val="Style_1"/>
        <w:ind/>
        <w:jc w:val="both"/>
        <w:rPr>
          <w:rFonts w:ascii="Times New Roman" w:hAnsi="Times New Roman"/>
          <w:sz w:val="24"/>
        </w:rPr>
      </w:pPr>
    </w:p>
    <w:p w14:paraId="A3000000">
      <w:pPr>
        <w:spacing w:after="0"/>
        <w:ind w:firstLine="567" w:left="0"/>
        <w:jc w:val="center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z w:val="24"/>
        </w:rPr>
        <w:t>X</w:t>
      </w:r>
      <w:r>
        <w:rPr>
          <w:rFonts w:ascii="Times New Roman" w:hAnsi="Times New Roman"/>
          <w:sz w:val="24"/>
        </w:rPr>
        <w:t>I. Перечень приложений</w:t>
      </w:r>
    </w:p>
    <w:p w14:paraId="A4000000">
      <w:pPr>
        <w:spacing w:after="0"/>
        <w:ind w:firstLine="567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4"/>
          <w:sz w:val="24"/>
        </w:rPr>
        <w:t>1</w:t>
      </w:r>
      <w:r>
        <w:rPr>
          <w:rFonts w:ascii="Times New Roman" w:hAnsi="Times New Roman"/>
          <w:spacing w:val="-4"/>
          <w:sz w:val="24"/>
        </w:rPr>
        <w:t>1</w:t>
      </w:r>
      <w:r>
        <w:rPr>
          <w:rFonts w:ascii="Times New Roman" w:hAnsi="Times New Roman"/>
          <w:spacing w:val="-4"/>
          <w:sz w:val="24"/>
        </w:rPr>
        <w:t>.</w:t>
      </w:r>
      <w:r>
        <w:rPr>
          <w:rFonts w:ascii="Times New Roman" w:hAnsi="Times New Roman"/>
          <w:spacing w:val="-4"/>
          <w:sz w:val="24"/>
        </w:rPr>
        <w:t>1</w:t>
      </w:r>
      <w:r>
        <w:rPr>
          <w:rFonts w:ascii="Times New Roman" w:hAnsi="Times New Roman"/>
          <w:spacing w:val="-4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Неотъемлемой частью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 является следующие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"consultantplus://offline/ref=6CE79AFDF380EF8CA73166415544B038A29D979B35076CA9FB767B751BF1B207397AE5DE435F41A5A4CD0CF46C9DAE9D4189255B74138756RAfEN"</w:instrText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приложения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:</w:t>
      </w:r>
    </w:p>
    <w:p w14:paraId="A5000000">
      <w:pPr>
        <w:spacing w:after="0"/>
        <w:ind w:firstLine="567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1 – Спецификация;</w:t>
      </w:r>
    </w:p>
    <w:p w14:paraId="A6000000">
      <w:pPr>
        <w:spacing w:after="0"/>
        <w:ind w:firstLine="567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2 – Акт приема-передачи.</w:t>
      </w:r>
    </w:p>
    <w:p w14:paraId="A7000000">
      <w:pPr>
        <w:pStyle w:val="Style_1"/>
        <w:ind/>
        <w:jc w:val="both"/>
        <w:rPr>
          <w:rFonts w:ascii="Times New Roman" w:hAnsi="Times New Roman"/>
          <w:sz w:val="24"/>
        </w:rPr>
      </w:pPr>
    </w:p>
    <w:p w14:paraId="A8000000">
      <w:pPr>
        <w:pStyle w:val="Style_1"/>
        <w:ind/>
        <w:jc w:val="center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X</w:t>
      </w:r>
      <w:r>
        <w:rPr>
          <w:rFonts w:ascii="Times New Roman" w:hAnsi="Times New Roman"/>
          <w:sz w:val="24"/>
        </w:rPr>
        <w:t>II</w:t>
      </w:r>
      <w:r>
        <w:rPr>
          <w:rFonts w:ascii="Times New Roman" w:hAnsi="Times New Roman"/>
          <w:sz w:val="24"/>
        </w:rPr>
        <w:t>. Адреса и банковские реквизиты Сторон</w:t>
      </w:r>
    </w:p>
    <w:tbl>
      <w:tblPr>
        <w:tblStyle w:val="Style_7"/>
        <w:tblW w:type="auto" w:w="0"/>
        <w:tblLayout w:type="fixed"/>
      </w:tblPr>
      <w:tblGrid>
        <w:gridCol w:w="5070"/>
        <w:gridCol w:w="338"/>
        <w:gridCol w:w="12"/>
        <w:gridCol w:w="4550"/>
        <w:gridCol w:w="12"/>
      </w:tblGrid>
      <w:tr>
        <w:tc>
          <w:tcPr>
            <w:tcW w:type="dxa" w:w="5070"/>
          </w:tcPr>
          <w:p w14:paraId="A9000000">
            <w:pPr>
              <w:spacing w:after="0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ЗАКАЗЧИК</w:t>
            </w:r>
          </w:p>
        </w:tc>
        <w:tc>
          <w:tcPr>
            <w:tcW w:type="dxa" w:w="338"/>
          </w:tcPr>
          <w:p w14:paraId="AA000000">
            <w:pPr>
              <w:spacing w:after="0"/>
              <w:ind w:firstLine="709" w:left="0"/>
              <w:jc w:val="center"/>
              <w:rPr>
                <w:rFonts w:ascii="Times New Roman" w:hAnsi="Times New Roman"/>
                <w:color w:val="000000"/>
                <w:spacing w:val="10"/>
                <w:sz w:val="24"/>
              </w:rPr>
            </w:pPr>
          </w:p>
        </w:tc>
        <w:tc>
          <w:tcPr>
            <w:tcW w:type="dxa" w:w="4562"/>
            <w:gridSpan w:val="2"/>
          </w:tcPr>
          <w:p w14:paraId="AB000000">
            <w:pPr>
              <w:spacing w:after="0"/>
              <w:ind w:firstLine="709" w:left="34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ПОСТАВЩИК</w:t>
            </w:r>
          </w:p>
        </w:tc>
        <w:tc>
          <w:tcPr>
            <w:tcW w:type="dxa" w:w="12"/>
          </w:tcPr>
          <w:p/>
        </w:tc>
      </w:tr>
      <w:tr>
        <w:trPr>
          <w:trHeight w:hRule="atLeast" w:val="284"/>
        </w:trPr>
        <w:tc>
          <w:tcPr>
            <w:tcW w:type="dxa" w:w="5070"/>
          </w:tcPr>
          <w:p w14:paraId="AC000000">
            <w:pPr>
              <w:spacing w:after="0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ФГБОУ ВО </w:t>
            </w:r>
            <w:r>
              <w:rPr>
                <w:rFonts w:ascii="Times New Roman" w:hAnsi="Times New Roman"/>
                <w:b w:val="1"/>
              </w:rPr>
              <w:t>РостГМУ</w:t>
            </w:r>
            <w:r>
              <w:rPr>
                <w:rFonts w:ascii="Times New Roman" w:hAnsi="Times New Roman"/>
                <w:b w:val="1"/>
              </w:rPr>
              <w:t xml:space="preserve"> Минздрава России</w:t>
            </w:r>
          </w:p>
          <w:p w14:paraId="AD00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344022 Ростовская область, г. Ростов-на-Дону, пер. Нахичеванский, </w:t>
            </w:r>
            <w:r>
              <w:rPr>
                <w:rFonts w:ascii="Times New Roman" w:hAnsi="Times New Roman"/>
              </w:rPr>
              <w:t>зд</w:t>
            </w:r>
            <w:r>
              <w:rPr>
                <w:rFonts w:ascii="Times New Roman" w:hAnsi="Times New Roman"/>
              </w:rPr>
              <w:t>. 29</w:t>
            </w:r>
          </w:p>
          <w:p w14:paraId="AE00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6163032850</w:t>
            </w:r>
          </w:p>
          <w:p w14:paraId="AF00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616301001</w:t>
            </w:r>
          </w:p>
          <w:p w14:paraId="B000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УФК по Нижегородской области (ФГБОУ ВО </w:t>
            </w:r>
            <w:r>
              <w:rPr>
                <w:rFonts w:ascii="Times New Roman" w:hAnsi="Times New Roman"/>
              </w:rPr>
              <w:t>РостГМУ</w:t>
            </w:r>
            <w:r>
              <w:rPr>
                <w:rFonts w:ascii="Times New Roman" w:hAnsi="Times New Roman"/>
              </w:rPr>
              <w:t xml:space="preserve"> Минздрава России л/сч.20586У68420, 21586У68420, 22586У68420)</w:t>
            </w:r>
          </w:p>
          <w:p w14:paraId="B100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ОКЦ №1 ВВГУ Банка России//УФК по Нижегородской области, г. Нижний Новгород</w:t>
            </w:r>
          </w:p>
          <w:p w14:paraId="B200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ЕКС (единый казначейский счет) 40102810745370000024</w:t>
            </w:r>
          </w:p>
          <w:p w14:paraId="B300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 012202102</w:t>
            </w:r>
          </w:p>
          <w:p w14:paraId="B400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счета 03214643000000013230</w:t>
            </w:r>
          </w:p>
          <w:p w14:paraId="B500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 1026103165736 от 11.11.2002 г.</w:t>
            </w:r>
          </w:p>
          <w:p w14:paraId="B600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ОКПО 01896857</w:t>
            </w:r>
          </w:p>
          <w:p w14:paraId="B700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ОКТМО 60701000</w:t>
            </w:r>
          </w:p>
          <w:p w14:paraId="B800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ОКВЭД 85.22</w:t>
            </w:r>
          </w:p>
          <w:p w14:paraId="B900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ОКОПФ 20903</w:t>
            </w:r>
          </w:p>
          <w:p w14:paraId="BA00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ОКФС 12</w:t>
            </w:r>
          </w:p>
          <w:p w14:paraId="BB00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ОКОГУ 1320700</w:t>
            </w:r>
          </w:p>
          <w:p w14:paraId="BC000000">
            <w:pPr>
              <w:spacing w:after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338"/>
          </w:tcPr>
          <w:p w14:paraId="BD000000">
            <w:pPr>
              <w:spacing w:after="0"/>
              <w:ind w:firstLine="709" w:left="0"/>
              <w:jc w:val="center"/>
              <w:rPr>
                <w:rFonts w:ascii="Times New Roman" w:hAnsi="Times New Roman"/>
                <w:color w:val="000000"/>
                <w:spacing w:val="10"/>
                <w:sz w:val="24"/>
              </w:rPr>
            </w:pPr>
          </w:p>
        </w:tc>
        <w:tc>
          <w:tcPr>
            <w:tcW w:type="dxa" w:w="4562"/>
            <w:gridSpan w:val="2"/>
          </w:tcPr>
          <w:p w14:paraId="BE000000">
            <w:pPr>
              <w:spacing w:after="0"/>
              <w:ind w:firstLine="0" w:left="76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"/>
          </w:tcPr>
          <w:p/>
        </w:tc>
      </w:tr>
      <w:tr>
        <w:tc>
          <w:tcPr>
            <w:tcW w:type="dxa" w:w="5070"/>
          </w:tcPr>
          <w:p w14:paraId="BF000000">
            <w:pPr>
              <w:spacing w:after="0"/>
              <w:ind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И.о.ректора </w:t>
            </w:r>
            <w:r>
              <w:rPr>
                <w:rFonts w:ascii="Times New Roman" w:hAnsi="Times New Roman"/>
                <w:b w:val="1"/>
              </w:rPr>
              <w:t xml:space="preserve">ФГБОУ ВО </w:t>
            </w:r>
            <w:r>
              <w:rPr>
                <w:rFonts w:ascii="Times New Roman" w:hAnsi="Times New Roman"/>
                <w:b w:val="1"/>
              </w:rPr>
              <w:t>РостГМУ</w:t>
            </w:r>
            <w:r>
              <w:rPr>
                <w:rFonts w:ascii="Times New Roman" w:hAnsi="Times New Roman"/>
                <w:b w:val="1"/>
              </w:rPr>
              <w:t xml:space="preserve"> </w:t>
            </w:r>
          </w:p>
          <w:p w14:paraId="C0000000">
            <w:pPr>
              <w:spacing w:after="0"/>
              <w:ind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</w:rPr>
              <w:t>Минздрава России</w:t>
            </w:r>
          </w:p>
          <w:p w14:paraId="C1000000">
            <w:pPr>
              <w:spacing w:after="0"/>
              <w:ind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  <w:p w14:paraId="C2000000">
            <w:pPr>
              <w:spacing w:after="0"/>
              <w:ind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_____________________ М.А.Шишова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C3000000">
            <w:pPr>
              <w:spacing w:after="0"/>
              <w:ind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э.ц.п.</w:t>
            </w:r>
          </w:p>
        </w:tc>
        <w:tc>
          <w:tcPr>
            <w:tcW w:type="dxa" w:w="350"/>
            <w:gridSpan w:val="2"/>
          </w:tcPr>
          <w:p w14:paraId="C4000000">
            <w:pPr>
              <w:spacing w:after="0"/>
              <w:ind w:firstLine="709" w:left="0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562"/>
            <w:gridSpan w:val="2"/>
          </w:tcPr>
          <w:p w14:paraId="C5000000">
            <w:pPr>
              <w:spacing w:after="0"/>
              <w:ind w:firstLine="709" w:left="0"/>
              <w:rPr>
                <w:rFonts w:ascii="Times New Roman" w:hAnsi="Times New Roman"/>
                <w:sz w:val="24"/>
              </w:rPr>
            </w:pPr>
          </w:p>
        </w:tc>
      </w:tr>
    </w:tbl>
    <w:p w14:paraId="C6000000">
      <w:pPr>
        <w:widowControl w:val="0"/>
        <w:spacing w:after="60" w:line="240" w:lineRule="auto"/>
        <w:ind/>
        <w:jc w:val="right"/>
        <w:rPr>
          <w:rFonts w:ascii="Times New Roman" w:hAnsi="Times New Roman"/>
          <w:sz w:val="25"/>
        </w:rPr>
      </w:pPr>
    </w:p>
    <w:p w14:paraId="C7000000">
      <w:pPr>
        <w:widowControl w:val="0"/>
        <w:spacing w:after="60" w:line="240" w:lineRule="auto"/>
        <w:ind/>
        <w:jc w:val="right"/>
        <w:rPr>
          <w:rFonts w:ascii="Times New Roman" w:hAnsi="Times New Roman"/>
          <w:sz w:val="25"/>
        </w:rPr>
      </w:pPr>
    </w:p>
    <w:p w14:paraId="C8000000">
      <w:pPr>
        <w:sectPr>
          <w:pgSz w:h="16838" w:orient="portrait" w:w="11906"/>
          <w:pgMar w:bottom="851" w:footer="709" w:gutter="0" w:header="709" w:left="1134" w:right="851" w:top="851"/>
        </w:sectPr>
      </w:pPr>
    </w:p>
    <w:p w14:paraId="C9000000">
      <w:pPr>
        <w:widowControl w:val="0"/>
        <w:spacing w:after="60" w:line="240" w:lineRule="auto"/>
        <w:ind/>
        <w:jc w:val="right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 xml:space="preserve">Приложение № 1 </w:t>
      </w:r>
    </w:p>
    <w:p w14:paraId="CA000000">
      <w:pPr>
        <w:widowControl w:val="0"/>
        <w:spacing w:after="60" w:line="240" w:lineRule="auto"/>
        <w:ind w:firstLine="708" w:left="4956"/>
        <w:jc w:val="right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 xml:space="preserve">к </w:t>
      </w:r>
      <w:r>
        <w:rPr>
          <w:rFonts w:ascii="Times New Roman" w:hAnsi="Times New Roman"/>
          <w:sz w:val="25"/>
        </w:rPr>
        <w:t>контракт</w:t>
      </w:r>
      <w:r>
        <w:rPr>
          <w:rFonts w:ascii="Times New Roman" w:hAnsi="Times New Roman"/>
          <w:sz w:val="25"/>
        </w:rPr>
        <w:t>у РГМУ33075</w:t>
      </w:r>
    </w:p>
    <w:p w14:paraId="CB000000">
      <w:pPr>
        <w:widowControl w:val="0"/>
        <w:spacing w:after="60" w:line="240" w:lineRule="auto"/>
        <w:ind w:firstLine="708" w:left="4956"/>
        <w:jc w:val="right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>от «___»____________2026г.</w:t>
      </w:r>
    </w:p>
    <w:p w14:paraId="CC000000">
      <w:pPr>
        <w:widowControl w:val="0"/>
        <w:spacing w:after="60" w:line="240" w:lineRule="auto"/>
        <w:ind/>
        <w:jc w:val="both"/>
        <w:rPr>
          <w:rFonts w:ascii="Times New Roman" w:hAnsi="Times New Roman"/>
          <w:sz w:val="25"/>
        </w:rPr>
      </w:pPr>
    </w:p>
    <w:p w14:paraId="CD000000">
      <w:pPr>
        <w:widowControl w:val="0"/>
        <w:spacing w:after="60" w:line="240" w:lineRule="auto"/>
        <w:ind/>
        <w:jc w:val="center"/>
        <w:rPr>
          <w:rFonts w:ascii="Times New Roman" w:hAnsi="Times New Roman"/>
          <w:b w:val="1"/>
          <w:sz w:val="25"/>
        </w:rPr>
      </w:pPr>
      <w:r>
        <w:rPr>
          <w:rFonts w:ascii="Times New Roman" w:hAnsi="Times New Roman"/>
          <w:b w:val="1"/>
          <w:sz w:val="25"/>
        </w:rPr>
        <w:t>СПЕЦИФИКАЦИЯ*</w:t>
      </w:r>
    </w:p>
    <w:p w14:paraId="CE000000">
      <w:pPr>
        <w:widowControl w:val="0"/>
        <w:spacing w:after="60" w:line="240" w:lineRule="auto"/>
        <w:ind/>
        <w:jc w:val="center"/>
        <w:rPr>
          <w:rFonts w:ascii="Times New Roman" w:hAnsi="Times New Roman"/>
          <w:b w:val="1"/>
          <w:sz w:val="25"/>
        </w:rPr>
      </w:pPr>
    </w:p>
    <w:tbl>
      <w:tblPr>
        <w:tblStyle w:val="Style_8"/>
        <w:tblpPr w:bottomFromText="0" w:horzAnchor="margin" w:leftFromText="180" w:rightFromText="180" w:tblpXSpec="center" w:tblpY="735" w:topFromText="0" w:vertAnchor="text"/>
        <w:tblW w:type="auto" w:w="0"/>
        <w:tblBorders>
          <w:top w:color="000000" w:sz="6" w:val="single"/>
          <w:left w:color="000000" w:sz="6" w:val="single"/>
          <w:bottom w:color="000000" w:sz="6" w:val="single"/>
          <w:right w:color="000000" w:sz="6" w:val="single"/>
          <w:insideH w:color="000000" w:sz="6" w:val="single"/>
          <w:insideV w:color="000000" w:sz="6" w:val="single"/>
        </w:tblBorders>
        <w:tblLayout w:type="fixed"/>
      </w:tblPr>
      <w:tblGrid>
        <w:gridCol w:w="575"/>
        <w:gridCol w:w="7230"/>
        <w:gridCol w:w="2693"/>
        <w:gridCol w:w="992"/>
        <w:gridCol w:w="1559"/>
        <w:gridCol w:w="1985"/>
      </w:tblGrid>
      <w:tr>
        <w:trPr>
          <w:trHeight w:hRule="atLeast" w:val="519"/>
        </w:trPr>
        <w:tc>
          <w:tcPr>
            <w:tcW w:type="dxa" w:w="5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F000000">
            <w:pPr>
              <w:pStyle w:val="Style_9"/>
              <w:spacing w:line="223" w:lineRule="exact"/>
              <w:ind w:firstLine="0"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type="dxa" w:w="72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0000000">
            <w:pPr>
              <w:pStyle w:val="Style_9"/>
              <w:spacing w:line="228" w:lineRule="exact"/>
              <w:ind w:firstLine="0" w:left="1761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Наименование</w:t>
            </w:r>
            <w:r>
              <w:rPr>
                <w:b w:val="1"/>
                <w:spacing w:val="7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товара</w:t>
            </w:r>
          </w:p>
        </w:tc>
        <w:tc>
          <w:tcPr>
            <w:tcW w:type="dxa" w:w="26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1000000">
            <w:pPr>
              <w:pStyle w:val="Style_9"/>
              <w:spacing w:line="228" w:lineRule="exact"/>
              <w:ind w:firstLine="0" w:left="15"/>
              <w:jc w:val="center"/>
              <w:rPr>
                <w:b w:val="1"/>
                <w:spacing w:val="-5"/>
                <w:sz w:val="24"/>
              </w:rPr>
            </w:pPr>
            <w:r>
              <w:rPr>
                <w:b w:val="1"/>
                <w:spacing w:val="-5"/>
                <w:sz w:val="24"/>
              </w:rPr>
              <w:t>КТРУ/</w:t>
            </w:r>
          </w:p>
          <w:p w14:paraId="D2000000">
            <w:pPr>
              <w:pStyle w:val="Style_9"/>
              <w:spacing w:line="228" w:lineRule="exact"/>
              <w:ind w:firstLine="0" w:left="15"/>
              <w:jc w:val="center"/>
              <w:rPr>
                <w:b w:val="1"/>
                <w:spacing w:val="-5"/>
                <w:sz w:val="24"/>
              </w:rPr>
            </w:pPr>
            <w:r>
              <w:rPr>
                <w:b w:val="1"/>
                <w:spacing w:val="-5"/>
                <w:sz w:val="24"/>
              </w:rPr>
              <w:t>ОКПД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3000000">
            <w:pPr>
              <w:pStyle w:val="Style_9"/>
              <w:spacing w:line="228" w:lineRule="exact"/>
              <w:ind w:firstLine="0" w:left="15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5"/>
                <w:sz w:val="24"/>
              </w:rPr>
              <w:t>Шт</w:t>
            </w:r>
            <w:r>
              <w:rPr>
                <w:b w:val="1"/>
                <w:spacing w:val="-5"/>
                <w:sz w:val="24"/>
              </w:rPr>
              <w:t>.</w:t>
            </w:r>
          </w:p>
        </w:tc>
        <w:tc>
          <w:tcPr>
            <w:tcW w:type="dxa" w:w="15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4000000">
            <w:pPr>
              <w:pStyle w:val="Style_9"/>
              <w:spacing w:line="228" w:lineRule="exact"/>
              <w:ind w:firstLine="0" w:left="291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Цена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за</w:t>
            </w:r>
            <w:r>
              <w:rPr>
                <w:b w:val="1"/>
                <w:spacing w:val="-3"/>
                <w:sz w:val="24"/>
              </w:rPr>
              <w:t xml:space="preserve"> </w:t>
            </w:r>
            <w:r>
              <w:rPr>
                <w:b w:val="1"/>
                <w:spacing w:val="-5"/>
                <w:sz w:val="24"/>
              </w:rPr>
              <w:t>ед</w:t>
            </w:r>
            <w:r>
              <w:rPr>
                <w:b w:val="1"/>
                <w:spacing w:val="-5"/>
                <w:sz w:val="24"/>
              </w:rPr>
              <w:t>.</w:t>
            </w:r>
          </w:p>
        </w:tc>
        <w:tc>
          <w:tcPr>
            <w:tcW w:type="dxa" w:w="19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5000000">
            <w:pPr>
              <w:pStyle w:val="Style_9"/>
              <w:spacing w:line="228" w:lineRule="exact"/>
              <w:ind w:firstLine="0" w:left="24" w:right="5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Сумма</w:t>
            </w:r>
            <w:r>
              <w:rPr>
                <w:b w:val="1"/>
                <w:sz w:val="24"/>
              </w:rPr>
              <w:t>,</w:t>
            </w:r>
            <w:r>
              <w:rPr>
                <w:b w:val="1"/>
                <w:spacing w:val="-5"/>
                <w:sz w:val="24"/>
              </w:rPr>
              <w:t xml:space="preserve"> </w:t>
            </w:r>
            <w:r>
              <w:rPr>
                <w:b w:val="1"/>
                <w:spacing w:val="-4"/>
                <w:sz w:val="24"/>
              </w:rPr>
              <w:t>руб</w:t>
            </w:r>
            <w:r>
              <w:rPr>
                <w:b w:val="1"/>
                <w:spacing w:val="-4"/>
                <w:sz w:val="24"/>
              </w:rPr>
              <w:t>.</w:t>
            </w:r>
          </w:p>
        </w:tc>
      </w:tr>
      <w:tr>
        <w:trPr>
          <w:trHeight w:hRule="atLeast" w:val="503"/>
        </w:trPr>
        <w:tc>
          <w:tcPr>
            <w:tcW w:type="dxa" w:w="5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6000000">
            <w:pPr>
              <w:pStyle w:val="Style_9"/>
              <w:spacing w:before="137"/>
              <w:ind w:firstLine="0" w:left="13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</w:t>
            </w:r>
          </w:p>
        </w:tc>
        <w:tc>
          <w:tcPr>
            <w:tcW w:type="dxa" w:w="7230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</w:tcPr>
          <w:p w14:paraId="D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Лампа дуговая ртутная высокого давления ДРТ 240</w:t>
            </w:r>
          </w:p>
        </w:tc>
        <w:tc>
          <w:tcPr>
            <w:tcW w:type="dxa" w:w="2693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</w:tcPr>
          <w:p w14:paraId="D8000000">
            <w:pPr>
              <w:pStyle w:val="Style_9"/>
              <w:spacing w:before="120"/>
              <w:ind w:firstLine="0" w:left="16"/>
              <w:jc w:val="center"/>
              <w:rPr>
                <w:sz w:val="24"/>
              </w:rPr>
            </w:pPr>
            <w:r>
              <w:rPr>
                <w:sz w:val="24"/>
              </w:rPr>
              <w:t>26.51.82.190</w:t>
            </w:r>
          </w:p>
        </w:tc>
        <w:tc>
          <w:tcPr>
            <w:tcW w:type="dxa" w:w="99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00000">
            <w:pPr>
              <w:pStyle w:val="Style_9"/>
              <w:spacing w:before="120"/>
              <w:ind w:firstLine="0"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55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00000">
            <w:pPr>
              <w:pStyle w:val="Style_9"/>
              <w:spacing w:before="120"/>
              <w:ind w:firstLine="0" w:left="370"/>
              <w:rPr>
                <w:sz w:val="24"/>
              </w:rPr>
            </w:pPr>
          </w:p>
        </w:tc>
        <w:tc>
          <w:tcPr>
            <w:tcW w:type="dxa" w:w="1985"/>
            <w:tcBorders>
              <w:top w:color="000000" w:sz="6" w:val="single"/>
              <w:left w:color="000000" w:sz="4" w:val="single"/>
              <w:bottom w:color="000000" w:sz="4" w:val="single"/>
              <w:right w:color="000000" w:sz="8" w:val="single"/>
            </w:tcBorders>
          </w:tcPr>
          <w:p w14:paraId="DB000000">
            <w:pPr>
              <w:pStyle w:val="Style_9"/>
              <w:spacing w:before="120"/>
              <w:ind w:firstLine="0" w:left="24" w:right="1"/>
              <w:jc w:val="center"/>
              <w:rPr>
                <w:sz w:val="24"/>
              </w:rPr>
            </w:pPr>
          </w:p>
        </w:tc>
      </w:tr>
      <w:tr>
        <w:trPr>
          <w:trHeight w:hRule="atLeast" w:val="388"/>
        </w:trPr>
        <w:tc>
          <w:tcPr>
            <w:tcW w:type="dxa" w:w="5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C000000">
            <w:pPr>
              <w:pStyle w:val="Style_9"/>
              <w:ind w:firstLine="0" w:left="0"/>
              <w:rPr>
                <w:sz w:val="24"/>
              </w:rPr>
            </w:pPr>
          </w:p>
        </w:tc>
        <w:tc>
          <w:tcPr>
            <w:tcW w:type="dxa" w:w="7230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</w:tcPr>
          <w:p w14:paraId="DD000000">
            <w:pPr>
              <w:pStyle w:val="Style_9"/>
              <w:ind w:firstLine="0" w:left="0"/>
              <w:rPr>
                <w:sz w:val="24"/>
              </w:rPr>
            </w:pPr>
          </w:p>
        </w:tc>
        <w:tc>
          <w:tcPr>
            <w:tcW w:type="dxa" w:w="2693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</w:tcPr>
          <w:p w14:paraId="DE000000">
            <w:pPr>
              <w:pStyle w:val="Style_9"/>
              <w:ind w:firstLine="0" w:left="0"/>
              <w:rPr>
                <w:sz w:val="24"/>
              </w:rPr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00000">
            <w:pPr>
              <w:pStyle w:val="Style_9"/>
              <w:ind w:firstLine="0" w:left="0"/>
              <w:rPr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00000">
            <w:pPr>
              <w:pStyle w:val="Style_9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ИТОГО: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</w:tcPr>
          <w:p w14:paraId="E1000000">
            <w:pPr>
              <w:pStyle w:val="Style_9"/>
              <w:spacing w:before="79"/>
              <w:ind w:firstLine="0" w:left="24"/>
              <w:jc w:val="center"/>
              <w:rPr>
                <w:b w:val="1"/>
                <w:sz w:val="24"/>
              </w:rPr>
            </w:pPr>
          </w:p>
        </w:tc>
      </w:tr>
    </w:tbl>
    <w:p w14:paraId="E2000000">
      <w:pPr>
        <w:widowControl w:val="0"/>
        <w:tabs>
          <w:tab w:leader="none" w:pos="2775" w:val="left"/>
        </w:tabs>
        <w:spacing w:after="60" w:line="240" w:lineRule="auto"/>
        <w:ind/>
        <w:jc w:val="both"/>
        <w:rPr>
          <w:rFonts w:ascii="Times New Roman" w:hAnsi="Times New Roman"/>
          <w:b w:val="1"/>
          <w:sz w:val="25"/>
        </w:rPr>
      </w:pPr>
    </w:p>
    <w:p w14:paraId="E3000000">
      <w:pPr>
        <w:spacing w:after="60" w:line="240" w:lineRule="auto"/>
        <w:ind/>
        <w:jc w:val="both"/>
        <w:rPr>
          <w:rFonts w:ascii="Times New Roman" w:hAnsi="Times New Roman"/>
          <w:color w:val="0070C0"/>
        </w:rPr>
      </w:pPr>
    </w:p>
    <w:p w14:paraId="E4000000">
      <w:pPr>
        <w:spacing w:after="60" w:line="240" w:lineRule="auto"/>
        <w:ind/>
        <w:jc w:val="both"/>
        <w:rPr>
          <w:rFonts w:ascii="Times New Roman" w:hAnsi="Times New Roman"/>
          <w:color w:val="0070C0"/>
        </w:rPr>
      </w:pPr>
    </w:p>
    <w:p w14:paraId="E5000000">
      <w:pPr>
        <w:spacing w:after="6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Общая стоимость составляет: </w:t>
      </w:r>
      <w:r>
        <w:rPr>
          <w:rFonts w:ascii="Times New Roman" w:hAnsi="Times New Roman"/>
          <w:sz w:val="24"/>
        </w:rPr>
        <w:t>_____________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>____________</w:t>
      </w:r>
      <w:r>
        <w:rPr>
          <w:rFonts w:ascii="Times New Roman" w:hAnsi="Times New Roman"/>
          <w:sz w:val="24"/>
        </w:rPr>
        <w:t xml:space="preserve">) рубля </w:t>
      </w:r>
      <w:r>
        <w:rPr>
          <w:rFonts w:ascii="Times New Roman" w:hAnsi="Times New Roman"/>
          <w:sz w:val="24"/>
        </w:rPr>
        <w:t>___ копеек</w:t>
      </w:r>
    </w:p>
    <w:p w14:paraId="E6000000">
      <w:pPr>
        <w:spacing w:after="60" w:line="240" w:lineRule="atLeast"/>
        <w:ind w:right="1133"/>
        <w:jc w:val="both"/>
        <w:rPr>
          <w:rFonts w:ascii="Times New Roman" w:hAnsi="Times New Roman"/>
          <w:sz w:val="24"/>
        </w:rPr>
      </w:pPr>
    </w:p>
    <w:p w14:paraId="E7000000">
      <w:pPr>
        <w:spacing w:after="60" w:line="240" w:lineRule="atLeast"/>
        <w:ind w:right="113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Заказчик:                                                                                         Поставщик:</w:t>
      </w:r>
    </w:p>
    <w:p w14:paraId="E8000000">
      <w:pPr>
        <w:spacing w:after="60" w:line="240" w:lineRule="atLeast"/>
        <w:ind w:right="1133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И.о.ректора </w:t>
      </w:r>
      <w:r>
        <w:rPr>
          <w:rFonts w:ascii="Times New Roman" w:hAnsi="Times New Roman"/>
          <w:b w:val="1"/>
        </w:rPr>
        <w:t xml:space="preserve">ФГБОУ ВО </w:t>
      </w:r>
      <w:r>
        <w:rPr>
          <w:rFonts w:ascii="Times New Roman" w:hAnsi="Times New Roman"/>
          <w:b w:val="1"/>
        </w:rPr>
        <w:t>РостГМУ</w:t>
      </w:r>
      <w:r>
        <w:rPr>
          <w:rFonts w:ascii="Times New Roman" w:hAnsi="Times New Roman"/>
          <w:b w:val="1"/>
        </w:rPr>
        <w:t xml:space="preserve"> </w:t>
      </w:r>
    </w:p>
    <w:p w14:paraId="E9000000">
      <w:pPr>
        <w:spacing w:after="60" w:line="240" w:lineRule="atLeast"/>
        <w:ind w:right="113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</w:rPr>
        <w:t>Минздрава России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   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                      </w:t>
      </w:r>
      <w:r>
        <w:rPr>
          <w:rFonts w:ascii="Times New Roman" w:hAnsi="Times New Roman"/>
          <w:color w:val="000000"/>
          <w:sz w:val="24"/>
        </w:rPr>
        <w:t>Должность</w:t>
      </w:r>
      <w:r>
        <w:rPr>
          <w:rFonts w:ascii="Times New Roman" w:hAnsi="Times New Roman"/>
          <w:sz w:val="24"/>
        </w:rPr>
        <w:t xml:space="preserve">  </w:t>
      </w:r>
    </w:p>
    <w:p w14:paraId="EA000000">
      <w:pPr>
        <w:spacing w:after="60" w:line="240" w:lineRule="atLeast"/>
        <w:ind w:right="113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</w:t>
      </w:r>
      <w:r>
        <w:rPr>
          <w:rFonts w:ascii="Times New Roman" w:hAnsi="Times New Roman"/>
          <w:color w:val="000000"/>
          <w:sz w:val="24"/>
        </w:rPr>
        <w:t xml:space="preserve"> </w:t>
      </w:r>
    </w:p>
    <w:p w14:paraId="EB000000">
      <w:pPr>
        <w:spacing w:after="60" w:line="240" w:lineRule="atLeast"/>
        <w:ind w:right="1133"/>
        <w:jc w:val="both"/>
        <w:rPr>
          <w:rFonts w:ascii="Times New Roman" w:hAnsi="Times New Roman"/>
          <w:sz w:val="24"/>
        </w:rPr>
      </w:pPr>
    </w:p>
    <w:p w14:paraId="EC000000">
      <w:pPr>
        <w:spacing w:after="60" w:line="240" w:lineRule="atLeast"/>
        <w:ind w:right="113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</w:t>
      </w:r>
      <w:r>
        <w:rPr>
          <w:rFonts w:ascii="Times New Roman" w:hAnsi="Times New Roman"/>
          <w:b w:val="1"/>
          <w:sz w:val="24"/>
        </w:rPr>
        <w:t xml:space="preserve"> М.А.Шишов</w:t>
      </w:r>
      <w:r>
        <w:rPr>
          <w:rFonts w:ascii="Times New Roman" w:hAnsi="Times New Roman"/>
          <w:b w:val="1"/>
          <w:sz w:val="24"/>
        </w:rPr>
        <w:t xml:space="preserve">   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                                      _______________</w:t>
      </w:r>
    </w:p>
    <w:p w14:paraId="ED000000">
      <w:pPr>
        <w:spacing w:after="60" w:line="240" w:lineRule="atLeast"/>
        <w:ind w:right="1133"/>
        <w:jc w:val="both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b w:val="1"/>
          <w:sz w:val="24"/>
        </w:rPr>
        <w:t xml:space="preserve"> э.ц.п.</w:t>
      </w:r>
      <w:r>
        <w:rPr>
          <w:rFonts w:ascii="Times New Roman" w:hAnsi="Times New Roman"/>
          <w:b w:val="1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                    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  <w:vertAlign w:val="superscript"/>
        </w:rPr>
        <w:t>подпись                             (Ф.И.О.)</w:t>
      </w:r>
    </w:p>
    <w:p w14:paraId="EE000000">
      <w:pPr>
        <w:spacing w:after="60" w:line="240" w:lineRule="atLeast"/>
        <w:ind w:right="1133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</w:t>
      </w:r>
    </w:p>
    <w:p w14:paraId="EF000000">
      <w:pPr>
        <w:sectPr>
          <w:pgSz w:h="11906" w:orient="landscape" w:w="16838"/>
          <w:pgMar w:bottom="851" w:footer="709" w:gutter="0" w:header="709" w:left="851" w:right="851" w:top="1134"/>
        </w:sectPr>
      </w:pPr>
    </w:p>
    <w:p w14:paraId="F0000000">
      <w:pPr>
        <w:pageBreakBefore w:val="1"/>
        <w:spacing w:after="60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Приложение №2 к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</w:t>
      </w:r>
    </w:p>
    <w:p w14:paraId="F1000000">
      <w:pPr>
        <w:spacing w:after="60" w:line="240" w:lineRule="auto"/>
        <w:ind w:right="38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«____»___________года №___________                                                     </w:t>
      </w:r>
    </w:p>
    <w:p w14:paraId="F2000000">
      <w:pPr>
        <w:spacing w:after="60" w:line="240" w:lineRule="auto"/>
        <w:ind w:right="-8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ОБРАЗЕЦ </w:t>
      </w:r>
    </w:p>
    <w:p w14:paraId="F3000000">
      <w:pPr>
        <w:spacing w:after="60" w:line="240" w:lineRule="auto"/>
        <w:ind w:right="-82"/>
        <w:jc w:val="both"/>
        <w:rPr>
          <w:rFonts w:ascii="Times New Roman" w:hAnsi="Times New Roman"/>
          <w:sz w:val="24"/>
        </w:rPr>
      </w:pPr>
    </w:p>
    <w:p w14:paraId="F4000000">
      <w:pPr>
        <w:spacing w:after="6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АКТ №___</w:t>
      </w:r>
    </w:p>
    <w:p w14:paraId="F5000000">
      <w:pPr>
        <w:spacing w:after="6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ПРИЕМА-ПЕРЕДАЧИ ТОВАРА</w:t>
      </w:r>
      <w:r>
        <w:rPr>
          <w:rFonts w:ascii="Times New Roman" w:hAnsi="Times New Roman"/>
          <w:sz w:val="24"/>
        </w:rPr>
        <w:t xml:space="preserve"> </w:t>
      </w:r>
    </w:p>
    <w:p w14:paraId="F6000000">
      <w:pPr>
        <w:spacing w:after="6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по </w:t>
      </w:r>
      <w:r>
        <w:rPr>
          <w:rFonts w:ascii="Times New Roman" w:hAnsi="Times New Roman"/>
          <w:b w:val="1"/>
          <w:sz w:val="24"/>
        </w:rPr>
        <w:t>контракт</w:t>
      </w:r>
      <w:r>
        <w:rPr>
          <w:rFonts w:ascii="Times New Roman" w:hAnsi="Times New Roman"/>
          <w:b w:val="1"/>
          <w:sz w:val="24"/>
        </w:rPr>
        <w:t>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от «___»____________20__ года №_____</w:t>
      </w:r>
    </w:p>
    <w:p w14:paraId="F7000000">
      <w:pPr>
        <w:spacing w:after="60" w:line="240" w:lineRule="auto"/>
        <w:ind w:right="-82"/>
        <w:jc w:val="right"/>
        <w:rPr>
          <w:rFonts w:ascii="Times New Roman" w:hAnsi="Times New Roman"/>
          <w:b w:val="1"/>
          <w:sz w:val="24"/>
        </w:rPr>
      </w:pPr>
    </w:p>
    <w:p w14:paraId="F8000000">
      <w:pPr>
        <w:spacing w:after="60" w:line="240" w:lineRule="auto"/>
        <w:ind w:right="-82"/>
        <w:jc w:val="right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от «___»_________20__ года </w:t>
      </w:r>
    </w:p>
    <w:p w14:paraId="F9000000">
      <w:pPr>
        <w:spacing w:after="60" w:line="240" w:lineRule="auto"/>
        <w:ind w:right="-82"/>
        <w:jc w:val="right"/>
        <w:rPr>
          <w:rFonts w:ascii="Times New Roman" w:hAnsi="Times New Roman"/>
          <w:sz w:val="24"/>
        </w:rPr>
      </w:pPr>
    </w:p>
    <w:p w14:paraId="FA000000">
      <w:pPr>
        <w:spacing w:after="60" w:line="240" w:lineRule="auto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«Поставщик» _____________________ в лице _____________________, действующего на основании _____________________, с одной стороны и «Заказчик» ФГБОУ ВО </w:t>
      </w:r>
      <w:r>
        <w:rPr>
          <w:rFonts w:ascii="Times New Roman" w:hAnsi="Times New Roman"/>
          <w:sz w:val="24"/>
        </w:rPr>
        <w:t>РостГМУ</w:t>
      </w:r>
      <w:r>
        <w:rPr>
          <w:rFonts w:ascii="Times New Roman" w:hAnsi="Times New Roman"/>
          <w:sz w:val="24"/>
        </w:rPr>
        <w:t xml:space="preserve"> Минздрава  России, в лице </w:t>
      </w:r>
      <w:r>
        <w:rPr>
          <w:rFonts w:ascii="Times New Roman" w:hAnsi="Times New Roman"/>
          <w:sz w:val="24"/>
        </w:rPr>
        <w:t>______________</w:t>
      </w:r>
      <w:r>
        <w:rPr>
          <w:rFonts w:ascii="Times New Roman" w:hAnsi="Times New Roman"/>
          <w:sz w:val="24"/>
        </w:rPr>
        <w:t>, действующего на основании Устава, с другой стороны, составили настоящий акт о следующем:</w:t>
      </w:r>
    </w:p>
    <w:p w14:paraId="FB000000">
      <w:pPr>
        <w:spacing w:after="60" w:line="240" w:lineRule="auto"/>
        <w:ind/>
        <w:jc w:val="both"/>
        <w:rPr>
          <w:rFonts w:ascii="Times New Roman" w:hAnsi="Times New Roman"/>
          <w:sz w:val="24"/>
        </w:rPr>
      </w:pPr>
    </w:p>
    <w:p w14:paraId="FC000000">
      <w:pPr>
        <w:spacing w:after="60" w:line="240" w:lineRule="auto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Поставщик поставил, а Заказчик принял следующий товар согласно Спецификации (Приложение №1 к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z w:val="24"/>
        </w:rPr>
        <w:t>):</w:t>
      </w:r>
    </w:p>
    <w:p w14:paraId="FD000000">
      <w:pPr>
        <w:spacing w:after="60" w:line="240" w:lineRule="auto"/>
        <w:ind w:firstLine="708" w:left="0"/>
        <w:jc w:val="both"/>
        <w:rPr>
          <w:rFonts w:ascii="Times New Roman" w:hAnsi="Times New Roman"/>
          <w:sz w:val="24"/>
        </w:rPr>
      </w:pPr>
    </w:p>
    <w:tbl>
      <w:tblPr>
        <w:tblStyle w:val="Style_7"/>
        <w:tblW w:type="auto" w:w="0"/>
        <w:tblInd w:type="dxa" w:w="-34"/>
        <w:tblLayout w:type="fixed"/>
      </w:tblPr>
      <w:tblGrid>
        <w:gridCol w:w="417"/>
        <w:gridCol w:w="2222"/>
        <w:gridCol w:w="3224"/>
        <w:gridCol w:w="677"/>
        <w:gridCol w:w="683"/>
        <w:gridCol w:w="1215"/>
        <w:gridCol w:w="1133"/>
      </w:tblGrid>
      <w:tr>
        <w:trPr>
          <w:trHeight w:hRule="atLeast" w:val="1530"/>
        </w:trPr>
        <w:tc>
          <w:tcPr>
            <w:tcW w:type="dxa" w:w="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99CCFF" w:val="clear"/>
            <w:vAlign w:val="center"/>
          </w:tcPr>
          <w:p w14:paraId="F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№</w:t>
            </w:r>
          </w:p>
        </w:tc>
        <w:tc>
          <w:tcPr>
            <w:tcW w:type="dxa" w:w="222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99CCFF" w:val="clear"/>
            <w:vAlign w:val="center"/>
          </w:tcPr>
          <w:p w14:paraId="F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Наименование товара</w:t>
            </w:r>
          </w:p>
          <w:p w14:paraId="0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322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99CCFF" w:val="clear"/>
            <w:vAlign w:val="center"/>
          </w:tcPr>
          <w:p w14:paraId="0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Характеристики </w:t>
            </w:r>
          </w:p>
        </w:tc>
        <w:tc>
          <w:tcPr>
            <w:tcW w:type="dxa" w:w="67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99CCFF" w:val="clear"/>
            <w:vAlign w:val="center"/>
          </w:tcPr>
          <w:p w14:paraId="0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Ед. изм.</w:t>
            </w:r>
          </w:p>
        </w:tc>
        <w:tc>
          <w:tcPr>
            <w:tcW w:type="dxa" w:w="68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99CCFF" w:val="clear"/>
            <w:vAlign w:val="center"/>
          </w:tcPr>
          <w:p w14:paraId="0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Кол-во </w:t>
            </w:r>
          </w:p>
        </w:tc>
        <w:tc>
          <w:tcPr>
            <w:tcW w:type="dxa" w:w="12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99CCFF" w:val="clear"/>
            <w:vAlign w:val="center"/>
          </w:tcPr>
          <w:p w14:paraId="0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Цена за единицу</w:t>
            </w:r>
          </w:p>
        </w:tc>
        <w:tc>
          <w:tcPr>
            <w:tcW w:type="dxa" w:w="1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99CCFF" w:val="clear"/>
            <w:vAlign w:val="center"/>
          </w:tcPr>
          <w:p w14:paraId="0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Сумма, руб.</w:t>
            </w:r>
          </w:p>
        </w:tc>
      </w:tr>
      <w:tr>
        <w:trPr>
          <w:trHeight w:hRule="atLeast" w:val="1152"/>
        </w:trPr>
        <w:tc>
          <w:tcPr>
            <w:tcW w:type="dxa" w:w="41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type="dxa" w:w="22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7010000">
            <w:pPr>
              <w:spacing w:after="6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2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8010000">
            <w:pPr>
              <w:spacing w:after="6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9010000">
            <w:pPr>
              <w:spacing w:after="6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A010000">
            <w:pPr>
              <w:spacing w:after="6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C010000">
            <w:pPr>
              <w:spacing w:after="6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413"/>
        </w:trPr>
        <w:tc>
          <w:tcPr>
            <w:tcW w:type="dxa" w:w="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22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E010000">
            <w:pPr>
              <w:spacing w:after="6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</w:p>
        </w:tc>
        <w:tc>
          <w:tcPr>
            <w:tcW w:type="dxa" w:w="32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10000">
            <w:pPr>
              <w:spacing w:after="6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1010000">
            <w:pPr>
              <w:spacing w:after="6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10000">
            <w:pPr>
              <w:spacing w:after="6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14010000">
      <w:pPr>
        <w:spacing w:after="60" w:line="240" w:lineRule="auto"/>
        <w:ind/>
        <w:jc w:val="center"/>
        <w:rPr>
          <w:rFonts w:ascii="Times New Roman" w:hAnsi="Times New Roman"/>
          <w:sz w:val="24"/>
        </w:rPr>
      </w:pPr>
    </w:p>
    <w:p w14:paraId="15010000">
      <w:pPr>
        <w:spacing w:after="60" w:line="240" w:lineRule="auto"/>
        <w:ind/>
        <w:jc w:val="both"/>
        <w:rPr>
          <w:rFonts w:ascii="Times New Roman" w:hAnsi="Times New Roman"/>
          <w:sz w:val="24"/>
        </w:rPr>
      </w:pPr>
    </w:p>
    <w:p w14:paraId="16010000">
      <w:pPr>
        <w:spacing w:after="60" w:line="240" w:lineRule="auto"/>
        <w:ind/>
        <w:jc w:val="both"/>
        <w:rPr>
          <w:rFonts w:ascii="Times New Roman" w:hAnsi="Times New Roman"/>
          <w:sz w:val="24"/>
        </w:rPr>
      </w:pPr>
    </w:p>
    <w:p w14:paraId="17010000">
      <w:pPr>
        <w:spacing w:after="60" w:line="240" w:lineRule="auto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Поставщик передал Заказчику сопровождающие товар документы </w:t>
      </w:r>
      <w:r>
        <w:rPr>
          <w:rFonts w:ascii="Times New Roman" w:hAnsi="Times New Roman"/>
          <w:i w:val="1"/>
          <w:sz w:val="24"/>
        </w:rPr>
        <w:t>___________________, указать какие документы</w:t>
      </w:r>
      <w:r>
        <w:rPr>
          <w:rFonts w:ascii="Times New Roman" w:hAnsi="Times New Roman"/>
          <w:sz w:val="24"/>
        </w:rPr>
        <w:t xml:space="preserve">  </w:t>
      </w:r>
    </w:p>
    <w:p w14:paraId="18010000">
      <w:pPr>
        <w:spacing w:after="60" w:line="240" w:lineRule="auto"/>
        <w:ind/>
        <w:jc w:val="both"/>
        <w:rPr>
          <w:rFonts w:ascii="Times New Roman" w:hAnsi="Times New Roman"/>
          <w:sz w:val="24"/>
        </w:rPr>
      </w:pPr>
    </w:p>
    <w:p w14:paraId="19010000">
      <w:pPr>
        <w:spacing w:after="60" w:line="240" w:lineRule="auto"/>
        <w:ind/>
        <w:jc w:val="both"/>
        <w:rPr>
          <w:rFonts w:ascii="Times New Roman" w:hAnsi="Times New Roman"/>
          <w:sz w:val="24"/>
        </w:rPr>
      </w:pPr>
    </w:p>
    <w:p w14:paraId="1A010000">
      <w:pPr>
        <w:spacing w:after="60" w:line="240" w:lineRule="auto"/>
        <w:ind/>
        <w:jc w:val="both"/>
        <w:rPr>
          <w:rFonts w:ascii="Times New Roman" w:hAnsi="Times New Roman"/>
          <w:sz w:val="24"/>
        </w:rPr>
      </w:pPr>
    </w:p>
    <w:p w14:paraId="1B010000">
      <w:pPr>
        <w:spacing w:after="60" w:line="240" w:lineRule="auto"/>
        <w:ind/>
        <w:jc w:val="both"/>
        <w:rPr>
          <w:rFonts w:ascii="Times New Roman" w:hAnsi="Times New Roman"/>
          <w:color w:val="3366FF"/>
          <w:sz w:val="24"/>
        </w:rPr>
      </w:pPr>
      <w:r>
        <w:rPr>
          <w:rFonts w:ascii="Times New Roman" w:hAnsi="Times New Roman"/>
          <w:color w:val="3366FF"/>
          <w:sz w:val="24"/>
        </w:rPr>
        <w:t xml:space="preserve">*Акт приема передачи товара заполняется предварительно Поставщиком на каждую партию поставляемого товара.  </w:t>
      </w:r>
      <w:r>
        <w:rPr>
          <w:rFonts w:ascii="Times New Roman" w:hAnsi="Times New Roman"/>
          <w:color w:val="3366FF"/>
          <w:sz w:val="24"/>
        </w:rPr>
        <w:tab/>
      </w:r>
    </w:p>
    <w:p w14:paraId="1C010000">
      <w:pPr>
        <w:spacing w:after="6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tbl>
      <w:tblPr>
        <w:tblStyle w:val="Style_7"/>
        <w:tblpPr w:bottomFromText="0" w:horzAnchor="margin" w:leftFromText="180" w:rightFromText="180" w:tblpXSpec="left" w:tblpY="158" w:topFromText="0" w:vertAnchor="text"/>
        <w:tblW w:type="auto" w:w="0"/>
        <w:tblLayout w:type="fixed"/>
      </w:tblPr>
      <w:tblGrid>
        <w:gridCol w:w="4824"/>
        <w:gridCol w:w="4824"/>
      </w:tblGrid>
      <w:tr>
        <w:tc>
          <w:tcPr>
            <w:tcW w:type="dxa" w:w="4824"/>
          </w:tcPr>
          <w:p w14:paraId="1D010000">
            <w:pPr>
              <w:spacing w:after="60" w:line="240" w:lineRule="auto"/>
              <w:ind w:hanging="458" w:left="458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Заказчик:</w:t>
            </w:r>
          </w:p>
          <w:p w14:paraId="1E010000">
            <w:pPr>
              <w:spacing w:after="60" w:line="240" w:lineRule="auto"/>
              <w:ind w:hanging="458" w:left="458"/>
              <w:jc w:val="both"/>
              <w:rPr>
                <w:rFonts w:ascii="Times New Roman" w:hAnsi="Times New Roman"/>
                <w:b w:val="1"/>
                <w:sz w:val="24"/>
              </w:rPr>
            </w:pPr>
          </w:p>
          <w:p w14:paraId="1F010000">
            <w:pPr>
              <w:spacing w:after="60" w:line="240" w:lineRule="auto"/>
              <w:ind w:hanging="458" w:left="458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__________________ </w:t>
            </w:r>
          </w:p>
          <w:p w14:paraId="20010000">
            <w:pPr>
              <w:spacing w:after="60" w:line="240" w:lineRule="auto"/>
              <w:ind w:hanging="458" w:left="45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М.П.</w:t>
            </w:r>
          </w:p>
        </w:tc>
        <w:tc>
          <w:tcPr>
            <w:tcW w:type="dxa" w:w="4824"/>
          </w:tcPr>
          <w:p w14:paraId="21010000">
            <w:pPr>
              <w:spacing w:after="60" w:line="240" w:lineRule="auto"/>
              <w:ind w:hanging="458" w:left="458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Поставщик:</w:t>
            </w:r>
          </w:p>
          <w:p w14:paraId="22010000">
            <w:pPr>
              <w:spacing w:after="60" w:line="240" w:lineRule="auto"/>
              <w:ind w:hanging="458" w:left="458"/>
              <w:jc w:val="both"/>
              <w:rPr>
                <w:rFonts w:ascii="Times New Roman" w:hAnsi="Times New Roman"/>
                <w:b w:val="1"/>
                <w:sz w:val="24"/>
              </w:rPr>
            </w:pPr>
          </w:p>
          <w:p w14:paraId="23010000">
            <w:pPr>
              <w:spacing w:after="60" w:line="240" w:lineRule="auto"/>
              <w:ind w:hanging="458" w:left="458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__________________________ </w:t>
            </w:r>
          </w:p>
          <w:p w14:paraId="24010000">
            <w:pPr>
              <w:spacing w:after="60" w:line="240" w:lineRule="auto"/>
              <w:ind w:hanging="458" w:left="458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М.П.</w:t>
            </w:r>
          </w:p>
        </w:tc>
      </w:tr>
    </w:tbl>
    <w:p w14:paraId="2501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21"/>
      <w:lvlText w:val="%1."/>
      <w:lvlJc w:val="left"/>
      <w:pPr>
        <w:tabs>
          <w:tab w:leader="none" w:pos="574" w:val="left"/>
        </w:tabs>
        <w:ind w:hanging="432" w:left="574"/>
      </w:pPr>
      <w:rPr>
        <w:rFonts w:ascii="Times New Roman" w:hAnsi="Times New Roman"/>
        <w:b w:val="0"/>
        <w:sz w:val="28"/>
      </w:rPr>
    </w:lvl>
    <w:lvl w:ilvl="1">
      <w:start w:val="1"/>
      <w:numFmt w:val="decimal"/>
      <w:pStyle w:val="Style_4"/>
      <w:lvlText w:val="%1.%2."/>
      <w:lvlJc w:val="left"/>
      <w:pPr>
        <w:tabs>
          <w:tab w:leader="none" w:pos="1476" w:val="left"/>
        </w:tabs>
        <w:ind w:hanging="576" w:left="1476"/>
      </w:pPr>
      <w:rPr>
        <w:b w:val="0"/>
      </w:rPr>
    </w:lvl>
    <w:lvl w:ilvl="2">
      <w:start w:val="1"/>
      <w:numFmt w:val="decimal"/>
      <w:pStyle w:val="Style_39"/>
      <w:lvlText w:val="%1.%2.%3."/>
      <w:lvlJc w:val="left"/>
      <w:pPr>
        <w:tabs>
          <w:tab w:leader="none" w:pos="170" w:val="left"/>
        </w:tabs>
        <w:ind w:hanging="720" w:left="720"/>
      </w:pPr>
      <w:rPr>
        <w:rFonts w:ascii="Times New Roman" w:hAnsi="Times New Roman"/>
        <w:b w:val="0"/>
        <w:i w:val="0"/>
        <w:sz w:val="26"/>
      </w:rPr>
    </w:lvl>
    <w:lvl w:ilvl="3">
      <w:start w:val="1"/>
      <w:numFmt w:val="decimal"/>
      <w:pStyle w:val="Style_19"/>
      <w:lvlText w:val="%1.%2.%3.%4."/>
      <w:lvlJc w:val="left"/>
      <w:pPr>
        <w:tabs>
          <w:tab w:leader="none" w:pos="864" w:val="left"/>
        </w:tabs>
        <w:ind w:hanging="864" w:left="864"/>
      </w:pPr>
      <w:rPr>
        <w:rFonts w:ascii="Times New Roman" w:hAnsi="Times New Roman"/>
        <w:sz w:val="26"/>
      </w:rPr>
    </w:lvl>
    <w:lvl w:ilvl="4">
      <w:start w:val="1"/>
      <w:numFmt w:val="russianLower"/>
      <w:lvlText w:val="%5)"/>
      <w:lvlJc w:val="left"/>
      <w:pPr>
        <w:tabs>
          <w:tab w:leader="none" w:pos="1800" w:val="left"/>
        </w:tabs>
        <w:ind w:hanging="360" w:left="1800"/>
      </w:pPr>
      <w:rPr>
        <w:sz w:val="26"/>
      </w:rPr>
    </w:lvl>
    <w:lvl w:ilvl="5">
      <w:start w:val="1"/>
      <w:numFmt w:val="decimal"/>
      <w:lvlText w:val="%5.%6."/>
      <w:lvlJc w:val="left"/>
      <w:pPr>
        <w:tabs>
          <w:tab w:leader="none" w:pos="1152" w:val="left"/>
        </w:tabs>
        <w:ind w:hanging="1152" w:left="1152"/>
      </w:pPr>
    </w:lvl>
    <w:lvl w:ilvl="6">
      <w:start w:val="1"/>
      <w:numFmt w:val="decimal"/>
      <w:lvlText w:val="%1.%2.%3.%4.%5.%6.%7"/>
      <w:lvlJc w:val="left"/>
      <w:pPr>
        <w:tabs>
          <w:tab w:leader="none" w:pos="1296" w:val="left"/>
        </w:tabs>
        <w:ind w:hanging="1296" w:left="1296"/>
      </w:pPr>
    </w:lvl>
    <w:lvl w:ilvl="7">
      <w:start w:val="1"/>
      <w:numFmt w:val="decimal"/>
      <w:lvlText w:val="%1.%2.%3.%4.%5.%6.%7.%8"/>
      <w:lvlJc w:val="left"/>
      <w:pPr>
        <w:tabs>
          <w:tab w:leader="none" w:pos="1440" w:val="left"/>
        </w:tabs>
        <w:ind w:hanging="1440" w:left="1440"/>
      </w:pPr>
    </w:lvl>
    <w:lvl w:ilvl="8">
      <w:start w:val="1"/>
      <w:numFmt w:val="decimal"/>
      <w:lvlText w:val="%1.%2.%3.%4.%5.%6.%7.%8.%9"/>
      <w:lvlJc w:val="left"/>
      <w:pPr>
        <w:tabs>
          <w:tab w:leader="none" w:pos="1584" w:val="left"/>
        </w:tabs>
        <w:ind w:hanging="1584" w:left="1584"/>
      </w:pPr>
    </w:lvl>
  </w:abstractNum>
  <w:abstractNum w:abstractNumId="1">
    <w:lvl w:ilvl="0">
      <w:start w:val="1"/>
      <w:numFmt w:val="decimal"/>
      <w:pStyle w:val="Style_25"/>
      <w:lvlText w:val="%1."/>
      <w:lvlJc w:val="left"/>
      <w:pPr>
        <w:tabs>
          <w:tab w:leader="none" w:pos="720" w:val="left"/>
        </w:tabs>
        <w:ind w:hanging="360" w:left="720"/>
      </w:pPr>
    </w:lvl>
    <w:lvl w:ilvl="1">
      <w:start w:val="1"/>
      <w:numFmt w:val="upperRoman"/>
      <w:lvlText w:val="%2."/>
      <w:lvlJc w:val="left"/>
      <w:pPr>
        <w:tabs>
          <w:tab w:leader="none" w:pos="3131" w:val="left"/>
        </w:tabs>
        <w:ind w:hanging="720" w:left="3131"/>
      </w:pPr>
      <w:rPr>
        <w:sz w:val="28"/>
      </w:rPr>
    </w:lvl>
    <w:lvl w:ilvl="2">
      <w:start w:val="1"/>
      <w:numFmt w:val="lowerRoman"/>
      <w:lvlText w:val="%3."/>
      <w:lvlJc w:val="right"/>
      <w:pPr>
        <w:tabs>
          <w:tab w:leader="none" w:pos="2160" w:val="left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leader="none" w:pos="4320" w:val="left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leader="none" w:pos="6480" w:val="left"/>
        </w:tabs>
        <w:ind w:hanging="180" w:left="6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0" w:type="paragraph">
    <w:name w:val="Normal"/>
    <w:link w:val="Style_10_ch"/>
    <w:uiPriority w:val="0"/>
    <w:qFormat/>
  </w:style>
  <w:style w:default="1" w:styleId="Style_10_ch" w:type="character">
    <w:name w:val="Normal"/>
    <w:link w:val="Style_10"/>
  </w:style>
  <w:style w:styleId="Style_11" w:type="paragraph">
    <w:name w:val="toc 2"/>
    <w:next w:val="Style_10"/>
    <w:link w:val="Style_11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1_ch" w:type="character">
    <w:name w:val="toc 2"/>
    <w:link w:val="Style_11"/>
    <w:rPr>
      <w:rFonts w:ascii="XO Thames" w:hAnsi="XO Thames"/>
      <w:sz w:val="28"/>
    </w:rPr>
  </w:style>
  <w:style w:styleId="Style_12" w:type="paragraph">
    <w:name w:val="toc 4"/>
    <w:next w:val="Style_10"/>
    <w:link w:val="Style_12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2_ch" w:type="character">
    <w:name w:val="toc 4"/>
    <w:link w:val="Style_12"/>
    <w:rPr>
      <w:rFonts w:ascii="XO Thames" w:hAnsi="XO Thames"/>
      <w:sz w:val="28"/>
    </w:rPr>
  </w:style>
  <w:style w:styleId="Style_13" w:type="paragraph">
    <w:name w:val="Balloon Text"/>
    <w:basedOn w:val="Style_10"/>
    <w:link w:val="Style_13_ch"/>
    <w:pPr>
      <w:spacing w:after="0" w:line="240" w:lineRule="auto"/>
      <w:ind/>
    </w:pPr>
    <w:rPr>
      <w:rFonts w:ascii="Tahoma" w:hAnsi="Tahoma"/>
      <w:sz w:val="16"/>
    </w:rPr>
  </w:style>
  <w:style w:styleId="Style_13_ch" w:type="character">
    <w:name w:val="Balloon Text"/>
    <w:basedOn w:val="Style_10_ch"/>
    <w:link w:val="Style_13"/>
    <w:rPr>
      <w:rFonts w:ascii="Tahoma" w:hAnsi="Tahoma"/>
      <w:sz w:val="16"/>
    </w:rPr>
  </w:style>
  <w:style w:styleId="Style_14" w:type="paragraph">
    <w:name w:val="toc 6"/>
    <w:next w:val="Style_10"/>
    <w:link w:val="Style_1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4_ch" w:type="character">
    <w:name w:val="toc 6"/>
    <w:link w:val="Style_14"/>
    <w:rPr>
      <w:rFonts w:ascii="XO Thames" w:hAnsi="XO Thames"/>
      <w:sz w:val="28"/>
    </w:rPr>
  </w:style>
  <w:style w:styleId="Style_15" w:type="paragraph">
    <w:name w:val="toc 7"/>
    <w:next w:val="Style_10"/>
    <w:link w:val="Style_1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5_ch" w:type="character">
    <w:name w:val="toc 7"/>
    <w:link w:val="Style_15"/>
    <w:rPr>
      <w:rFonts w:ascii="XO Thames" w:hAnsi="XO Thames"/>
      <w:sz w:val="28"/>
    </w:rPr>
  </w:style>
  <w:style w:styleId="Style_4" w:type="paragraph">
    <w:name w:val="Контракт-пункт"/>
    <w:basedOn w:val="Style_10"/>
    <w:link w:val="Style_4_ch"/>
    <w:pPr>
      <w:numPr>
        <w:ilvl w:val="1"/>
        <w:numId w:val="1"/>
      </w:numPr>
      <w:tabs>
        <w:tab w:leader="none" w:pos="851" w:val="left"/>
        <w:tab w:leader="none" w:pos="1476" w:val="clear"/>
      </w:tabs>
      <w:spacing w:after="0" w:line="240" w:lineRule="auto"/>
      <w:ind w:hanging="851" w:left="851"/>
      <w:jc w:val="both"/>
    </w:pPr>
    <w:rPr>
      <w:rFonts w:ascii="Times New Roman" w:hAnsi="Times New Roman"/>
      <w:sz w:val="24"/>
    </w:rPr>
  </w:style>
  <w:style w:styleId="Style_4_ch" w:type="character">
    <w:name w:val="Контракт-пункт"/>
    <w:basedOn w:val="Style_10_ch"/>
    <w:link w:val="Style_4"/>
    <w:rPr>
      <w:rFonts w:ascii="Times New Roman" w:hAnsi="Times New Roman"/>
      <w:sz w:val="24"/>
    </w:rPr>
  </w:style>
  <w:style w:styleId="Style_3" w:type="paragraph">
    <w:name w:val="Font Style45"/>
    <w:link w:val="Style_3_ch"/>
    <w:rPr>
      <w:rFonts w:ascii="Times New Roman" w:hAnsi="Times New Roman"/>
      <w:sz w:val="22"/>
    </w:rPr>
  </w:style>
  <w:style w:styleId="Style_3_ch" w:type="character">
    <w:name w:val="Font Style45"/>
    <w:link w:val="Style_3"/>
    <w:rPr>
      <w:rFonts w:ascii="Times New Roman" w:hAnsi="Times New Roman"/>
      <w:sz w:val="22"/>
    </w:rPr>
  </w:style>
  <w:style w:styleId="Style_16" w:type="paragraph">
    <w:name w:val="End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Endnote"/>
    <w:link w:val="Style_16"/>
    <w:rPr>
      <w:rFonts w:ascii="XO Thames" w:hAnsi="XO Thames"/>
      <w:sz w:val="22"/>
    </w:rPr>
  </w:style>
  <w:style w:styleId="Style_17" w:type="paragraph">
    <w:name w:val="heading 3"/>
    <w:next w:val="Style_10"/>
    <w:link w:val="Style_1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7_ch" w:type="character">
    <w:name w:val="heading 3"/>
    <w:link w:val="Style_17"/>
    <w:rPr>
      <w:rFonts w:ascii="XO Thames" w:hAnsi="XO Thames"/>
      <w:b w:val="1"/>
      <w:sz w:val="26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Контракт-подподпункт"/>
    <w:basedOn w:val="Style_10"/>
    <w:link w:val="Style_19_ch"/>
    <w:pPr>
      <w:numPr>
        <w:ilvl w:val="3"/>
        <w:numId w:val="1"/>
      </w:numPr>
      <w:tabs>
        <w:tab w:leader="none" w:pos="864" w:val="clear"/>
        <w:tab w:leader="none" w:pos="1418" w:val="left"/>
      </w:tabs>
      <w:spacing w:after="0" w:line="240" w:lineRule="auto"/>
      <w:ind w:hanging="567" w:left="1418"/>
      <w:jc w:val="both"/>
    </w:pPr>
    <w:rPr>
      <w:rFonts w:ascii="Times New Roman" w:hAnsi="Times New Roman"/>
      <w:sz w:val="24"/>
    </w:rPr>
  </w:style>
  <w:style w:styleId="Style_19_ch" w:type="character">
    <w:name w:val="Контракт-подподпункт"/>
    <w:basedOn w:val="Style_10_ch"/>
    <w:link w:val="Style_19"/>
    <w:rPr>
      <w:rFonts w:ascii="Times New Roman" w:hAnsi="Times New Roman"/>
      <w:sz w:val="24"/>
    </w:rPr>
  </w:style>
  <w:style w:styleId="Style_20" w:type="paragraph">
    <w:name w:val="Body Text"/>
    <w:basedOn w:val="Style_10"/>
    <w:link w:val="Style_20_ch"/>
    <w:pPr>
      <w:spacing w:after="120" w:line="240" w:lineRule="auto"/>
      <w:ind/>
      <w:jc w:val="both"/>
    </w:pPr>
    <w:rPr>
      <w:rFonts w:ascii="Times New Roman" w:hAnsi="Times New Roman"/>
      <w:sz w:val="24"/>
    </w:rPr>
  </w:style>
  <w:style w:styleId="Style_20_ch" w:type="character">
    <w:name w:val="Body Text"/>
    <w:basedOn w:val="Style_10_ch"/>
    <w:link w:val="Style_20"/>
    <w:rPr>
      <w:rFonts w:ascii="Times New Roman" w:hAnsi="Times New Roman"/>
      <w:sz w:val="24"/>
    </w:rPr>
  </w:style>
  <w:style w:styleId="Style_21" w:type="paragraph">
    <w:name w:val="Контракт-раздел"/>
    <w:basedOn w:val="Style_10"/>
    <w:next w:val="Style_4"/>
    <w:link w:val="Style_21_ch"/>
    <w:pPr>
      <w:keepNext w:val="1"/>
      <w:numPr>
        <w:numId w:val="1"/>
      </w:numPr>
      <w:tabs>
        <w:tab w:leader="none" w:pos="0" w:val="left"/>
        <w:tab w:leader="none" w:pos="540" w:val="left"/>
        <w:tab w:leader="none" w:pos="574" w:val="clear"/>
      </w:tabs>
      <w:spacing w:after="120" w:before="360" w:line="240" w:lineRule="auto"/>
      <w:ind w:firstLine="0" w:left="0"/>
      <w:jc w:val="center"/>
      <w:outlineLvl w:val="3"/>
    </w:pPr>
    <w:rPr>
      <w:rFonts w:ascii="Times New Roman" w:hAnsi="Times New Roman"/>
      <w:b w:val="1"/>
      <w:caps w:val="1"/>
      <w:smallCaps w:val="1"/>
      <w:sz w:val="24"/>
    </w:rPr>
  </w:style>
  <w:style w:styleId="Style_21_ch" w:type="character">
    <w:name w:val="Контракт-раздел"/>
    <w:basedOn w:val="Style_10_ch"/>
    <w:link w:val="Style_21"/>
    <w:rPr>
      <w:rFonts w:ascii="Times New Roman" w:hAnsi="Times New Roman"/>
      <w:b w:val="1"/>
      <w:caps w:val="1"/>
      <w:smallCaps w:val="1"/>
      <w:sz w:val="24"/>
    </w:rPr>
  </w:style>
  <w:style w:styleId="Style_22" w:type="paragraph">
    <w:name w:val="Заголовок 1 Знак"/>
    <w:basedOn w:val="Style_18"/>
    <w:link w:val="Style_22_ch"/>
    <w:rPr>
      <w:rFonts w:asciiTheme="majorAscii" w:hAnsiTheme="majorHAnsi"/>
      <w:color w:themeColor="accent1" w:themeShade="BF" w:val="376092"/>
      <w:sz w:val="32"/>
    </w:rPr>
  </w:style>
  <w:style w:styleId="Style_22_ch" w:type="character">
    <w:name w:val="Заголовок 1 Знак"/>
    <w:basedOn w:val="Style_18_ch"/>
    <w:link w:val="Style_22"/>
    <w:rPr>
      <w:rFonts w:asciiTheme="majorAscii" w:hAnsiTheme="majorHAnsi"/>
      <w:color w:themeColor="accent1" w:themeShade="BF" w:val="376092"/>
      <w:sz w:val="32"/>
    </w:rPr>
  </w:style>
  <w:style w:styleId="Style_2" w:type="paragraph">
    <w:name w:val="ConsPlusNonformat"/>
    <w:link w:val="Style_2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2_ch" w:type="character">
    <w:name w:val="ConsPlusNonformat"/>
    <w:link w:val="Style_2"/>
    <w:rPr>
      <w:rFonts w:ascii="Courier New" w:hAnsi="Courier New"/>
      <w:sz w:val="20"/>
    </w:rPr>
  </w:style>
  <w:style w:styleId="Style_23" w:type="paragraph">
    <w:name w:val="Normal (Web)"/>
    <w:basedOn w:val="Style_10"/>
    <w:link w:val="Style_23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3_ch" w:type="character">
    <w:name w:val="Normal (Web)"/>
    <w:basedOn w:val="Style_10_ch"/>
    <w:link w:val="Style_23"/>
    <w:rPr>
      <w:rFonts w:ascii="Times New Roman" w:hAnsi="Times New Roman"/>
      <w:sz w:val="24"/>
    </w:rPr>
  </w:style>
  <w:style w:styleId="Style_24" w:type="paragraph">
    <w:name w:val="toc 3"/>
    <w:next w:val="Style_10"/>
    <w:link w:val="Style_2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4_ch" w:type="character">
    <w:name w:val="toc 3"/>
    <w:link w:val="Style_24"/>
    <w:rPr>
      <w:rFonts w:ascii="XO Thames" w:hAnsi="XO Thames"/>
      <w:sz w:val="28"/>
    </w:rPr>
  </w:style>
  <w:style w:styleId="Style_25" w:type="paragraph">
    <w:name w:val="List Bullet 2"/>
    <w:basedOn w:val="Style_10"/>
    <w:link w:val="Style_25_ch"/>
    <w:pPr>
      <w:numPr>
        <w:numId w:val="2"/>
      </w:numPr>
      <w:tabs>
        <w:tab w:leader="none" w:pos="643" w:val="left"/>
        <w:tab w:leader="none" w:pos="720" w:val="clear"/>
      </w:tabs>
      <w:spacing w:after="60" w:line="240" w:lineRule="auto"/>
      <w:ind w:firstLine="0" w:left="643"/>
      <w:jc w:val="both"/>
    </w:pPr>
    <w:rPr>
      <w:rFonts w:ascii="Times New Roman" w:hAnsi="Times New Roman"/>
      <w:sz w:val="24"/>
    </w:rPr>
  </w:style>
  <w:style w:styleId="Style_25_ch" w:type="character">
    <w:name w:val="List Bullet 2"/>
    <w:basedOn w:val="Style_10_ch"/>
    <w:link w:val="Style_25"/>
    <w:rPr>
      <w:rFonts w:ascii="Times New Roman" w:hAnsi="Times New Roman"/>
      <w:sz w:val="24"/>
    </w:rPr>
  </w:style>
  <w:style w:styleId="Style_26" w:type="paragraph">
    <w:name w:val="heading 5"/>
    <w:next w:val="Style_10"/>
    <w:link w:val="Style_2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6_ch" w:type="character">
    <w:name w:val="heading 5"/>
    <w:link w:val="Style_26"/>
    <w:rPr>
      <w:rFonts w:ascii="XO Thames" w:hAnsi="XO Thames"/>
      <w:b w:val="1"/>
      <w:sz w:val="22"/>
    </w:rPr>
  </w:style>
  <w:style w:styleId="Style_5" w:type="paragraph">
    <w:name w:val="List Paragraph"/>
    <w:basedOn w:val="Style_10"/>
    <w:link w:val="Style_5_ch"/>
    <w:pPr>
      <w:ind w:firstLine="0" w:left="720"/>
      <w:contextualSpacing w:val="1"/>
    </w:pPr>
  </w:style>
  <w:style w:styleId="Style_5_ch" w:type="character">
    <w:name w:val="List Paragraph"/>
    <w:basedOn w:val="Style_10_ch"/>
    <w:link w:val="Style_5"/>
  </w:style>
  <w:style w:styleId="Style_27" w:type="paragraph">
    <w:name w:val="heading 1"/>
    <w:next w:val="Style_10"/>
    <w:link w:val="Style_2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7_ch" w:type="character">
    <w:name w:val="heading 1"/>
    <w:link w:val="Style_27"/>
    <w:rPr>
      <w:rFonts w:ascii="XO Thames" w:hAnsi="XO Thames"/>
      <w:b w:val="1"/>
      <w:sz w:val="32"/>
    </w:rPr>
  </w:style>
  <w:style w:styleId="Style_28" w:type="paragraph">
    <w:name w:val="Hyperlink"/>
    <w:link w:val="Style_28_ch"/>
    <w:rPr>
      <w:color w:val="0000FF"/>
      <w:u w:val="single"/>
    </w:rPr>
  </w:style>
  <w:style w:styleId="Style_28_ch" w:type="character">
    <w:name w:val="Hyperlink"/>
    <w:link w:val="Style_28"/>
    <w:rPr>
      <w:color w:val="0000FF"/>
      <w:u w:val="single"/>
    </w:rPr>
  </w:style>
  <w:style w:styleId="Style_29" w:type="paragraph">
    <w:name w:val="Footnote"/>
    <w:link w:val="Style_29_ch"/>
    <w:pPr>
      <w:ind w:firstLine="851" w:left="0"/>
      <w:jc w:val="both"/>
    </w:pPr>
    <w:rPr>
      <w:rFonts w:ascii="XO Thames" w:hAnsi="XO Thames"/>
      <w:sz w:val="22"/>
    </w:rPr>
  </w:style>
  <w:style w:styleId="Style_29_ch" w:type="character">
    <w:name w:val="Footnote"/>
    <w:link w:val="Style_29"/>
    <w:rPr>
      <w:rFonts w:ascii="XO Thames" w:hAnsi="XO Thames"/>
      <w:sz w:val="22"/>
    </w:rPr>
  </w:style>
  <w:style w:styleId="Style_30" w:type="paragraph">
    <w:name w:val="toc 1"/>
    <w:next w:val="Style_10"/>
    <w:link w:val="Style_3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0_ch" w:type="character">
    <w:name w:val="toc 1"/>
    <w:link w:val="Style_30"/>
    <w:rPr>
      <w:rFonts w:ascii="XO Thames" w:hAnsi="XO Thames"/>
      <w:b w:val="1"/>
      <w:sz w:val="28"/>
    </w:rPr>
  </w:style>
  <w:style w:styleId="Style_1" w:type="paragraph">
    <w:name w:val="ConsPlusNormal"/>
    <w:link w:val="Style_1_ch"/>
    <w:pPr>
      <w:widowControl w:val="0"/>
      <w:spacing w:after="0" w:line="240" w:lineRule="auto"/>
      <w:ind/>
    </w:pPr>
    <w:rPr>
      <w:rFonts w:ascii="Calibri" w:hAnsi="Calibri"/>
    </w:rPr>
  </w:style>
  <w:style w:styleId="Style_1_ch" w:type="character">
    <w:name w:val="ConsPlusNormal"/>
    <w:link w:val="Style_1"/>
    <w:rPr>
      <w:rFonts w:ascii="Calibri" w:hAnsi="Calibri"/>
    </w:rPr>
  </w:style>
  <w:style w:styleId="Style_31" w:type="paragraph">
    <w:name w:val="Header and Footer"/>
    <w:link w:val="Style_31_ch"/>
    <w:pPr>
      <w:spacing w:line="240" w:lineRule="auto"/>
      <w:ind/>
      <w:jc w:val="both"/>
    </w:pPr>
    <w:rPr>
      <w:rFonts w:ascii="XO Thames" w:hAnsi="XO Thames"/>
      <w:sz w:val="28"/>
    </w:rPr>
  </w:style>
  <w:style w:styleId="Style_31_ch" w:type="character">
    <w:name w:val="Header and Footer"/>
    <w:link w:val="Style_31"/>
    <w:rPr>
      <w:rFonts w:ascii="XO Thames" w:hAnsi="XO Thames"/>
      <w:sz w:val="28"/>
    </w:rPr>
  </w:style>
  <w:style w:styleId="Style_32" w:type="paragraph">
    <w:name w:val="toc 9"/>
    <w:next w:val="Style_10"/>
    <w:link w:val="Style_3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2_ch" w:type="character">
    <w:name w:val="toc 9"/>
    <w:link w:val="Style_32"/>
    <w:rPr>
      <w:rFonts w:ascii="XO Thames" w:hAnsi="XO Thames"/>
      <w:sz w:val="28"/>
    </w:rPr>
  </w:style>
  <w:style w:styleId="Style_6" w:type="paragraph">
    <w:name w:val="No Spacing"/>
    <w:link w:val="Style_6_ch"/>
    <w:pPr>
      <w:spacing w:after="0" w:line="240" w:lineRule="auto"/>
      <w:ind/>
    </w:pPr>
  </w:style>
  <w:style w:styleId="Style_6_ch" w:type="character">
    <w:name w:val="No Spacing"/>
    <w:link w:val="Style_6"/>
  </w:style>
  <w:style w:styleId="Style_33" w:type="paragraph">
    <w:name w:val="toc 8"/>
    <w:next w:val="Style_10"/>
    <w:link w:val="Style_3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3_ch" w:type="character">
    <w:name w:val="toc 8"/>
    <w:link w:val="Style_33"/>
    <w:rPr>
      <w:rFonts w:ascii="XO Thames" w:hAnsi="XO Thames"/>
      <w:sz w:val="28"/>
    </w:rPr>
  </w:style>
  <w:style w:styleId="Style_34" w:type="paragraph">
    <w:name w:val="toc 5"/>
    <w:next w:val="Style_10"/>
    <w:link w:val="Style_3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4_ch" w:type="character">
    <w:name w:val="toc 5"/>
    <w:link w:val="Style_34"/>
    <w:rPr>
      <w:rFonts w:ascii="XO Thames" w:hAnsi="XO Thames"/>
      <w:sz w:val="28"/>
    </w:rPr>
  </w:style>
  <w:style w:styleId="Style_9" w:type="paragraph">
    <w:name w:val="Table Paragraph"/>
    <w:basedOn w:val="Style_10"/>
    <w:link w:val="Style_9_ch"/>
    <w:pPr>
      <w:widowControl w:val="0"/>
      <w:spacing w:after="0" w:line="240" w:lineRule="auto"/>
      <w:ind w:firstLine="0" w:left="117"/>
    </w:pPr>
    <w:rPr>
      <w:rFonts w:ascii="Times New Roman" w:hAnsi="Times New Roman"/>
    </w:rPr>
  </w:style>
  <w:style w:styleId="Style_9_ch" w:type="character">
    <w:name w:val="Table Paragraph"/>
    <w:basedOn w:val="Style_10_ch"/>
    <w:link w:val="Style_9"/>
    <w:rPr>
      <w:rFonts w:ascii="Times New Roman" w:hAnsi="Times New Roman"/>
    </w:rPr>
  </w:style>
  <w:style w:styleId="Style_35" w:type="paragraph">
    <w:name w:val="Subtitle"/>
    <w:next w:val="Style_10"/>
    <w:link w:val="Style_3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5_ch" w:type="character">
    <w:name w:val="Subtitle"/>
    <w:link w:val="Style_35"/>
    <w:rPr>
      <w:rFonts w:ascii="XO Thames" w:hAnsi="XO Thames"/>
      <w:i w:val="1"/>
      <w:sz w:val="24"/>
    </w:rPr>
  </w:style>
  <w:style w:styleId="Style_36" w:type="paragraph">
    <w:name w:val="Title"/>
    <w:next w:val="Style_10"/>
    <w:link w:val="Style_3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6_ch" w:type="character">
    <w:name w:val="Title"/>
    <w:link w:val="Style_36"/>
    <w:rPr>
      <w:rFonts w:ascii="XO Thames" w:hAnsi="XO Thames"/>
      <w:b w:val="1"/>
      <w:caps w:val="1"/>
      <w:sz w:val="40"/>
    </w:rPr>
  </w:style>
  <w:style w:styleId="Style_37" w:type="paragraph">
    <w:name w:val="heading 4"/>
    <w:next w:val="Style_10"/>
    <w:link w:val="Style_3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7_ch" w:type="character">
    <w:name w:val="heading 4"/>
    <w:link w:val="Style_37"/>
    <w:rPr>
      <w:rFonts w:ascii="XO Thames" w:hAnsi="XO Thames"/>
      <w:b w:val="1"/>
      <w:sz w:val="24"/>
    </w:rPr>
  </w:style>
  <w:style w:styleId="Style_38" w:type="paragraph">
    <w:name w:val="heading 2"/>
    <w:next w:val="Style_10"/>
    <w:link w:val="Style_3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8_ch" w:type="character">
    <w:name w:val="heading 2"/>
    <w:link w:val="Style_38"/>
    <w:rPr>
      <w:rFonts w:ascii="XO Thames" w:hAnsi="XO Thames"/>
      <w:b w:val="1"/>
      <w:sz w:val="28"/>
    </w:rPr>
  </w:style>
  <w:style w:styleId="Style_39" w:type="paragraph">
    <w:name w:val="Контракт-подпункт"/>
    <w:basedOn w:val="Style_10"/>
    <w:link w:val="Style_39_ch"/>
    <w:pPr>
      <w:numPr>
        <w:ilvl w:val="2"/>
        <w:numId w:val="1"/>
      </w:numPr>
      <w:tabs>
        <w:tab w:leader="none" w:pos="170" w:val="clear"/>
        <w:tab w:leader="none" w:pos="851" w:val="left"/>
      </w:tabs>
      <w:spacing w:after="0" w:line="240" w:lineRule="auto"/>
      <w:ind w:hanging="851" w:left="851"/>
      <w:jc w:val="both"/>
    </w:pPr>
    <w:rPr>
      <w:rFonts w:ascii="Times New Roman" w:hAnsi="Times New Roman"/>
      <w:sz w:val="24"/>
    </w:rPr>
  </w:style>
  <w:style w:styleId="Style_39_ch" w:type="character">
    <w:name w:val="Контракт-подпункт"/>
    <w:basedOn w:val="Style_10_ch"/>
    <w:link w:val="Style_39"/>
    <w:rPr>
      <w:rFonts w:ascii="Times New Roman" w:hAnsi="Times New Roman"/>
      <w:sz w:val="24"/>
    </w:rPr>
  </w:style>
  <w:style w:styleId="Style_8" w:type="table">
    <w:name w:val="Table Normal"/>
    <w:pPr>
      <w:widowControl w:val="0"/>
      <w:spacing w:after="0" w:line="240" w:lineRule="auto"/>
      <w:ind/>
    </w:p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default="1" w:styleId="Style_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2026-08-03T13:26:12Z</dcterms:modified>
</cp:coreProperties>
</file>