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 w:firstLine="142"/>
        <w:jc w:val="right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ПРИЛОЖЕНИЕ № 2</w:t>
      </w:r>
    </w:p>
    <w:p w14:paraId="02000000">
      <w:pPr>
        <w:widowControl w:val="1"/>
        <w:ind w:firstLine="709"/>
        <w:jc w:val="right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к Договору № </w:t>
      </w:r>
    </w:p>
    <w:p w14:paraId="03000000">
      <w:pPr>
        <w:widowControl w:val="1"/>
        <w:ind w:firstLine="709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от «</w:t>
      </w:r>
      <w:r>
        <w:rPr>
          <w:rFonts w:ascii="Times New Roman" w:hAnsi="Times New Roman"/>
          <w:b w:val="1"/>
          <w:color w:val="000000"/>
          <w:sz w:val="24"/>
        </w:rPr>
        <w:t>____</w:t>
      </w:r>
      <w:r>
        <w:rPr>
          <w:rFonts w:ascii="Times New Roman" w:hAnsi="Times New Roman"/>
          <w:b w:val="1"/>
          <w:color w:val="000000"/>
          <w:sz w:val="24"/>
        </w:rPr>
        <w:t>» _____ 2026 г.</w:t>
      </w:r>
    </w:p>
    <w:p w14:paraId="04000000">
      <w:pPr>
        <w:widowControl w:val="1"/>
        <w:ind w:firstLine="720" w:left="720"/>
        <w:jc w:val="right"/>
        <w:rPr>
          <w:rFonts w:ascii="Times New Roman" w:hAnsi="Times New Roman"/>
          <w:sz w:val="24"/>
        </w:rPr>
      </w:pPr>
    </w:p>
    <w:p w14:paraId="05000000">
      <w:pPr>
        <w:widowControl w:val="1"/>
        <w:ind w:firstLine="720" w:left="720"/>
        <w:jc w:val="right"/>
        <w:rPr>
          <w:rFonts w:ascii="Times New Roman" w:hAnsi="Times New Roman"/>
          <w:sz w:val="24"/>
        </w:rPr>
      </w:pPr>
    </w:p>
    <w:p w14:paraId="06000000">
      <w:pPr>
        <w:widowControl w:val="1"/>
        <w:ind w:hanging="11" w:left="-14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Техническое задание</w:t>
      </w:r>
    </w:p>
    <w:tbl>
      <w:tblPr>
        <w:tblStyle w:val="Style_1"/>
        <w:tblW w:type="auto" w:w="0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33"/>
        <w:gridCol w:w="1702"/>
        <w:gridCol w:w="4396"/>
        <w:gridCol w:w="709"/>
        <w:gridCol w:w="709"/>
        <w:gridCol w:w="1134"/>
        <w:gridCol w:w="11"/>
        <w:gridCol w:w="1123"/>
        <w:gridCol w:w="11"/>
      </w:tblGrid>
      <w:tr>
        <w:trPr>
          <w:trHeight w:hRule="atLeast" w:val="1484"/>
          <w:tblHeader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 Товара</w:t>
            </w:r>
          </w:p>
        </w:tc>
        <w:tc>
          <w:tcPr>
            <w:tcW w:type="dxa" w:w="4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Функциональные характеристики (потребительские свойства), качественные характеристики Товара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 за ед. товара, руб.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00000">
            <w:pPr>
              <w:widowControl w:val="1"/>
              <w:ind w:hanging="108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Стоимость,                  руб.</w:t>
            </w: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9"/>
                <w:highlight w:val="white"/>
              </w:rPr>
              <w:t>с</w:t>
            </w:r>
            <w:r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  <w:t>ветильник на солнечных батарее с датчиком движения</w:t>
            </w:r>
          </w:p>
          <w:p w14:paraId="10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</w:p>
        </w:tc>
        <w:tc>
          <w:tcPr>
            <w:tcW w:type="dxa" w:w="4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drawing>
                <wp:inline>
                  <wp:extent cx="2178050" cy="2656233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2178050" cy="26562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2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Основная информация</w:t>
            </w:r>
          </w:p>
          <w:p w14:paraId="13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Цвет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черный</w:t>
            </w:r>
          </w:p>
          <w:p w14:paraId="14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Общие характеристики</w:t>
            </w:r>
          </w:p>
          <w:p w14:paraId="15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Степень пылевлагозащиты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IP65</w:t>
            </w:r>
          </w:p>
          <w:p w14:paraId="16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Модель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002</w:t>
            </w:r>
          </w:p>
          <w:p w14:paraId="17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Питание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на солнечной батарее</w:t>
            </w:r>
          </w:p>
          <w:p w14:paraId="18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Количество ламп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228 шт.</w:t>
            </w:r>
          </w:p>
          <w:p w14:paraId="19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Материал изделия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abs-пластик</w:t>
            </w:r>
          </w:p>
          <w:p w14:paraId="1A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Температура света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холодный белый</w:t>
            </w:r>
          </w:p>
          <w:p w14:paraId="1B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Способ монтажа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вертикальный</w:t>
            </w:r>
          </w:p>
          <w:p w14:paraId="1C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Тип монтажа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скрытый</w:t>
            </w:r>
          </w:p>
          <w:p w14:paraId="1D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00000">
            <w:pPr>
              <w:widowControl w:val="1"/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00000">
            <w:pPr>
              <w:widowControl w:val="1"/>
              <w:ind w:hanging="108" w:right="-108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  <w:t>Фонарик на солнечной батарее, с датчиком движения</w:t>
            </w:r>
          </w:p>
          <w:p w14:paraId="24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</w:p>
        </w:tc>
        <w:tc>
          <w:tcPr>
            <w:tcW w:type="dxa" w:w="4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  <w:r>
              <w:drawing>
                <wp:inline>
                  <wp:extent cx="2654300" cy="2275114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2654300" cy="22751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26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</w:p>
          <w:p w14:paraId="27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  <w:highlight w:val="white"/>
              </w:rPr>
              <w:t xml:space="preserve">Характеристики: • </w:t>
            </w:r>
          </w:p>
          <w:p w14:paraId="28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  <w:highlight w:val="white"/>
              </w:rPr>
              <w:t xml:space="preserve">Источник света: 100 COB-диодов (повышенная яркость) </w:t>
            </w:r>
          </w:p>
          <w:p w14:paraId="29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  <w:highlight w:val="white"/>
              </w:rPr>
              <w:t xml:space="preserve">Конструкция: Раздельная (прожектор + панель) </w:t>
            </w:r>
          </w:p>
          <w:p w14:paraId="2A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242424"/>
                <w:spacing w:val="0"/>
                <w:sz w:val="24"/>
                <w:highlight w:val="white"/>
              </w:rPr>
              <w:t>Длина кабеля: 5 метров • Аккумулятор: 1x Li-ion 1200 мАч • Датчик движения: 3 режима работы • Крепление: Настенное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00000">
            <w:pPr>
              <w:widowControl w:val="1"/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00000">
            <w:pPr>
              <w:widowControl w:val="1"/>
              <w:ind w:hanging="108" w:right="-108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</w:p>
          <w:p w14:paraId="31000000">
            <w:pPr>
              <w:widowControl w:val="1"/>
              <w:spacing w:after="215" w:before="215"/>
              <w:ind w:firstLine="0" w:left="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242429"/>
                <w:spacing w:val="0"/>
                <w:sz w:val="24"/>
                <w:highlight w:val="white"/>
              </w:rPr>
              <w:t>Уличный светильник на солнечной батарее садовый фонарь</w:t>
            </w:r>
          </w:p>
        </w:tc>
        <w:tc>
          <w:tcPr>
            <w:tcW w:type="dxa" w:w="4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drawing>
                <wp:inline>
                  <wp:extent cx="2654300" cy="2809035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2654300" cy="28090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3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Основная информация:</w:t>
            </w:r>
          </w:p>
          <w:p w14:paraId="34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Цвет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-черный</w:t>
            </w:r>
          </w:p>
          <w:p w14:paraId="35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Общие характеристики:</w:t>
            </w:r>
          </w:p>
          <w:p w14:paraId="36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</w:p>
          <w:p w14:paraId="37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Степень пылевлагозащиты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 xml:space="preserve"> - IP44</w:t>
            </w:r>
          </w:p>
          <w:p w14:paraId="38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Гарантийный срок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не менее 12 мес</w:t>
            </w:r>
          </w:p>
          <w:p w14:paraId="39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Питание:</w:t>
            </w:r>
          </w:p>
          <w:p w14:paraId="3A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без питания; на солнечной батарее; от аккумулятора</w:t>
            </w:r>
          </w:p>
          <w:p w14:paraId="3B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Типоразмер элемента питания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солнечная батарея</w:t>
            </w:r>
          </w:p>
          <w:p w14:paraId="3C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Материал изделия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: пластик</w:t>
            </w:r>
          </w:p>
          <w:p w14:paraId="3D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Дополнительная информация:</w:t>
            </w:r>
          </w:p>
          <w:p w14:paraId="3E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 xml:space="preserve">Тип светильника -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универсальные; грунтовый</w:t>
            </w:r>
          </w:p>
          <w:p w14:paraId="3F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 xml:space="preserve">Цветовая температура лампочки: </w:t>
            </w:r>
          </w:p>
          <w:p w14:paraId="40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6000 К</w:t>
            </w:r>
          </w:p>
          <w:p w14:paraId="41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Тип лампы:</w:t>
            </w:r>
          </w:p>
          <w:p w14:paraId="42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светодиодная; энергосберегающая</w:t>
            </w:r>
          </w:p>
          <w:p w14:paraId="43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 xml:space="preserve">Количество светодиодов: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10 шт.</w:t>
            </w:r>
          </w:p>
          <w:p w14:paraId="44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 xml:space="preserve">Материал плафона/абажура: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пластик</w:t>
            </w:r>
          </w:p>
          <w:p w14:paraId="45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 xml:space="preserve">Форма плафона: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многогранник</w:t>
            </w:r>
          </w:p>
          <w:p w14:paraId="46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Особенности уличного светильника:</w:t>
            </w:r>
          </w:p>
          <w:p w14:paraId="47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датчик освещения</w:t>
            </w:r>
          </w:p>
          <w:p w14:paraId="48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  <w:t>Комплектация:</w:t>
            </w:r>
          </w:p>
          <w:p w14:paraId="49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 xml:space="preserve">Ножки - 10 шт; </w:t>
            </w:r>
          </w:p>
          <w:p w14:paraId="4A000000">
            <w:pPr>
              <w:widowControl w:val="1"/>
              <w:spacing w:after="120" w:before="120"/>
              <w:ind w:firstLine="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</w:rPr>
              <w:t>Наконечник в грунт - 10 шт; садовые светильники 10 шт</w:t>
            </w:r>
          </w:p>
          <w:p w14:paraId="4B000000">
            <w:pPr>
              <w:widowControl w:val="1"/>
              <w:spacing w:after="120" w:before="120"/>
              <w:ind w:hanging="120" w:left="120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4"/>
                <w:highlight w:val="white"/>
              </w:rPr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00000">
            <w:pPr>
              <w:widowControl w:val="1"/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0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00000">
            <w:pPr>
              <w:widowControl w:val="1"/>
              <w:ind w:hanging="108" w:right="-108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rPr>
          <w:trHeight w:hRule="atLeast" w:val="70"/>
        </w:trPr>
        <w:tc>
          <w:tcPr>
            <w:tcW w:type="dxa" w:w="9194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00000">
            <w:pPr>
              <w:widowControl w:val="1"/>
              <w:ind w:hanging="108" w:right="-108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9194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НДС </w:t>
            </w:r>
          </w:p>
        </w:tc>
        <w:tc>
          <w:tcPr>
            <w:tcW w:type="dxa" w:w="1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00000">
            <w:pPr>
              <w:widowControl w:val="1"/>
              <w:ind w:right="112"/>
              <w:jc w:val="center"/>
              <w:rPr>
                <w:rFonts w:ascii="Times New Roman" w:hAnsi="Times New Roman"/>
                <w:b w:val="1"/>
              </w:rPr>
            </w:pPr>
          </w:p>
        </w:tc>
      </w:tr>
    </w:tbl>
    <w:p w14:paraId="53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Товар должен быть новым, не бывшим в употреблении, на товаре не должно быть следов механических повреждений, а также иных несоответствий официальному техническому описанию поставляемой модели.</w:t>
      </w:r>
    </w:p>
    <w:p w14:paraId="54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 Весь поставляемый товар должен быть заводской сборки, новым, то есть не бывшим в эксплуатации, не восстановленным и не собранным из восстановленных компонентов.</w:t>
      </w:r>
    </w:p>
    <w:p w14:paraId="55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 Товар должен поставляться в заводской упаковке, соответствующей характеру поставляемого товара и способу транспортировки, обеспечивающей безопасность транспортировки и сохранность его качества в течение гарантийного срока хранения. Товар должен быть упакован в неповрежденную упаковку, предохраняющую от повреждения и воздействия влаги, утраты товарного вида. </w:t>
      </w:r>
    </w:p>
    <w:p w14:paraId="56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 Поставляемая продукция должна соответствовать действующим в Российской Федерации ГОСТам, ТУ, техническим регламентам, санитарным нормам.</w:t>
      </w:r>
    </w:p>
    <w:p w14:paraId="57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 Поставляемая продукция должна отвечать требованиям качества, безопасности и другим требованиям, предъявленным законодательством Российской Федерации и Договором.</w:t>
      </w:r>
    </w:p>
    <w:p w14:paraId="58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Гарантийный срок на товар составляет не менее 12 месяцев и исчисляется с момента подписания акта сдачи-приема товара.</w:t>
      </w:r>
    </w:p>
    <w:p w14:paraId="59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Гарантийный срок на продукцию должен соответствовать гарантийным требованиям, предъявляемым к такому виду продукции и должен подтверждаться документами от производителя (Поставщика).</w:t>
      </w:r>
    </w:p>
    <w:p w14:paraId="5A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При обнаружении дефектов продукции в период гарантийного срока, возникших по независящим от Заказчика причинам, Поставщик обязан за свой счет заменить продукцию ненадлежащего качества новой, в срок 10 рабочих дней с момента получения письменного уведомления от Заказчика (в том числе посредством факсимильной связи с последующим направлением оригинала).</w:t>
      </w:r>
    </w:p>
    <w:p w14:paraId="5B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Гарантийный срок на поставляемую продукцию в данном случае продлевается на период устранения дефектов.</w:t>
      </w:r>
    </w:p>
    <w:p w14:paraId="5C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Все расходы по замене некачественной продукции, включая расходы на выезд представителя Поставщика к Заказчику, транспортировку, упаковку и страхование заменяемой продукции несет Поставщик.</w:t>
      </w:r>
    </w:p>
    <w:p w14:paraId="5D000000">
      <w:pPr>
        <w:widowControl w:val="1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Поставщик несет все расходы, связанные с поставкой товара (стоимость товара, а также расходы на транспортировку, погрузку, разгрузку, страхование, уплату налогов, таможенных пошлин, сборов и другие обязательные платежи).</w:t>
      </w:r>
    </w:p>
    <w:p w14:paraId="5E000000">
      <w:pPr>
        <w:widowControl w:val="0"/>
        <w:tabs>
          <w:tab w:leader="none" w:pos="709" w:val="left"/>
        </w:tabs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5F000000">
      <w:pPr>
        <w:widowControl w:val="0"/>
        <w:tabs>
          <w:tab w:leader="none" w:pos="1134" w:val="left"/>
        </w:tabs>
        <w:ind/>
        <w:jc w:val="both"/>
        <w:rPr>
          <w:rFonts w:ascii="Times New Roman" w:hAnsi="Times New Roman"/>
          <w:sz w:val="24"/>
        </w:rPr>
      </w:pPr>
    </w:p>
    <w:p w14:paraId="60000000">
      <w:pPr>
        <w:widowControl w:val="1"/>
        <w:spacing w:line="240" w:lineRule="atLeast"/>
        <w:ind w:firstLine="709" w:left="5672"/>
        <w:rPr>
          <w:rFonts w:ascii="Times New Roman" w:hAnsi="Times New Roman"/>
          <w:sz w:val="24"/>
        </w:rPr>
      </w:pPr>
    </w:p>
    <w:tbl>
      <w:tblPr>
        <w:tblStyle w:val="Style_1"/>
        <w:tblW w:type="auto" w:w="0"/>
        <w:tblInd w:type="dxa" w:w="-106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5"/>
        <w:gridCol w:w="391"/>
        <w:gridCol w:w="4874"/>
      </w:tblGrid>
      <w:tr>
        <w:trPr>
          <w:trHeight w:hRule="atLeast" w:val="1241"/>
        </w:trPr>
        <w:tc>
          <w:tcPr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widowControl w:val="0"/>
              <w:ind w:firstLine="70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Заказчик</w:t>
            </w:r>
          </w:p>
          <w:p w14:paraId="62000000">
            <w:pPr>
              <w:widowControl w:val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  <w:p w14:paraId="63000000">
            <w:pPr>
              <w:widowControl w:val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_______________Б.И.Убушаев</w:t>
            </w:r>
          </w:p>
          <w:p w14:paraId="64000000">
            <w:pPr>
              <w:widowControl w:val="0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widowControl w:val="0"/>
              <w:ind w:firstLine="709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7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widowControl w:val="0"/>
              <w:ind w:firstLine="70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Поставщик</w:t>
            </w:r>
          </w:p>
          <w:p w14:paraId="67000000">
            <w:pPr>
              <w:widowControl w:val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ИП</w:t>
            </w:r>
          </w:p>
          <w:p w14:paraId="68000000">
            <w:pPr>
              <w:widowControl w:val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 </w:t>
            </w:r>
          </w:p>
        </w:tc>
      </w:tr>
    </w:tbl>
    <w:p w14:paraId="69000000">
      <w:pPr>
        <w:widowControl w:val="1"/>
        <w:spacing w:after="0" w:line="240" w:lineRule="auto"/>
        <w:ind/>
        <w:rPr>
          <w:rFonts w:ascii="Times New Roman" w:hAnsi="Times New Roman"/>
          <w:sz w:val="24"/>
        </w:rPr>
      </w:pPr>
      <w:bookmarkStart w:id="1" w:name="_GoBack"/>
      <w:bookmarkEnd w:id="1"/>
    </w:p>
    <w:sectPr>
      <w:pgSz w:h="16838" w:orient="portrait" w:w="11906"/>
      <w:pgMar w:bottom="1134" w:footer="708" w:gutter="0" w:header="708" w:left="1276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160" w:line="264" w:lineRule="auto"/>
      <w:ind/>
    </w:pPr>
    <w:rPr>
      <w:rFonts w:asciiTheme="minorAscii" w:hAnsiTheme="minorHAnsi"/>
      <w:sz w:val="22"/>
    </w:rPr>
  </w:style>
  <w:style w:default="1" w:styleId="Style_2_ch" w:type="character">
    <w:name w:val="Normal"/>
    <w:link w:val="Style_2"/>
    <w:rPr>
      <w:rFonts w:asciiTheme="minorAscii" w:hAnsiTheme="minorHAnsi"/>
      <w:sz w:val="22"/>
    </w:rPr>
  </w:style>
  <w:style w:styleId="Style_3" w:type="paragraph">
    <w:name w:val="toc 2"/>
    <w:next w:val="Style_2"/>
    <w:link w:val="Style_3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0" w:type="paragraph">
    <w:name w:val="toc 3"/>
    <w:next w:val="Style_2"/>
    <w:link w:val="Style_10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2"/>
    <w:link w:val="Style_17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Normal (Web)"/>
    <w:basedOn w:val="Style_2"/>
    <w:link w:val="Style_19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Normal (Web)"/>
    <w:basedOn w:val="Style_2_ch"/>
    <w:link w:val="Style_19"/>
    <w:rPr>
      <w:rFonts w:ascii="Times New Roman" w:hAnsi="Times New Roman"/>
      <w:sz w:val="24"/>
    </w:rPr>
  </w:style>
  <w:style w:styleId="Style_20" w:type="paragraph">
    <w:name w:val="toc 5"/>
    <w:next w:val="Style_2"/>
    <w:link w:val="Style_20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Subtitle"/>
    <w:next w:val="Style_2"/>
    <w:link w:val="Style_21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1_ch" w:type="character">
    <w:name w:val="Subtitle"/>
    <w:link w:val="Style_21"/>
    <w:rPr>
      <w:rFonts w:ascii="XO Thames" w:hAnsi="XO Thames"/>
      <w:i w:val="1"/>
      <w:sz w:val="24"/>
    </w:rPr>
  </w:style>
  <w:style w:styleId="Style_22" w:type="paragraph">
    <w:name w:val="Title"/>
    <w:next w:val="Style_2"/>
    <w:link w:val="Style_22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1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2026-04-29T11:49:00Z</dcterms:created>
  <dcterms:modified xsi:type="dcterms:W3CDTF">2026-06-16T08:04:03Z</dcterms:modified>
</cp:coreProperties>
</file>