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</w:p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ИКЗ: 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261434600765643450100100290000000244</w:t>
      </w:r>
      <w:r>
        <w:rPr>
          <w:rFonts w:cs="Times New Roman"/>
          <w:b/>
          <w:bCs/>
          <w:color w:val="000000"/>
          <w:sz w:val="22"/>
          <w:szCs w:val="22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Bdr/>
        <w:spacing w:after="120" w:before="120"/>
        <w:ind w:firstLine="567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  <w:lang w:val="en-US"/>
        </w:rPr>
      </w:pPr>
      <w:r>
        <w:rPr>
          <w:rFonts w:cs="Times New Roman"/>
          <w:b w:val="0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0"/>
          <w:color w:val="000000"/>
          <w:sz w:val="22"/>
          <w:szCs w:val="22"/>
          <w:lang w:val="en-US"/>
        </w:rPr>
      </w:r>
      <w:r>
        <w:rPr>
          <w:rFonts w:cs="Times New Roman"/>
          <w:b w:val="0"/>
          <w:color w:val="000000"/>
          <w:sz w:val="22"/>
          <w:szCs w:val="22"/>
          <w:lang w:val="en-US"/>
        </w:rPr>
      </w:r>
    </w:p>
    <w:p>
      <w:pPr>
        <w:pStyle w:val="973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cs="Times New Roman"/>
          <w:color w:val="000000" w:themeColor="text1"/>
          <w:sz w:val="22"/>
          <w:szCs w:val="22"/>
        </w:rPr>
        <w:t xml:space="preserve">реагенты и расходные материалы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30 (календарных) дней с момента подписания договора.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1002"/>
        <w:pBdr/>
        <w:tabs>
          <w:tab w:val="clear" w:leader="none" w:pos="851"/>
        </w:tabs>
        <w:spacing/>
        <w:ind w:firstLine="567" w:left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1000"/>
        <w:pBdr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left" w:leader="none" w:pos="450"/>
        </w:tabs>
        <w:spacing/>
        <w:ind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eastAsia="gu-IN" w:bidi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85% на момент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432"/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9. переписка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7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tbl>
      <w:tblPr>
        <w:tblW w:w="15073" w:type="dxa"/>
        <w:tblBorders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Borders/>
            <w:tcW w:w="5634" w:type="dxa"/>
            <w:textDirection w:val="lrTb"/>
            <w:noWrap w:val="false"/>
          </w:tcPr>
          <w:p>
            <w:pPr>
              <w:pBdr/>
              <w:spacing/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УФК по Кировской области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(ФГБУН 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КНИИГиПК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ФМБА России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right="460"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Лицевой счет № 20406Ц17940, 21406Ц17940, 22406Ц17940)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р/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03214643000000014000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кор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40102810345370000033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color w:val="000000" w:themeColor="text1"/>
                <w:sz w:val="22"/>
                <w:szCs w:val="22"/>
                <w:lang w:eastAsia="ru-RU"/>
              </w:rPr>
              <w:t xml:space="preserve">БИК 013304182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4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51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</w:tbl>
    <w:p>
      <w:pPr>
        <w:pStyle w:val="995"/>
        <w:pBdr/>
        <w:tabs>
          <w:tab w:val="right" w:leader="none" w:pos="0"/>
        </w:tabs>
        <w:spacing w:after="0" w:before="0"/>
        <w:ind w:firstLine="567"/>
        <w:jc w:val="right"/>
        <w:rPr>
          <w:rFonts w:cs="Times New Roman"/>
          <w:b w:val="0"/>
          <w:caps w:val="0"/>
          <w:sz w:val="22"/>
          <w:szCs w:val="22"/>
        </w:rPr>
      </w:pPr>
      <w:r>
        <w:rPr>
          <w:rFonts w:eastAsiaTheme="minorHAnsi"/>
        </w:rPr>
        <w:br w:type="page" w:clear="all"/>
      </w:r>
      <w:r>
        <w:rPr>
          <w:rFonts w:cs="Times New Roman"/>
          <w:b w:val="0"/>
          <w:caps w:val="0"/>
          <w:sz w:val="22"/>
          <w:szCs w:val="22"/>
        </w:rPr>
      </w:r>
      <w:r>
        <w:rPr>
          <w:rFonts w:cs="Times New Roman"/>
          <w:b w:val="0"/>
          <w:caps w:val="0"/>
          <w:sz w:val="22"/>
          <w:szCs w:val="22"/>
        </w:rPr>
      </w:r>
    </w:p>
    <w:p>
      <w:pPr>
        <w:pBdr/>
        <w:tabs>
          <w:tab w:val="center" w:leader="none" w:pos="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center" w:leader="none" w:pos="4677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tblInd w:w="55" w:type="dxa"/>
        <w:tblW w:w="992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96"/>
        <w:gridCol w:w="4608"/>
        <w:gridCol w:w="974"/>
        <w:gridCol w:w="1241"/>
        <w:gridCol w:w="1241"/>
        <w:gridCol w:w="136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>
              <w:rPr>
                <w:rFonts w:cs="Times New Roman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textDirection w:val="lrTb"/>
            <w:noWrap w:val="false"/>
          </w:tcPr>
          <w:p>
            <w:pPr>
              <w:pStyle w:val="1007"/>
              <w:pBdr/>
              <w:spacing w:after="0" w:before="0"/>
              <w:ind w:right="0" w:left="1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5C217053">
            <w:pPr>
              <w:pBdr/>
              <w:spacing/>
              <w:ind/>
              <w:rPr/>
            </w:pPr>
            <w: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09C6D6D8">
            <w:pPr>
              <w:pStyle w:val="1007"/>
              <w:pBdr/>
              <w:spacing w:after="0" w:before="0"/>
              <w:ind w:right="0" w:left="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</w:t>
            </w:r>
            <w:r/>
          </w:p>
          <w:p w14:paraId="336811C9">
            <w:pPr>
              <w:pStyle w:val="1007"/>
              <w:pBdr/>
              <w:spacing/>
              <w:ind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1007"/>
              <w:pBdr/>
              <w:tabs>
                <w:tab w:val="left" w:leader="none" w:pos="2318"/>
              </w:tabs>
              <w:spacing w:after="0" w:before="0"/>
              <w:ind w:right="0" w:firstLine="57" w:left="-57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/>
              <w:jc w:val="center"/>
              <w:rPr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textDirection w:val="lrTb"/>
            <w:noWrap w:val="false"/>
          </w:tcPr>
          <w:p w14:paraId="0759198D">
            <w:pPr>
              <w:pBdr/>
              <w:spacing/>
              <w:ind/>
              <w:rPr/>
            </w:pPr>
            <w:r/>
            <w:r>
              <w:t xml:space="preserve">Диметилсульфоксид, 99,9%, 100мл. РУ нет, не для мед. Использования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textDirection w:val="lrTb"/>
            <w:noWrap w:val="false"/>
          </w:tcPr>
          <w:p w14:paraId="543BBDD1">
            <w:pPr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45B1822D"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7B94862B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vMerge w:val="restart"/>
            <w:textDirection w:val="lrTb"/>
            <w:noWrap w:val="false"/>
          </w:tcPr>
          <w:p w14:paraId="5BB4861D">
            <w:pPr>
              <w:pStyle w:val="1010"/>
              <w:pBdr/>
              <w:spacing/>
              <w:ind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2</w:t>
            </w:r>
            <w:r>
              <w:rPr>
                <w:rFonts w:eastAsia="Arial"/>
                <w:color w:val="000000"/>
                <w:sz w:val="23"/>
                <w:szCs w:val="23"/>
              </w:rPr>
            </w:r>
            <w:r>
              <w:rPr>
                <w:rFonts w:eastAsia="Arial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vMerge w:val="restart"/>
            <w:textDirection w:val="lrTb"/>
            <w:noWrap w:val="false"/>
          </w:tcPr>
          <w:p w14:paraId="21585761">
            <w:pPr>
              <w:pBdr/>
              <w:spacing/>
              <w:ind/>
              <w:rPr/>
            </w:pPr>
            <w:r/>
            <w:r>
              <w:t xml:space="preserve">Микропробирка для криохранения 2 мл,с внеш.резьбой, диам.12,6*47 мм, стерильная, п/п, без ДНКаз и РНКаз, уп.50 шт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vMerge w:val="restart"/>
            <w:textDirection w:val="lrTb"/>
            <w:noWrap w:val="false"/>
          </w:tcPr>
          <w:p w14:paraId="4422CE41">
            <w:pPr>
              <w:pBdr/>
              <w:spacing/>
              <w:ind/>
              <w:jc w:val="center"/>
              <w:rPr/>
            </w:pPr>
            <w:r>
              <w:t xml:space="preserve">уп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vMerge w:val="restart"/>
            <w:textDirection w:val="lrTb"/>
            <w:noWrap w:val="false"/>
          </w:tcPr>
          <w:p w14:paraId="52C2106F"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39FFBCE2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vMerge w:val="restart"/>
            <w:textDirection w:val="lrTb"/>
            <w:noWrap w:val="false"/>
          </w:tcPr>
          <w:p w14:paraId="0C6913DB"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96" w:type="dxa"/>
            <w:vAlign w:val="center"/>
            <w:vMerge w:val="restart"/>
            <w:textDirection w:val="lrTb"/>
            <w:noWrap w:val="false"/>
          </w:tcPr>
          <w:p w14:paraId="3BBC1F5A">
            <w:pPr>
              <w:pStyle w:val="1010"/>
              <w:pBdr/>
              <w:spacing/>
              <w:ind/>
              <w:jc w:val="center"/>
              <w:rPr>
                <w:rFonts w:eastAsia="Arial"/>
                <w:color w:val="000000"/>
                <w:sz w:val="23"/>
                <w:szCs w:val="23"/>
              </w:rPr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3</w:t>
            </w:r>
            <w:r>
              <w:rPr>
                <w:rFonts w:eastAsia="Arial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608" w:type="dxa"/>
            <w:vAlign w:val="center"/>
            <w:vMerge w:val="restart"/>
            <w:textDirection w:val="lrTb"/>
            <w:noWrap w:val="false"/>
          </w:tcPr>
          <w:p w14:paraId="304360B2">
            <w:pPr>
              <w:pBdr/>
              <w:spacing/>
              <w:ind/>
              <w:rPr/>
            </w:pPr>
            <w:r/>
            <w:r>
              <w:t xml:space="preserve">Наконечники, 1000 мкл, в штативе 96 шт, Sartorius</w:t>
            </w:r>
            <w:r>
              <w:t xml:space="preserve">,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4" w:type="dxa"/>
            <w:vAlign w:val="center"/>
            <w:vMerge w:val="restart"/>
            <w:textDirection w:val="lrTb"/>
            <w:noWrap w:val="false"/>
          </w:tcPr>
          <w:p w14:paraId="77C341F8">
            <w:pPr>
              <w:pBdr/>
              <w:spacing/>
              <w:ind/>
              <w:jc w:val="center"/>
              <w:rPr/>
            </w:pPr>
            <w:r>
              <w:t xml:space="preserve">уп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41" w:type="dxa"/>
            <w:vAlign w:val="center"/>
            <w:vMerge w:val="restart"/>
            <w:textDirection w:val="lrTb"/>
            <w:noWrap w:val="false"/>
          </w:tcPr>
          <w:p w14:paraId="173E2FA1"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vMerge w:val="restart"/>
            <w:textDirection w:val="lrTb"/>
            <w:noWrap w:val="false"/>
          </w:tcPr>
          <w:p w14:paraId="3990CDB2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vMerge w:val="restart"/>
            <w:textDirection w:val="lrTb"/>
            <w:noWrap w:val="false"/>
          </w:tcPr>
          <w:p w14:paraId="40EAC0DC"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318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 w:hanging="49" w:left="-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" w:type="dxa"/>
            <w:vAlign w:val="center"/>
            <w:textDirection w:val="lrTb"/>
            <w:noWrap w:val="false"/>
          </w:tcPr>
          <w:p w14:paraId="5C6C233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 w14:paraId="15A5EE47"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</w:p>
    <w:p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 w:eastAsiaTheme="minorHAnsi"/>
          <w:color w:val="000000" w:themeColor="text1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– </w:t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jc w:val="right"/>
        <w:tblW w:w="5000" w:type="pct"/>
        <w:tblBorders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Borders/>
            <w:tcW w:w="4813" w:type="dxa"/>
            <w:textDirection w:val="lrTb"/>
            <w:noWrap w:val="false"/>
          </w:tcPr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09" w:right="711" w:bottom="426" w:left="1274" w:header="0" w:footer="0" w:gutter="0"/>
          <w:cols w:num="1" w:sep="0" w:space="1701" w:equalWidth="1"/>
        </w:sectPr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709" w:right="709" w:bottom="851" w:left="56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764">
    <w:name w:val="Heading 1"/>
    <w:basedOn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69">
    <w:name w:val="Heading 6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Table Grid Light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03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04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906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09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character" w:styleId="910" w:customStyle="1">
    <w:name w:val="Heading 1 Char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1" w:customStyle="1">
    <w:name w:val="Heading 2 Char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12" w:customStyle="1">
    <w:name w:val="Heading 3 Char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3" w:customStyle="1">
    <w:name w:val="Heading 4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Heading 5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Heading 6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Heading 7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Heading 8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Heading 9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9" w:customStyle="1">
    <w:name w:val="Title Char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20" w:customStyle="1">
    <w:name w:val="Subtitle Char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21" w:customStyle="1">
    <w:name w:val="Quote Char"/>
    <w:uiPriority w:val="29"/>
    <w:qFormat/>
    <w:pPr>
      <w:pBdr/>
      <w:spacing/>
      <w:ind/>
    </w:pPr>
    <w:rPr>
      <w:i/>
    </w:rPr>
  </w:style>
  <w:style w:type="character" w:styleId="922" w:customStyle="1">
    <w:name w:val="Intense Quote Char"/>
    <w:uiPriority w:val="30"/>
    <w:qFormat/>
    <w:pPr>
      <w:pBdr/>
      <w:spacing/>
      <w:ind/>
    </w:pPr>
    <w:rPr>
      <w:i/>
    </w:rPr>
  </w:style>
  <w:style w:type="character" w:styleId="923" w:customStyle="1">
    <w:name w:val="Header Char"/>
    <w:basedOn w:val="773"/>
    <w:uiPriority w:val="99"/>
    <w:qFormat/>
    <w:pPr>
      <w:pBdr/>
      <w:spacing/>
      <w:ind/>
    </w:pPr>
  </w:style>
  <w:style w:type="character" w:styleId="924" w:customStyle="1">
    <w:name w:val="Caption Char"/>
    <w:uiPriority w:val="99"/>
    <w:qFormat/>
    <w:pPr>
      <w:pBdr/>
      <w:spacing/>
      <w:ind/>
    </w:pPr>
  </w:style>
  <w:style w:type="character" w:styleId="925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92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927" w:customStyle="1">
    <w:name w:val="Заголовок 1 Знак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8" w:customStyle="1">
    <w:name w:val="Заголовок 2 Знак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29" w:customStyle="1">
    <w:name w:val="Заголовок 3 Знак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0" w:customStyle="1">
    <w:name w:val="Заголовок 4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1" w:customStyle="1">
    <w:name w:val="Заголовок 5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2" w:customStyle="1">
    <w:name w:val="Заголовок 6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3" w:customStyle="1">
    <w:name w:val="Заголовок 7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 w:customStyle="1">
    <w:name w:val="Заголовок 8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5" w:customStyle="1">
    <w:name w:val="Заголовок 9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Заголовок Знак1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37" w:customStyle="1">
    <w:name w:val="Подзаголовок Знак1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38" w:customStyle="1">
    <w:name w:val="Цитата 2 Знак"/>
    <w:uiPriority w:val="29"/>
    <w:qFormat/>
    <w:pPr>
      <w:pBdr/>
      <w:spacing/>
      <w:ind/>
    </w:pPr>
    <w:rPr>
      <w:i/>
    </w:rPr>
  </w:style>
  <w:style w:type="character" w:styleId="939" w:customStyle="1">
    <w:name w:val="Выделенная цитата Знак"/>
    <w:uiPriority w:val="30"/>
    <w:qFormat/>
    <w:pPr>
      <w:pBdr/>
      <w:spacing/>
      <w:ind/>
    </w:pPr>
    <w:rPr>
      <w:i/>
    </w:rPr>
  </w:style>
  <w:style w:type="character" w:styleId="940" w:customStyle="1">
    <w:name w:val="Верхний колонтитул Знак1"/>
    <w:basedOn w:val="773"/>
    <w:uiPriority w:val="99"/>
    <w:qFormat/>
    <w:pPr>
      <w:pBdr/>
      <w:spacing/>
      <w:ind/>
    </w:pPr>
  </w:style>
  <w:style w:type="character" w:styleId="941" w:customStyle="1">
    <w:name w:val="Footer Char"/>
    <w:basedOn w:val="773"/>
    <w:uiPriority w:val="99"/>
    <w:qFormat/>
    <w:pPr>
      <w:pBdr/>
      <w:spacing/>
      <w:ind/>
    </w:pPr>
  </w:style>
  <w:style w:type="character" w:styleId="942" w:customStyle="1">
    <w:name w:val="Нижний колонтитул Знак1"/>
    <w:uiPriority w:val="99"/>
    <w:qFormat/>
    <w:pPr>
      <w:pBdr/>
      <w:spacing/>
      <w:ind/>
    </w:pPr>
  </w:style>
  <w:style w:type="character" w:styleId="943" w:customStyle="1">
    <w:name w:val="Текст сноски Знак"/>
    <w:uiPriority w:val="99"/>
    <w:qFormat/>
    <w:pPr>
      <w:pBdr/>
      <w:spacing/>
      <w:ind/>
    </w:pPr>
    <w:rPr>
      <w:sz w:val="18"/>
    </w:rPr>
  </w:style>
  <w:style w:type="character" w:styleId="944">
    <w:name w:val="footnote reference"/>
    <w:pPr>
      <w:pBdr/>
      <w:spacing/>
      <w:ind/>
    </w:pPr>
    <w:rPr>
      <w:vertAlign w:val="superscript"/>
    </w:rPr>
  </w:style>
  <w:style w:type="character" w:styleId="945" w:customStyle="1">
    <w:name w:val="Footnote Characters"/>
    <w:qFormat/>
    <w:pPr>
      <w:pBdr/>
      <w:spacing/>
      <w:ind/>
    </w:pPr>
    <w:rPr>
      <w:vertAlign w:val="superscript"/>
    </w:rPr>
  </w:style>
  <w:style w:type="character" w:styleId="946" w:customStyle="1">
    <w:name w:val="Footnote Characters1"/>
    <w:qFormat/>
    <w:pPr>
      <w:pBdr/>
      <w:spacing/>
      <w:ind/>
    </w:pPr>
    <w:rPr>
      <w:vertAlign w:val="superscript"/>
    </w:rPr>
  </w:style>
  <w:style w:type="character" w:styleId="947" w:customStyle="1">
    <w:name w:val="Footnote Characters11"/>
    <w:basedOn w:val="773"/>
    <w:uiPriority w:val="99"/>
    <w:unhideWhenUsed/>
    <w:qFormat/>
    <w:pPr>
      <w:pBdr/>
      <w:spacing/>
      <w:ind/>
    </w:pPr>
    <w:rPr>
      <w:vertAlign w:val="superscript"/>
    </w:rPr>
  </w:style>
  <w:style w:type="character" w:styleId="948" w:customStyle="1">
    <w:name w:val="Текст концевой сноски Знак"/>
    <w:uiPriority w:val="99"/>
    <w:qFormat/>
    <w:pPr>
      <w:pBdr/>
      <w:spacing/>
      <w:ind/>
    </w:pPr>
    <w:rPr>
      <w:sz w:val="20"/>
    </w:rPr>
  </w:style>
  <w:style w:type="character" w:styleId="949">
    <w:name w:val="endnote reference"/>
    <w:pPr>
      <w:pBdr/>
      <w:spacing/>
      <w:ind/>
    </w:pPr>
    <w:rPr>
      <w:vertAlign w:val="superscript"/>
    </w:rPr>
  </w:style>
  <w:style w:type="character" w:styleId="950" w:customStyle="1">
    <w:name w:val="Endnote Characters"/>
    <w:qFormat/>
    <w:pPr>
      <w:pBdr/>
      <w:spacing/>
      <w:ind/>
    </w:pPr>
    <w:rPr>
      <w:vertAlign w:val="superscript"/>
    </w:rPr>
  </w:style>
  <w:style w:type="character" w:styleId="951" w:customStyle="1">
    <w:name w:val="Endnote Characters1"/>
    <w:qFormat/>
    <w:pPr>
      <w:pBdr/>
      <w:spacing/>
      <w:ind/>
    </w:pPr>
    <w:rPr>
      <w:vertAlign w:val="superscript"/>
    </w:rPr>
  </w:style>
  <w:style w:type="character" w:styleId="952" w:customStyle="1">
    <w:name w:val="Endnote Characters11"/>
    <w:basedOn w:val="77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3" w:customStyle="1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eastAsia="ar-SA" w:bidi="ar-SA"/>
    </w:rPr>
  </w:style>
  <w:style w:type="character" w:styleId="954" w:customStyle="1">
    <w:name w:val="Основной текст 2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5" w:customStyle="1">
    <w:name w:val="Заголовок Знак"/>
    <w:basedOn w:val="773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6" w:customStyle="1">
    <w:name w:val="Текст примечания Знак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957" w:customStyle="1">
    <w:name w:val="Тема примечания Знак"/>
    <w:basedOn w:val="956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958" w:customStyle="1">
    <w:name w:val="Основной текст 2 Знак1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9" w:customStyle="1">
    <w:name w:val="Подзаголовок Знак"/>
    <w:basedOn w:val="77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960">
    <w:name w:val="Strong"/>
    <w:qFormat/>
    <w:pPr>
      <w:pBdr/>
      <w:spacing/>
      <w:ind/>
    </w:pPr>
    <w:rPr>
      <w:b/>
      <w:bCs/>
    </w:rPr>
  </w:style>
  <w:style w:type="character" w:styleId="961" w:customStyle="1">
    <w:name w:val="Internet Link"/>
    <w:qFormat/>
    <w:pPr>
      <w:pBdr/>
      <w:spacing/>
      <w:ind/>
    </w:pPr>
    <w:rPr>
      <w:color w:val="0000ff"/>
      <w:u w:val="single"/>
    </w:rPr>
  </w:style>
  <w:style w:type="character" w:styleId="962" w:customStyle="1">
    <w:name w:val="Текст выноски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3" w:customStyle="1">
    <w:name w:val="Схема документа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65" w:customStyle="1">
    <w:name w:val="Верх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6" w:customStyle="1">
    <w:name w:val="Ниж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7" w:customStyle="1">
    <w:name w:val="hps"/>
    <w:basedOn w:val="773"/>
    <w:qFormat/>
    <w:pPr>
      <w:pBdr/>
      <w:spacing/>
      <w:ind/>
    </w:pPr>
  </w:style>
  <w:style w:type="character" w:styleId="968" w:customStyle="1">
    <w:name w:val="hps atn"/>
    <w:basedOn w:val="773"/>
    <w:qFormat/>
    <w:pPr>
      <w:pBdr/>
      <w:spacing/>
      <w:ind/>
    </w:pPr>
  </w:style>
  <w:style w:type="character" w:styleId="969" w:customStyle="1">
    <w:name w:val="Anrede1IhrZeichen"/>
    <w:qFormat/>
    <w:pPr>
      <w:pBdr/>
      <w:spacing/>
      <w:ind/>
    </w:pPr>
    <w:rPr>
      <w:rFonts w:ascii="Arial" w:hAnsi="Arial" w:cs="Arial"/>
      <w:sz w:val="22"/>
    </w:rPr>
  </w:style>
  <w:style w:type="character" w:styleId="970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971" w:customStyle="1">
    <w:name w:val="Internet Link2"/>
    <w:qFormat/>
    <w:pPr>
      <w:pBdr/>
      <w:spacing/>
      <w:ind/>
    </w:pPr>
    <w:rPr>
      <w:color w:val="000080"/>
      <w:u w:val="single"/>
    </w:rPr>
  </w:style>
  <w:style w:type="character" w:styleId="972">
    <w:name w:val="Hyperlink"/>
    <w:pPr>
      <w:pBdr/>
      <w:spacing/>
      <w:ind/>
    </w:pPr>
    <w:rPr>
      <w:color w:val="000080"/>
      <w:u w:val="single"/>
    </w:rPr>
  </w:style>
  <w:style w:type="paragraph" w:styleId="973">
    <w:name w:val="Title"/>
    <w:basedOn w:val="763"/>
    <w:next w:val="974"/>
    <w:qFormat/>
    <w:pPr>
      <w:pBdr/>
      <w:spacing/>
      <w:ind/>
      <w:jc w:val="center"/>
    </w:pPr>
  </w:style>
  <w:style w:type="paragraph" w:styleId="974">
    <w:name w:val="Body Text"/>
    <w:basedOn w:val="763"/>
    <w:pPr>
      <w:pBdr/>
      <w:spacing w:after="140" w:line="276" w:lineRule="auto"/>
      <w:ind/>
    </w:pPr>
  </w:style>
  <w:style w:type="paragraph" w:styleId="975">
    <w:name w:val="List"/>
    <w:basedOn w:val="974"/>
    <w:pPr>
      <w:pBdr/>
      <w:spacing/>
      <w:ind/>
    </w:pPr>
    <w:rPr>
      <w:rFonts w:cs="Arial"/>
    </w:rPr>
  </w:style>
  <w:style w:type="paragraph" w:styleId="976">
    <w:name w:val="Caption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7">
    <w:name w:val="index heading"/>
    <w:basedOn w:val="763"/>
    <w:qFormat/>
    <w:pPr>
      <w:suppressLineNumbers w:val="true"/>
      <w:pBdr/>
      <w:spacing/>
      <w:ind/>
    </w:pPr>
    <w:rPr>
      <w:rFonts w:cs="Arial"/>
    </w:rPr>
  </w:style>
  <w:style w:type="paragraph" w:styleId="978">
    <w:name w:val="No Spacing"/>
    <w:uiPriority w:val="1"/>
    <w:qFormat/>
    <w:pPr>
      <w:pBdr/>
      <w:spacing/>
      <w:ind/>
    </w:pPr>
  </w:style>
  <w:style w:type="paragraph" w:styleId="979">
    <w:name w:val="Quote"/>
    <w:basedOn w:val="763"/>
    <w:uiPriority w:val="29"/>
    <w:qFormat/>
    <w:pPr>
      <w:pBdr/>
      <w:spacing/>
      <w:ind w:right="720" w:left="720"/>
    </w:pPr>
    <w:rPr>
      <w:i/>
    </w:rPr>
  </w:style>
  <w:style w:type="paragraph" w:styleId="980">
    <w:name w:val="Intense Quote"/>
    <w:basedOn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81">
    <w:name w:val="footnote text"/>
    <w:basedOn w:val="763"/>
    <w:uiPriority w:val="99"/>
    <w:semiHidden/>
    <w:unhideWhenUsed/>
    <w:pPr>
      <w:pBdr/>
      <w:spacing w:after="40"/>
      <w:ind/>
    </w:pPr>
    <w:rPr>
      <w:sz w:val="18"/>
    </w:rPr>
  </w:style>
  <w:style w:type="paragraph" w:styleId="982">
    <w:name w:val="endnote text"/>
    <w:basedOn w:val="763"/>
    <w:uiPriority w:val="99"/>
    <w:semiHidden/>
    <w:unhideWhenUsed/>
    <w:pPr>
      <w:pBdr/>
      <w:spacing/>
      <w:ind/>
    </w:pPr>
    <w:rPr>
      <w:sz w:val="20"/>
    </w:rPr>
  </w:style>
  <w:style w:type="paragraph" w:styleId="983">
    <w:name w:val="toc 1"/>
    <w:basedOn w:val="763"/>
    <w:uiPriority w:val="39"/>
    <w:unhideWhenUsed/>
    <w:pPr>
      <w:pBdr/>
      <w:spacing w:after="57"/>
      <w:ind/>
    </w:pPr>
  </w:style>
  <w:style w:type="paragraph" w:styleId="984">
    <w:name w:val="toc 2"/>
    <w:basedOn w:val="763"/>
    <w:uiPriority w:val="39"/>
    <w:unhideWhenUsed/>
    <w:pPr>
      <w:pBdr/>
      <w:spacing w:after="57"/>
      <w:ind w:left="283"/>
    </w:pPr>
  </w:style>
  <w:style w:type="paragraph" w:styleId="985">
    <w:name w:val="toc 3"/>
    <w:basedOn w:val="763"/>
    <w:uiPriority w:val="39"/>
    <w:unhideWhenUsed/>
    <w:pPr>
      <w:pBdr/>
      <w:spacing w:after="57"/>
      <w:ind w:left="567"/>
    </w:pPr>
  </w:style>
  <w:style w:type="paragraph" w:styleId="986">
    <w:name w:val="toc 4"/>
    <w:basedOn w:val="763"/>
    <w:uiPriority w:val="39"/>
    <w:unhideWhenUsed/>
    <w:pPr>
      <w:pBdr/>
      <w:spacing w:after="57"/>
      <w:ind w:left="850"/>
    </w:pPr>
  </w:style>
  <w:style w:type="paragraph" w:styleId="987">
    <w:name w:val="toc 5"/>
    <w:basedOn w:val="763"/>
    <w:uiPriority w:val="39"/>
    <w:unhideWhenUsed/>
    <w:pPr>
      <w:pBdr/>
      <w:spacing w:after="57"/>
      <w:ind w:left="1134"/>
    </w:pPr>
  </w:style>
  <w:style w:type="paragraph" w:styleId="988">
    <w:name w:val="toc 6"/>
    <w:basedOn w:val="763"/>
    <w:uiPriority w:val="39"/>
    <w:unhideWhenUsed/>
    <w:pPr>
      <w:pBdr/>
      <w:spacing w:after="57"/>
      <w:ind w:left="1417"/>
    </w:pPr>
  </w:style>
  <w:style w:type="paragraph" w:styleId="989">
    <w:name w:val="toc 7"/>
    <w:basedOn w:val="763"/>
    <w:uiPriority w:val="39"/>
    <w:unhideWhenUsed/>
    <w:pPr>
      <w:pBdr/>
      <w:spacing w:after="57"/>
      <w:ind w:left="1701"/>
    </w:pPr>
  </w:style>
  <w:style w:type="paragraph" w:styleId="990">
    <w:name w:val="toc 8"/>
    <w:basedOn w:val="763"/>
    <w:uiPriority w:val="39"/>
    <w:unhideWhenUsed/>
    <w:pPr>
      <w:pBdr/>
      <w:spacing w:after="57"/>
      <w:ind w:left="1984"/>
    </w:pPr>
  </w:style>
  <w:style w:type="paragraph" w:styleId="991">
    <w:name w:val="toc 9"/>
    <w:basedOn w:val="763"/>
    <w:uiPriority w:val="39"/>
    <w:unhideWhenUsed/>
    <w:pPr>
      <w:pBdr/>
      <w:spacing w:after="57"/>
      <w:ind w:left="2268"/>
    </w:pPr>
  </w:style>
  <w:style w:type="paragraph" w:styleId="992">
    <w:name w:val="TOC Heading"/>
    <w:uiPriority w:val="39"/>
    <w:unhideWhenUsed/>
    <w:qFormat/>
    <w:pPr>
      <w:pBdr/>
      <w:spacing/>
      <w:ind/>
    </w:pPr>
  </w:style>
  <w:style w:type="paragraph" w:styleId="993">
    <w:name w:val="table of figures"/>
    <w:basedOn w:val="763"/>
    <w:uiPriority w:val="99"/>
    <w:unhideWhenUsed/>
    <w:pPr>
      <w:pBdr/>
      <w:spacing/>
      <w:ind/>
    </w:pPr>
  </w:style>
  <w:style w:type="paragraph" w:styleId="994" w:customStyle="1">
    <w:name w:val="caption1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95" w:customStyle="1">
    <w:name w:val="Контракт-раздел"/>
    <w:basedOn w:val="763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96">
    <w:name w:val="annotation text"/>
    <w:basedOn w:val="763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7">
    <w:name w:val="annotation subject"/>
    <w:basedOn w:val="763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98" w:customStyle="1">
    <w:name w:val="ConsPlusNormal"/>
    <w:qFormat/>
    <w:pPr>
      <w:pBdr/>
      <w:spacing/>
      <w:ind w:firstLine="720"/>
    </w:pPr>
    <w:rPr>
      <w:rFonts w:ascii="Arial" w:hAnsi="Arial"/>
      <w:sz w:val="20"/>
      <w:szCs w:val="20"/>
      <w:lang w:eastAsia="ar-SA"/>
    </w:rPr>
  </w:style>
  <w:style w:type="paragraph" w:styleId="999" w:customStyle="1">
    <w:name w:val="Таблица текст"/>
    <w:basedOn w:val="763"/>
    <w:uiPriority w:val="99"/>
    <w:qFormat/>
    <w:pPr>
      <w:pBdr/>
      <w:spacing w:after="40" w:before="40"/>
      <w:ind w:right="57" w:left="57"/>
    </w:pPr>
    <w:rPr>
      <w:rFonts w:eastAsia="Calibri"/>
      <w:sz w:val="22"/>
      <w:szCs w:val="22"/>
    </w:rPr>
  </w:style>
  <w:style w:type="paragraph" w:styleId="1000">
    <w:name w:val="Body Text 2"/>
    <w:basedOn w:val="763"/>
    <w:uiPriority w:val="99"/>
    <w:qFormat/>
    <w:pPr>
      <w:pBdr/>
      <w:spacing w:after="120" w:line="480" w:lineRule="auto"/>
      <w:ind/>
    </w:pPr>
    <w:rPr>
      <w:rFonts w:cs="Times New Roman"/>
      <w:lang w:eastAsia="en-US"/>
    </w:rPr>
  </w:style>
  <w:style w:type="paragraph" w:styleId="1001" w:customStyle="1">
    <w:name w:val="western"/>
    <w:basedOn w:val="763"/>
    <w:qFormat/>
    <w:pPr>
      <w:pBdr/>
      <w:spacing w:afterAutospacing="1" w:beforeAutospacing="1"/>
      <w:ind/>
    </w:pPr>
    <w:rPr>
      <w:rFonts w:eastAsia="Calibri" w:cs="Times New Roman"/>
      <w:color w:val="000000"/>
      <w:lang w:eastAsia="ru-RU"/>
    </w:rPr>
  </w:style>
  <w:style w:type="paragraph" w:styleId="1002" w:customStyle="1">
    <w:name w:val="Контракт-пункт"/>
    <w:basedOn w:val="763"/>
    <w:qFormat/>
    <w:pPr>
      <w:pBdr/>
      <w:tabs>
        <w:tab w:val="left" w:leader="none" w:pos="851"/>
      </w:tabs>
      <w:spacing/>
      <w:ind w:hanging="851" w:left="851"/>
      <w:jc w:val="both"/>
    </w:pPr>
    <w:rPr>
      <w:rFonts w:cs="Times New Roman"/>
      <w:lang w:eastAsia="ru-RU"/>
    </w:rPr>
  </w:style>
  <w:style w:type="paragraph" w:styleId="1003">
    <w:name w:val="Subtitle"/>
    <w:basedOn w:val="76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1004">
    <w:name w:val="List Paragraph"/>
    <w:basedOn w:val="763"/>
    <w:uiPriority w:val="34"/>
    <w:qFormat/>
    <w:pPr>
      <w:pBdr/>
      <w:spacing/>
      <w:ind w:left="720"/>
      <w:contextualSpacing w:val="true"/>
    </w:pPr>
    <w:rPr>
      <w:rFonts w:cs="Times New Roman"/>
      <w:lang w:eastAsia="ru-RU"/>
    </w:rPr>
  </w:style>
  <w:style w:type="paragraph" w:styleId="1005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006">
    <w:name w:val="Balloon Text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7" w:customStyle="1">
    <w:name w:val="Таблица шапка"/>
    <w:basedOn w:val="763"/>
    <w:qFormat/>
    <w:pPr>
      <w:keepNext w:val="true"/>
      <w:pBdr/>
      <w:spacing w:after="40" w:before="40"/>
      <w:ind w:right="57" w:left="57"/>
    </w:pPr>
    <w:rPr>
      <w:rFonts w:eastAsia="Calibri" w:cs="Times New Roman"/>
      <w:sz w:val="18"/>
      <w:szCs w:val="18"/>
      <w:lang w:eastAsia="ru-RU"/>
    </w:rPr>
  </w:style>
  <w:style w:type="paragraph" w:styleId="1008">
    <w:name w:val="Document Map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Инструкция"/>
    <w:basedOn w:val="763"/>
    <w:qFormat/>
    <w:pPr>
      <w:pBdr/>
      <w:spacing/>
      <w:ind w:firstLine="425"/>
      <w:jc w:val="both"/>
    </w:pPr>
    <w:rPr>
      <w:rFonts w:cs="Times New Roman"/>
    </w:rPr>
  </w:style>
  <w:style w:type="paragraph" w:styleId="1010" w:customStyle="1">
    <w:name w:val="Содержимое таблицы"/>
    <w:basedOn w:val="763"/>
    <w:qFormat/>
    <w:pPr>
      <w:widowControl w:val="false"/>
      <w:suppressLineNumbers w:val="true"/>
      <w:pBdr/>
      <w:spacing/>
      <w:ind/>
    </w:pPr>
  </w:style>
  <w:style w:type="paragraph" w:styleId="1011" w:customStyle="1">
    <w:name w:val="Заголовок таблицы"/>
    <w:basedOn w:val="1010"/>
    <w:qFormat/>
    <w:pPr>
      <w:pBdr/>
      <w:spacing/>
      <w:ind/>
      <w:jc w:val="center"/>
    </w:pPr>
    <w:rPr>
      <w:b/>
      <w:bCs/>
    </w:rPr>
  </w:style>
  <w:style w:type="paragraph" w:styleId="1012" w:customStyle="1">
    <w:name w:val="Колонтитул"/>
    <w:basedOn w:val="763"/>
    <w:qFormat/>
    <w:pPr>
      <w:pBdr/>
      <w:spacing/>
      <w:ind/>
    </w:pPr>
  </w:style>
  <w:style w:type="paragraph" w:styleId="1013" w:customStyle="1">
    <w:name w:val="Header and Footer"/>
    <w:basedOn w:val="763"/>
    <w:qFormat/>
    <w:pPr>
      <w:pBdr/>
      <w:spacing/>
      <w:ind/>
    </w:pPr>
  </w:style>
  <w:style w:type="paragraph" w:styleId="1014">
    <w:name w:val="Head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5">
    <w:name w:val="Foot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6" w:customStyle="1">
    <w:name w:val="Table Paragraph"/>
    <w:uiPriority w:val="1"/>
    <w:qFormat/>
    <w:pPr>
      <w:widowControl w:val="false"/>
      <w:pBdr/>
      <w:spacing w:before="48"/>
      <w:ind w:left="88"/>
    </w:pPr>
    <w:rPr>
      <w:rFonts w:ascii="Trebuchet MS" w:hAnsi="Trebuchet MS" w:eastAsia="Trebuchet MS" w:cs="Trebuchet MS"/>
    </w:rPr>
  </w:style>
  <w:style w:type="numbering" w:styleId="1017" w:customStyle="1">
    <w:name w:val="Без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10</cp:revision>
  <dcterms:created xsi:type="dcterms:W3CDTF">2026-03-12T06:42:00Z</dcterms:created>
  <dcterms:modified xsi:type="dcterms:W3CDTF">2026-06-04T13:39:48Z</dcterms:modified>
</cp:coreProperties>
</file>