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37"/>
        <w:spacing w:before="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Контракт № ____________________________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r/>
      <w:r/>
    </w:p>
    <w:p>
      <w:pPr>
        <w:pStyle w:val="9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Абакан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«__» ___________ 2026 года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142" w:firstLine="0"/>
        <w:rPr>
          <w:rFonts w:ascii="Tinos" w:hAnsi="Tinos" w:cs="Tinos"/>
        </w:rPr>
      </w:pPr>
      <w:r>
        <w:rPr>
          <w:rFonts w:ascii="Tinos" w:hAnsi="Tinos" w:eastAsia="Tinos" w:cs="Tinos"/>
          <w:b/>
        </w:rPr>
        <w:t xml:space="preserve">        </w:t>
      </w:r>
      <w:r>
        <w:rPr>
          <w:rFonts w:ascii="Tinos" w:hAnsi="Tinos" w:eastAsia="Tinos" w:cs="Tinos"/>
          <w:b/>
        </w:rPr>
        <w:t xml:space="preserve">       </w:t>
      </w:r>
      <w:r>
        <w:rPr>
          <w:rFonts w:ascii="Tinos" w:hAnsi="Tinos" w:eastAsia="Tinos" w:cs="Tinos"/>
          <w:b/>
          <w:i/>
          <w:color w:val="000000" w:themeColor="text1"/>
        </w:rPr>
        <w:t xml:space="preserve">Управление Федеральной службы государственной регистрации, кадастра и картографии по Республике Хакасия</w:t>
      </w:r>
      <w:r>
        <w:rPr>
          <w:rFonts w:ascii="Tinos" w:hAnsi="Tinos" w:eastAsia="Tinos" w:cs="Tinos"/>
          <w:color w:val="000000" w:themeColor="text1"/>
        </w:rPr>
        <w:t xml:space="preserve">, именуемое в дальнейшем «Заказчик», в лице руководителя Анисимовой Ольги Михайловны, действующей на основании Положения об Управлении Федеральной службы</w:t>
      </w:r>
      <w:r>
        <w:rPr>
          <w:rFonts w:ascii="Tinos" w:hAnsi="Tinos" w:eastAsia="Tinos" w:cs="Tinos"/>
          <w:color w:val="000000" w:themeColor="text1"/>
        </w:rPr>
        <w:t xml:space="preserve"> государственной регистрации, кадастра и картографии по Республике Хакасия, утвержденного приказом Росреестра от 06.04.2023 № П/0117 и Приказов Минэкономразвития РФ от 29.06.2009 № 988-л и от 11.06.2010 № 1186-л</w:t>
      </w:r>
      <w:r>
        <w:rPr>
          <w:rFonts w:ascii="Tinos" w:hAnsi="Tinos" w:eastAsia="Tinos" w:cs="Tinos"/>
        </w:rPr>
        <w:t xml:space="preserve">, с одной стороны,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nos" w:hAnsi="Tinos" w:eastAsia="Tinos" w:cs="Tinos"/>
        </w:rPr>
        <w:t xml:space="preserve">и 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___________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,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</w:rPr>
        <w:t xml:space="preserve">име</w:t>
      </w:r>
      <w:r>
        <w:rPr>
          <w:rFonts w:ascii="Tinos" w:hAnsi="Tinos" w:eastAsia="Tinos" w:cs="Tinos"/>
          <w:b/>
          <w:bCs/>
          <w:color w:val="000000"/>
          <w:sz w:val="24"/>
          <w:szCs w:val="24"/>
        </w:rPr>
        <w:t xml:space="preserve">нуемое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в дальнейшем 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«Исполнитель»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, в лице ______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, действующего на основании ______</w:t>
      </w:r>
      <w:r>
        <w:rPr>
          <w:rFonts w:ascii="Tinos" w:hAnsi="Tinos" w:eastAsia="Tinos" w:cs="Tinos"/>
        </w:rPr>
        <w:t xml:space="preserve">, с другой сторон</w:t>
      </w:r>
      <w:r>
        <w:rPr>
          <w:rFonts w:ascii="Times New Roman" w:hAnsi="Times New Roman" w:cs="Times New Roman"/>
        </w:rPr>
        <w:t xml:space="preserve">ы, вместе именуемые «Стороны», идентификационный кад закупки 261190106535819010100100100000000244, </w:t>
      </w:r>
      <w:r>
        <w:rPr>
          <w:rStyle w:val="958"/>
          <w:b/>
          <w:sz w:val="24"/>
          <w:szCs w:val="24"/>
        </w:rPr>
        <w:t xml:space="preserve">в соответствии с п. 4 ч. 1 ст. 93</w:t>
      </w:r>
      <w:r>
        <w:rPr>
          <w:rStyle w:val="958"/>
          <w:sz w:val="24"/>
          <w:szCs w:val="24"/>
        </w:rPr>
        <w:t xml:space="preserve"> Федерального закона от 05.04.2013г. № 44-ФЗ </w:t>
      </w:r>
      <w:r>
        <w:rPr>
          <w:rStyle w:val="958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нужд», заключили настоящий К</w:t>
      </w:r>
      <w:r>
        <w:rPr>
          <w:rFonts w:ascii="Times New Roman" w:hAnsi="Times New Roman" w:cs="Times New Roman"/>
        </w:rPr>
        <w:t xml:space="preserve">онтракт о нижеследующем: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737"/>
        <w:ind w:left="142"/>
        <w:spacing w:before="0" w:after="0"/>
        <w:rPr>
          <w:rFonts w:ascii="Times New Roman" w:hAnsi="Times New Roman" w:cs="Times New Roman"/>
          <w:color w:val="000000"/>
        </w:rPr>
      </w:pPr>
      <w:r/>
      <w:bookmarkStart w:id="0" w:name="undefined"/>
      <w:r>
        <w:rPr>
          <w:rFonts w:ascii="Times New Roman" w:hAnsi="Times New Roman" w:cs="Times New Roman"/>
          <w:color w:val="000000"/>
        </w:rPr>
        <w:t xml:space="preserve">1. ПРЕДМЕТ КОНТРАКТА </w:t>
      </w:r>
      <w:bookmarkEnd w:id="0"/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Заказчик поручает, а Исполнитель принимает на себя </w:t>
      </w:r>
      <w:r>
        <w:rPr>
          <w:rFonts w:ascii="Times New Roman" w:hAnsi="Times New Roman" w:cs="Times New Roman"/>
          <w:b/>
        </w:rPr>
        <w:t xml:space="preserve">оказание услуг </w:t>
      </w:r>
      <w:r>
        <w:rPr>
          <w:rFonts w:ascii="Times New Roman" w:hAnsi="Times New Roman" w:cs="Times New Roman"/>
          <w:b/>
        </w:rPr>
        <w:t xml:space="preserve">по утилизации </w:t>
      </w:r>
      <w:r>
        <w:rPr>
          <w:rFonts w:ascii="Times New Roman" w:hAnsi="Times New Roman" w:cs="Times New Roman"/>
        </w:rPr>
        <w:t xml:space="preserve">(далее – имущество), </w:t>
      </w:r>
      <w:r>
        <w:rPr>
          <w:rFonts w:ascii="Times New Roman" w:hAnsi="Times New Roman" w:cs="Times New Roman"/>
          <w:lang w:eastAsia="ar-SA"/>
        </w:rPr>
        <w:t xml:space="preserve">непригодное для дальнейшей эксплуатации Управлением Федеральной службы государственной регистрации, кадастра и картографии по Республики Хакасия. Утилизируется выбывшее из эксплуатации либо непригодное к использо</w:t>
      </w:r>
      <w:r>
        <w:rPr>
          <w:rFonts w:ascii="Times New Roman" w:hAnsi="Times New Roman" w:cs="Times New Roman"/>
          <w:lang w:eastAsia="ar-SA"/>
        </w:rPr>
        <w:t xml:space="preserve">ванию и списанное имущество, являющееся отходами I - IV классов опасности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tabs>
          <w:tab w:val="left" w:pos="1418" w:leader="none"/>
        </w:tabs>
        <w:rPr>
          <w:rFonts w:ascii="Times New Roman" w:hAnsi="Times New Roman" w:cs="Times New Roman"/>
          <w:bCs/>
        </w:rPr>
        <w:outlineLvl w:val="1"/>
      </w:pPr>
      <w:r>
        <w:rPr>
          <w:rFonts w:ascii="Times New Roman" w:hAnsi="Times New Roman" w:cs="Times New Roman"/>
        </w:rPr>
        <w:t xml:space="preserve">1.2. Приемка оборудования, подлежащего утил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изации, осуществляется Исполнителем по Акту приема-передачи по адресу: </w:t>
      </w:r>
      <w:r>
        <w:rPr>
          <w:rFonts w:ascii="Tinos" w:hAnsi="Tinos" w:eastAsia="Tinos" w:cs="Tinos"/>
          <w:b/>
          <w:color w:val="000000" w:themeColor="text1"/>
          <w:sz w:val="24"/>
          <w:szCs w:val="24"/>
        </w:rPr>
        <w:t xml:space="preserve">: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655017,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г. Абакан,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ул. Вяткина,12</w:t>
      </w:r>
      <w:r>
        <w:rPr>
          <w:rFonts w:ascii="Tinos" w:hAnsi="Tinos" w:eastAsia="Tinos" w:cs="Tinos"/>
          <w:bCs/>
          <w:iCs/>
          <w:color w:val="000000" w:themeColor="text1"/>
          <w:sz w:val="24"/>
          <w:szCs w:val="24"/>
        </w:rPr>
        <w:t xml:space="preserve"> в рабо</w:t>
      </w:r>
      <w:r>
        <w:rPr>
          <w:rFonts w:ascii="Times New Roman" w:hAnsi="Times New Roman" w:cs="Times New Roman"/>
          <w:bCs/>
          <w:iCs/>
        </w:rPr>
        <w:t xml:space="preserve">чие дни с 8.00 </w:t>
      </w:r>
      <w:r>
        <w:rPr>
          <w:rFonts w:ascii="Times New Roman" w:hAnsi="Times New Roman" w:cs="Times New Roman"/>
          <w:bCs/>
          <w:iCs/>
        </w:rPr>
        <w:t xml:space="preserve">до 17:00, в пятницу с 8.00 до 16.00 (обеденный перерыв с 12.00 до 12.45) </w:t>
      </w:r>
      <w:r>
        <w:rPr>
          <w:rFonts w:ascii="Times New Roman" w:hAnsi="Times New Roman" w:cs="Times New Roman"/>
          <w:bCs/>
        </w:rPr>
        <w:t xml:space="preserve">;</w:t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Срок оказания услуг: </w:t>
      </w:r>
      <w:r>
        <w:rPr>
          <w:rFonts w:ascii="Times New Roman" w:hAnsi="Times New Roman" w:cs="Times New Roman"/>
          <w:bCs/>
          <w:iCs/>
        </w:rPr>
        <w:t xml:space="preserve">в период с 18.08.2026 по 25.08.2026.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737"/>
        <w:ind w:left="142"/>
        <w:spacing w:before="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</w:t>
      </w:r>
      <w:bookmarkStart w:id="0" w:name="undefined"/>
      <w:r>
        <w:rPr>
          <w:rFonts w:ascii="Times New Roman" w:hAnsi="Times New Roman" w:cs="Times New Roman"/>
          <w:color w:val="000000"/>
        </w:rPr>
        <w:t xml:space="preserve">ПРАВА И ОБЯЗАННОСТИ СТОРОН</w:t>
      </w:r>
      <w:bookmarkEnd w:id="0"/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2.1. Исполнитель обязуется: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pacing w:val="-6"/>
        </w:rPr>
        <w:t xml:space="preserve">2.1.1.</w:t>
      </w:r>
      <w:r>
        <w:rPr>
          <w:rFonts w:ascii="Times New Roman" w:hAnsi="Times New Roman" w:cs="Times New Roman"/>
        </w:rPr>
        <w:t xml:space="preserve"> Оказать услуги, предусмотренные п</w:t>
      </w:r>
      <w:r>
        <w:rPr>
          <w:rFonts w:ascii="Times New Roman" w:hAnsi="Times New Roman" w:cs="Times New Roman"/>
        </w:rPr>
        <w:t xml:space="preserve">унктом 1.1 контракта, с соблюдением норм и правил, применяемых к услугам, являющимся предметом контракта, </w:t>
      </w:r>
      <w:r>
        <w:rPr>
          <w:rFonts w:ascii="Times New Roman" w:hAnsi="Times New Roman" w:cs="Times New Roman"/>
          <w:spacing w:val="-2"/>
        </w:rPr>
        <w:t xml:space="preserve">в течение срока, предусмотренного</w:t>
      </w:r>
      <w:r>
        <w:rPr>
          <w:rFonts w:ascii="Times New Roman" w:hAnsi="Times New Roman" w:cs="Times New Roman"/>
        </w:rPr>
        <w:t xml:space="preserve">               п. 1.3. контракта.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 Исполнитель должен иметь действующую лицензию на осуществление деятельност</w:t>
      </w:r>
      <w:r>
        <w:rPr>
          <w:rFonts w:ascii="Times New Roman" w:hAnsi="Times New Roman" w:cs="Times New Roman"/>
          <w:sz w:val="24"/>
          <w:szCs w:val="24"/>
        </w:rPr>
        <w:t xml:space="preserve">и по сбору, транспортированию, обработке, утилизации, обезвреживанию, размещению отходов I – IV классов опасности, с указанием вида работ (услуг) выполняемых (оказываемых) в составе лицензируемого вида деятельности, в соответствии с частью 2 статьи 12 Феде</w:t>
      </w:r>
      <w:r>
        <w:rPr>
          <w:rFonts w:ascii="Times New Roman" w:hAnsi="Times New Roman" w:cs="Times New Roman"/>
          <w:sz w:val="24"/>
          <w:szCs w:val="24"/>
        </w:rPr>
        <w:t xml:space="preserve">рального закона «О лицензировании отдельных видов деятельности» от 04.05.2011 № 99-ФЗ, Постановлением Правительства РФ от 26.12.2020 № 2290 «О лицензировании деятельности по сбору, транспортированию, обработке, утилизации, обезвреживанию, размещению  отход</w:t>
      </w:r>
      <w:r>
        <w:rPr>
          <w:rFonts w:ascii="Times New Roman" w:hAnsi="Times New Roman" w:cs="Times New Roman"/>
          <w:sz w:val="24"/>
          <w:szCs w:val="24"/>
        </w:rPr>
        <w:t xml:space="preserve">ов    I - IV классов опасности».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Требование установлено в соответствии с пунктом 30 части 1 статьи 12 Федерального Закона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от 04.05.2011 № 99-ФЗ «О лицензировании отдельных видов деятельности».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2.1.3.. Исполнитель в обязательном порядке должен иметь свиде</w:t>
      </w:r>
      <w:r>
        <w:rPr>
          <w:rFonts w:ascii="Times New Roman" w:hAnsi="Times New Roman" w:cs="Times New Roman"/>
          <w:sz w:val="24"/>
          <w:szCs w:val="24"/>
        </w:rPr>
        <w:t xml:space="preserve">тельство (уведомление) о постановке на специальный учет (вместе с картой специального учета), выданное Российской государственной пробирной палатой при Министерстве финансов Российской Федерации (в соответствии с Постановлением Правительства РФ от 01.10.20</w:t>
      </w:r>
      <w:r>
        <w:rPr>
          <w:rFonts w:ascii="Times New Roman" w:hAnsi="Times New Roman" w:cs="Times New Roman"/>
          <w:sz w:val="24"/>
          <w:szCs w:val="24"/>
        </w:rPr>
        <w:t xml:space="preserve">15 № 1052 «О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камнями»).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Исполнитель в обязательном порядке должен иметь действующую лицензию на осуществлени</w:t>
      </w:r>
      <w:r>
        <w:rPr>
          <w:rFonts w:ascii="Times New Roman" w:hAnsi="Times New Roman" w:cs="Times New Roman"/>
          <w:sz w:val="24"/>
          <w:szCs w:val="24"/>
        </w:rPr>
        <w:t xml:space="preserve">е деятельности по обработке (переработке) лома и отходов драгоценных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</w:t>
      </w:r>
      <w:r>
        <w:rPr>
          <w:rFonts w:ascii="Times New Roman" w:hAnsi="Times New Roman" w:cs="Times New Roman"/>
          <w:sz w:val="24"/>
          <w:szCs w:val="24"/>
        </w:rPr>
        <w:t xml:space="preserve">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производителю), выданную Российской государственной пробирной палатой при Министерстве финансов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 (в соответствии со ст. 14 ФЗ от 04.05.2011 № 99-ФЗ «О лицензировании отдельных видов деятельности» и постановлением Правительства РФ от 20.03.2020 № 307 «О Федеральной пробирной палате», </w:t>
      </w:r>
      <w:r>
        <w:rPr>
          <w:rFonts w:ascii="Times New Roman" w:hAnsi="Times New Roman" w:cs="Times New Roman"/>
          <w:sz w:val="24"/>
          <w:szCs w:val="24"/>
        </w:rPr>
        <w:t xml:space="preserve">позволяющая предоставлять после утилизации паспорт о соде</w:t>
      </w:r>
      <w:r>
        <w:rPr>
          <w:rFonts w:ascii="Times New Roman" w:hAnsi="Times New Roman" w:cs="Times New Roman"/>
          <w:sz w:val="24"/>
          <w:szCs w:val="24"/>
        </w:rPr>
        <w:t xml:space="preserve">ржании драгоценных металлов в утилизированном оборудовании.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</w:t>
      </w:r>
      <w:r>
        <w:rPr>
          <w:rFonts w:ascii="Times New Roman" w:hAnsi="Times New Roman" w:cs="Times New Roman"/>
          <w:sz w:val="24"/>
          <w:szCs w:val="24"/>
        </w:rPr>
        <w:t xml:space="preserve">. Исполнитель должен оказывать услуги в соответствии с действующим законодательством, регламентирующим вопросы утилизации электронного лома от ПЭВМ и оргтехники, утвержденным на данный вид услуг: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•Федеральный закон от 24.06.1998 № 89-ФЗ «Об отходах произво</w:t>
      </w:r>
      <w:r>
        <w:rPr>
          <w:rFonts w:ascii="Times New Roman" w:hAnsi="Times New Roman" w:cs="Times New Roman"/>
          <w:sz w:val="24"/>
          <w:szCs w:val="24"/>
        </w:rPr>
        <w:t xml:space="preserve">дства и потребления» (ред. от 26.12.2024г.);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•Федеральный закон от 26.03.1998 № 41-ФЗ «О драгоценных металлах и драгоценных камнях» ред. от 22.07.2024г,);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•Постановление Правительства РФ от 26.12.2020 № 2290 «О лицензировании деятельности по сбору, транспо</w:t>
      </w:r>
      <w:r>
        <w:rPr>
          <w:rFonts w:ascii="Times New Roman" w:hAnsi="Times New Roman" w:cs="Times New Roman"/>
          <w:sz w:val="24"/>
          <w:szCs w:val="24"/>
        </w:rPr>
        <w:t xml:space="preserve">ртированию, обработке, утилизации, обезвреживанию, размещению отходов I - IV классов опасности»;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•Постановление Правительства РФ № 731 от 28.09.2000 «Об утверждении правил учета и хранения драгоценных металлов, драгоценных камней и продукции из них, а такж</w:t>
      </w:r>
      <w:r>
        <w:rPr>
          <w:rFonts w:ascii="Times New Roman" w:hAnsi="Times New Roman" w:cs="Times New Roman"/>
          <w:sz w:val="24"/>
          <w:szCs w:val="24"/>
        </w:rPr>
        <w:t xml:space="preserve">е ведения соответствующей отчетности»;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•Приказ Минфина России от 09.12.2016 № 231н «Об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</w:t>
      </w:r>
      <w:r>
        <w:rPr>
          <w:rFonts w:ascii="Times New Roman" w:hAnsi="Times New Roman" w:cs="Times New Roman"/>
          <w:sz w:val="24"/>
          <w:szCs w:val="24"/>
        </w:rPr>
        <w:t xml:space="preserve">ращении»;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•Федеральный закон от 29.07.1998 № 135-ФЗ «Об оценочной деятельности в Российской Федерации»;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•Федеральный закон от 30.03.1999 № 52-ФЗ «О санитарно-эпидемиологическом благополучии населения»;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•Федеральный закон от 10.01.2002 № 7-ФЗ «Об охране окр</w:t>
      </w:r>
      <w:r>
        <w:rPr>
          <w:rFonts w:ascii="Times New Roman" w:hAnsi="Times New Roman" w:cs="Times New Roman"/>
          <w:sz w:val="24"/>
          <w:szCs w:val="24"/>
        </w:rPr>
        <w:t xml:space="preserve">ужающей среды».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6"/>
        <w:ind w:left="142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2.3.3. Сохранять конфиденциальность любой информации, ставшей ему известной при исполнении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8"/>
        <w:ind w:left="142"/>
        <w:rPr>
          <w:szCs w:val="24"/>
        </w:rPr>
      </w:pPr>
      <w:r>
        <w:rPr>
          <w:szCs w:val="24"/>
        </w:rPr>
        <w:t xml:space="preserve">2.3.4. Выполнить в полном объёме все свои обязательства, предусмотренные контрактом.</w:t>
      </w:r>
      <w:r>
        <w:rPr>
          <w:szCs w:val="24"/>
        </w:rPr>
      </w:r>
      <w:r>
        <w:rPr>
          <w:szCs w:val="24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2.3.5. Своевременно предоставлять достоверную информа</w:t>
      </w:r>
      <w:r>
        <w:rPr>
          <w:rFonts w:ascii="Times New Roman" w:hAnsi="Times New Roman" w:cs="Times New Roman"/>
        </w:rPr>
        <w:t xml:space="preserve">цию о ходе исполнения своих обязательств, в том числе о сложностях, возникающих при исполнении контракта, а также к установленному контрактом сроку предоставить Заказчику результаты оказанных услуг, предусмотренные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2.3.6. Исполнитель собственны</w:t>
      </w:r>
      <w:r>
        <w:rPr>
          <w:rFonts w:ascii="Times New Roman" w:hAnsi="Times New Roman" w:cs="Times New Roman"/>
          <w:b/>
        </w:rPr>
        <w:t xml:space="preserve">ми силами и за свой счет обязан произвести погрузку оборудования со склада Заказчика по адр</w:t>
      </w:r>
      <w:r>
        <w:rPr>
          <w:rFonts w:ascii="Times New Roman" w:hAnsi="Times New Roman" w:cs="Times New Roman"/>
          <w:b/>
          <w:bCs/>
        </w:rPr>
        <w:t xml:space="preserve">есу: 655017,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</w:rPr>
        <w:t xml:space="preserve">г. Абакан,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  <w:t xml:space="preserve">ул. Вяткина, 12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и его транспортировку до склада Исполнителя. 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941"/>
        <w:ind w:left="142"/>
        <w:jc w:val="both"/>
        <w:spacing w:before="0" w:beforeAutospacing="0" w:after="0" w:afterAutospacing="0"/>
      </w:pPr>
      <w:r>
        <w:t xml:space="preserve">2.3.7. В течение 5 (пяти) рабочих дней с момента оказания услуг предост</w:t>
      </w:r>
      <w:r>
        <w:t xml:space="preserve">авляет Заказчику подписанные со своей стороны Акт об оказании услуг в 2 (двух) экземплярах, с приложением к нему Паспорта разборки оборудования по форме, согласно Приложения №5 к настоящему контракту.</w:t>
      </w:r>
      <w:r/>
    </w:p>
    <w:p>
      <w:pPr>
        <w:ind w:left="142" w:firstLine="0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2.3.8. </w:t>
      </w:r>
      <w:r>
        <w:rPr>
          <w:rFonts w:ascii="Times New Roman" w:hAnsi="Times New Roman" w:cs="Times New Roman"/>
          <w:lang w:eastAsia="ar-SA"/>
        </w:rPr>
        <w:t xml:space="preserve">Исполнитель в случае наличия в утилизируемом обо</w:t>
      </w:r>
      <w:r>
        <w:rPr>
          <w:rFonts w:ascii="Times New Roman" w:hAnsi="Times New Roman" w:cs="Times New Roman"/>
          <w:lang w:eastAsia="ar-SA"/>
        </w:rPr>
        <w:t xml:space="preserve">рудовании, драгоценных металлов предоставляет Заказчику паспорт о количественном содержании драгоценных металлов.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Расчеты с Заказчиком за сданный лом драгоценных металлов производятся Исполнителем в течение 5 рабочих дней, после получения Заказчиком справ</w:t>
      </w:r>
      <w:r>
        <w:rPr>
          <w:rFonts w:ascii="Times New Roman" w:hAnsi="Times New Roman" w:cs="Times New Roman"/>
          <w:lang w:eastAsia="ar-SA"/>
        </w:rPr>
        <w:t xml:space="preserve">ки о содержании драгоценных металлов в утилизированных объектах Управления, по фактическому количеству металлов. Расчеты с Заказчиком производятся по ценам, установленным Центральным Банком Российской Федерации на момент оплаты. Расчеты производятся в рубл</w:t>
      </w:r>
      <w:r>
        <w:rPr>
          <w:rFonts w:ascii="Times New Roman" w:hAnsi="Times New Roman" w:cs="Times New Roman"/>
          <w:lang w:eastAsia="ar-SA"/>
        </w:rPr>
        <w:t xml:space="preserve">ях в безналичной форме, путем перечисления денежных средств на реквизиты Управления, уточняются дополнительно.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2.3.10. В случае отсутствия драгоценных металлов в утилизируемой технике предоставить Акт (паспорт – расчет) об отсутствии в утилизированной парт</w:t>
      </w:r>
      <w:r>
        <w:rPr>
          <w:rFonts w:ascii="Times New Roman" w:hAnsi="Times New Roman" w:cs="Times New Roman"/>
        </w:rPr>
        <w:t xml:space="preserve">ии</w:t>
      </w:r>
      <w:r>
        <w:rPr>
          <w:rFonts w:ascii="Times New Roman" w:hAnsi="Times New Roman" w:cs="Times New Roman"/>
          <w:spacing w:val="-2"/>
        </w:rPr>
        <w:t xml:space="preserve"> техники</w:t>
      </w:r>
      <w:r>
        <w:rPr>
          <w:rFonts w:ascii="Times New Roman" w:hAnsi="Times New Roman" w:cs="Times New Roman"/>
        </w:rPr>
        <w:t xml:space="preserve"> драгоценных металлов.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2.4. Исполнитель имеет право: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Самостоятельно определять порядок оказания услуг по настоящему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tabs>
          <w:tab w:val="left" w:pos="720" w:leader="none"/>
          <w:tab w:val="left" w:pos="830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Привлекать к оказанию услуг третьих лиц. При этом ответственность за действия третьих лиц несет Исполнит</w:t>
      </w:r>
      <w:r>
        <w:rPr>
          <w:rFonts w:ascii="Times New Roman" w:hAnsi="Times New Roman" w:cs="Times New Roman"/>
        </w:rPr>
        <w:t xml:space="preserve">ель.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tabs>
          <w:tab w:val="left" w:pos="720" w:leader="none"/>
          <w:tab w:val="left" w:pos="830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Получать от Заказчика разъяснения по всем вопросам, возникающим в ходе оказания услуг, и любую дополнительную информацию, необходимую для выполнения своих обязательств по настоящему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tabs>
          <w:tab w:val="left" w:pos="720" w:leader="none"/>
          <w:tab w:val="left" w:pos="830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Накапливать электронный лом, в том числе по</w:t>
      </w:r>
      <w:r>
        <w:rPr>
          <w:rFonts w:ascii="Times New Roman" w:hAnsi="Times New Roman" w:cs="Times New Roman"/>
        </w:rPr>
        <w:t xml:space="preserve">лученный от Заказчика в составе утилизируемого оборудования, до необходимого минимального количества для переработки, согласно условиям </w:t>
      </w:r>
      <w:r>
        <w:rPr>
          <w:rFonts w:ascii="Times New Roman" w:hAnsi="Times New Roman" w:cs="Times New Roman"/>
        </w:rPr>
        <w:t xml:space="preserve">аффинажных предприятий.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7"/>
        <w:numPr>
          <w:ilvl w:val="2"/>
          <w:numId w:val="8"/>
        </w:numPr>
        <w:ind w:left="142" w:firstLine="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Досрочно исполнить свои обязательства по настоящему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142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2.5. Заказчик обязуется: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2.5.1. </w:t>
      </w:r>
      <w:r>
        <w:rPr>
          <w:rFonts w:ascii="Times New Roman" w:hAnsi="Times New Roman" w:cs="Times New Roman"/>
        </w:rPr>
        <w:t xml:space="preserve">Оплатить стоимость оказанных услуг в сроки и в порядке, установленном настоящим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2.5.2. В течение 5 (пяти) рабочих дней со дня получения от Исполнителя Акта об оказании услуг и Паспорта разборки оборудования, подписать указанные документы и верн</w:t>
      </w:r>
      <w:r>
        <w:rPr>
          <w:rFonts w:ascii="Times New Roman" w:hAnsi="Times New Roman" w:cs="Times New Roman"/>
        </w:rPr>
        <w:t xml:space="preserve">уть по одному экземпляру Исполнителю, или направить Исполнителю мотивированный отказ от подписания.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2.5.3. Предоставить Исполнителю сведения, материалы и документы, необходимые для надлежащего оказания услуг.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2.5.4. Сообщать в письменной форме Исполнителю </w:t>
      </w:r>
      <w:r>
        <w:rPr>
          <w:rFonts w:ascii="Times New Roman" w:hAnsi="Times New Roman" w:cs="Times New Roman"/>
        </w:rPr>
        <w:t xml:space="preserve">о недостатках, обнаруженных в ходе оказания услуг, в течение 3 (трех) рабочих дней после обнаружения таких недостатков.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2.5.5. В случае наличия претензий по качеству и (или) объему оказанных услуг предоставить Исполнителю письменный мотивированный отказ о</w:t>
      </w:r>
      <w:r>
        <w:rPr>
          <w:rFonts w:ascii="Times New Roman" w:hAnsi="Times New Roman" w:cs="Times New Roman"/>
        </w:rPr>
        <w:t xml:space="preserve">т подписания акта сдачи-приемки оказанных услуг. Мотивированный отказ должен быть предоставлен не позднее 5 (пяти) рабочих дней с момента получения Заказчиком подписанного Исполнителем акта сдачи-приемки оказанных услуг. В случае мотивированного отказа Зак</w:t>
      </w:r>
      <w:r>
        <w:rPr>
          <w:rFonts w:ascii="Times New Roman" w:hAnsi="Times New Roman" w:cs="Times New Roman"/>
        </w:rPr>
        <w:t xml:space="preserve">азчика от приемки услуг, Сторонами в течение 5 (пяти) рабочих дней с момента получения Исполнителем мотивированного отказа, составляется двухсторонний акт с перечнем необходимых доработок и сроков их выполнения.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2.6. Заказчик имеет право: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2.6.1. Во всякое</w:t>
      </w:r>
      <w:r>
        <w:rPr>
          <w:rFonts w:ascii="Times New Roman" w:hAnsi="Times New Roman" w:cs="Times New Roman"/>
        </w:rPr>
        <w:t xml:space="preserve"> время проверять ход и качество услуг, оказываемых Исполнителем, не вмешиваясь в его деятельность.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2.6.2. Получать от Исполнителя устные и письменные объяснения о ходе исполнения обязательств по настоящему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2.6.3. Требовать от Исполнителя надлежа</w:t>
      </w:r>
      <w:r>
        <w:rPr>
          <w:rFonts w:ascii="Times New Roman" w:hAnsi="Times New Roman" w:cs="Times New Roman"/>
        </w:rPr>
        <w:t xml:space="preserve">щего выполнения обязательств по настоящему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2.6.4. </w:t>
      </w:r>
      <w:r>
        <w:rPr>
          <w:rFonts w:ascii="Times New Roman" w:hAnsi="Times New Roman" w:cs="Times New Roman"/>
          <w:color w:val="000000"/>
        </w:rPr>
        <w:t xml:space="preserve">П</w:t>
      </w:r>
      <w:r>
        <w:rPr>
          <w:rFonts w:ascii="Times New Roman" w:hAnsi="Times New Roman" w:cs="Times New Roman"/>
          <w:bCs/>
          <w:iCs/>
          <w:color w:val="000000"/>
        </w:rPr>
        <w:t xml:space="preserve">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</w:t>
      </w:r>
      <w:r>
        <w:rPr>
          <w:rFonts w:ascii="Times New Roman" w:hAnsi="Times New Roman" w:cs="Times New Roman"/>
          <w:bCs/>
          <w:iCs/>
          <w:color w:val="000000"/>
        </w:rPr>
        <w:t xml:space="preserve">сполнения Исполнителем обязательств, предусмотренных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ЦЕНА КОНТРАКТА И ПОРЯДОК РАСЧЕТОВ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3.1. Стоимость услуг по настоящему контракту составляет: _______</w:t>
      </w:r>
      <w:r>
        <w:rPr>
          <w:rFonts w:ascii="Times New Roman" w:hAnsi="Times New Roman" w:cs="Times New Roman"/>
          <w:b/>
        </w:rPr>
        <w:t xml:space="preserve">, НДС ____%.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Цена настоящего Контракта вклю</w:t>
      </w:r>
      <w:r>
        <w:rPr>
          <w:rFonts w:ascii="Times New Roman" w:hAnsi="Times New Roman" w:cs="Times New Roman"/>
        </w:rPr>
        <w:t xml:space="preserve">чает в себя все расходы, связанные с исполнением настоящего Контракта, в том числе транспортные расходы и расходы на уплату налогов, сборов и других обязательных платежей.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Цена контракта является твердой, определяется на весь срок исполнения контракта</w:t>
      </w:r>
      <w:r>
        <w:rPr>
          <w:rFonts w:ascii="Times New Roman" w:hAnsi="Times New Roman" w:cs="Times New Roman"/>
        </w:rPr>
        <w:t xml:space="preserve"> и не может изменяться в ходе его исполнения.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tabs>
          <w:tab w:val="left" w:pos="142" w:leader="none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3.4. Источник финансирования: федеральный бюджет. </w:t>
      </w:r>
      <w:r>
        <w:rPr>
          <w:rFonts w:ascii="Times New Roman" w:hAnsi="Times New Roman" w:cs="Times New Roman"/>
          <w:b/>
          <w:i/>
        </w:rPr>
      </w:r>
      <w:r>
        <w:rPr>
          <w:rFonts w:ascii="Times New Roman" w:hAnsi="Times New Roman" w:cs="Times New Roman"/>
          <w:b/>
          <w:i/>
        </w:rPr>
      </w:r>
    </w:p>
    <w:p>
      <w:pPr>
        <w:ind w:left="142" w:firstLine="0"/>
        <w:tabs>
          <w:tab w:val="left" w:pos="142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Оплата за услуги производится путем безналичного перечисления денежных средств на расчётный счёт Исполнителя на основании Акта сдачи-приемки оказанных усл</w:t>
      </w:r>
      <w:r>
        <w:rPr>
          <w:rFonts w:ascii="Times New Roman" w:hAnsi="Times New Roman" w:cs="Times New Roman"/>
        </w:rPr>
        <w:t xml:space="preserve">уг в течение 10 (десяти) рабочих дней с момента подписания его Заказчиком.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tabs>
          <w:tab w:val="left" w:pos="142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Днем оплаты считается день списания денежных средств со счета Заказчика.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color w:val="ffffff"/>
        </w:rPr>
      </w:pPr>
      <w:r>
        <w:rPr>
          <w:rFonts w:ascii="Times New Roman" w:hAnsi="Times New Roman" w:cs="Times New Roman"/>
          <w:color w:val="ffffff"/>
        </w:rPr>
      </w:r>
      <w:r>
        <w:rPr>
          <w:rFonts w:ascii="Times New Roman" w:hAnsi="Times New Roman" w:cs="Times New Roman"/>
          <w:color w:val="ffffff"/>
        </w:rPr>
      </w:r>
      <w:r>
        <w:rPr>
          <w:rFonts w:ascii="Times New Roman" w:hAnsi="Times New Roman" w:cs="Times New Roman"/>
          <w:color w:val="ffffff"/>
        </w:rPr>
      </w:r>
    </w:p>
    <w:p>
      <w:pPr>
        <w:ind w:left="142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ПОРЯДОК ОКАЗАНИЯ УСЛУГ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46"/>
        <w:ind w:left="142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>
        <w:rPr>
          <w:rFonts w:ascii="Times New Roman" w:hAnsi="Times New Roman"/>
          <w:b/>
          <w:sz w:val="24"/>
          <w:szCs w:val="24"/>
        </w:rPr>
        <w:t xml:space="preserve">Начало оказания услуг:</w:t>
      </w:r>
      <w:r>
        <w:rPr>
          <w:rFonts w:ascii="Times New Roman" w:hAnsi="Times New Roman"/>
          <w:sz w:val="24"/>
          <w:szCs w:val="24"/>
        </w:rPr>
        <w:t xml:space="preserve"> с момента передачи имущества по акту приема-передачи имущества. Акт приема-передачи имущества для оказания услуг должен быть подписан Сторонами в течение 5 (пяти) рабочих дней с момента подписания Контракта Сторонами. Время оказания услуг устанавливается </w:t>
      </w:r>
      <w:r>
        <w:rPr>
          <w:rFonts w:ascii="Times New Roman" w:hAnsi="Times New Roman"/>
          <w:sz w:val="24"/>
          <w:szCs w:val="24"/>
        </w:rPr>
        <w:t xml:space="preserve">по согласованию с Заказчиком.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6"/>
        <w:ind w:left="142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Передача утилизируемой техники Заказчиком Исполнителю может осуществляться партиями. Заявка от Заказчика на поставку/отгрузку каждой партии оборудования и сроки поставки/отгрузки каждой партии Оборудования согласовываются</w:t>
      </w:r>
      <w:r>
        <w:rPr>
          <w:rFonts w:ascii="Times New Roman" w:hAnsi="Times New Roman"/>
          <w:sz w:val="24"/>
          <w:szCs w:val="24"/>
        </w:rPr>
        <w:t xml:space="preserve"> Сторонами по электронной почте Исполнителя – </w:t>
      </w:r>
      <w:hyperlink r:id="rId14" w:tooltip="http://tender@edincentrutil.com" w:history="1">
        <w:r>
          <w:rPr>
            <w:rStyle w:val="909"/>
            <w:rFonts w:ascii="Roboto" w:hAnsi="Roboto" w:eastAsia="Roboto" w:cs="Roboto"/>
            <w:sz w:val="21"/>
          </w:rPr>
          <w:t xml:space="preserve">________</w:t>
        </w:r>
      </w:hyperlink>
      <w:r>
        <w:rPr>
          <w:rFonts w:ascii="Times New Roman" w:hAnsi="Times New Roman"/>
          <w:sz w:val="24"/>
          <w:szCs w:val="24"/>
        </w:rPr>
        <w:t xml:space="preserve"> и электронной почте Заказчика – mtotz@yandex.ru,   ответственными представителями Сторон.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6"/>
        <w:ind w:left="142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Приемка оборудования осуществляется по месту нахождения Заказчика и оформляется Актом приема-пе</w:t>
      </w:r>
      <w:r>
        <w:rPr>
          <w:rFonts w:ascii="Times New Roman" w:hAnsi="Times New Roman"/>
          <w:sz w:val="24"/>
          <w:szCs w:val="24"/>
        </w:rPr>
        <w:t xml:space="preserve">редачи, подписываемым уполномоченными представителями Сторон. Акт приема-передачи составляется в 2 (двух) экземплярах для каждой из Сторон.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0"/>
        <w:ind w:left="142" w:firstLine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случае, если приемка </w:t>
      </w:r>
      <w:r>
        <w:rPr>
          <w:rFonts w:ascii="Times New Roman" w:hAnsi="Times New Roman" w:cs="Times New Roman"/>
        </w:rPr>
        <w:t xml:space="preserve">утилизируемого оборудования Исполнителем</w:t>
      </w:r>
      <w:r>
        <w:rPr>
          <w:rFonts w:ascii="Times New Roman" w:hAnsi="Times New Roman" w:cs="Times New Roman"/>
          <w:color w:val="000000"/>
        </w:rPr>
        <w:t xml:space="preserve"> осуществляется партиями, Акт приема-передачи оформля</w:t>
      </w:r>
      <w:r>
        <w:rPr>
          <w:rFonts w:ascii="Times New Roman" w:hAnsi="Times New Roman" w:cs="Times New Roman"/>
          <w:color w:val="000000"/>
        </w:rPr>
        <w:t xml:space="preserve">ется на каждую партию</w:t>
      </w:r>
      <w:r>
        <w:rPr>
          <w:rFonts w:ascii="Times New Roman" w:hAnsi="Times New Roman" w:cs="Times New Roman"/>
        </w:rPr>
        <w:t xml:space="preserve"> утилизируемого оборудования</w:t>
      </w: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50"/>
        <w:ind w:left="142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4.3. </w:t>
      </w:r>
      <w:r>
        <w:rPr>
          <w:rFonts w:ascii="Times New Roman" w:hAnsi="Times New Roman" w:cs="Times New Roman"/>
        </w:rPr>
        <w:t xml:space="preserve">Заказчик гарантирует, что оборудование, передаваемое Исполнителю, принадлежит Заказчику на праве собственности, свободное от любых прав и притязаний со стороны третьих лиц, в том числе не обременено з</w:t>
      </w:r>
      <w:r>
        <w:rPr>
          <w:rFonts w:ascii="Times New Roman" w:hAnsi="Times New Roman" w:cs="Times New Roman"/>
        </w:rPr>
        <w:t xml:space="preserve">алоговыми обязательствами, не состоит под арестом и не является объектом контракта аренды, финансовой аренды (лизинга), заключенных с третьими лицами.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50"/>
        <w:ind w:left="142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Заказчик гарантирует пожаро-взрыво-безопасность оборудования, отсутствие в ней отравляющих и радиоа</w:t>
      </w:r>
      <w:r>
        <w:rPr>
          <w:rFonts w:ascii="Times New Roman" w:hAnsi="Times New Roman" w:cs="Times New Roman"/>
        </w:rPr>
        <w:t xml:space="preserve">ктивных веществ.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50"/>
        <w:ind w:left="142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Заказчик не имеет данных о содержании (наличии или отсутствии) драгоценных металлов в Оборудовании, передаваемом для утилизации, если иное не указано в соответствующем Акте приема-передачи.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50"/>
        <w:ind w:left="142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Цена драгоценных металлов, выделенных и</w:t>
      </w:r>
      <w:r>
        <w:rPr>
          <w:rFonts w:ascii="Times New Roman" w:hAnsi="Times New Roman" w:cs="Times New Roman"/>
        </w:rPr>
        <w:t xml:space="preserve">з оборудования, переданного Заказчиком Исполнителю, согласно настоящего контракта, определяется исходя из цены покупки драгоценных металлов Центральным банком РФ, за вычетом полной стоимости переработки (утилизации) лома и отходов по категориям сырья. Обра</w:t>
      </w:r>
      <w:r>
        <w:rPr>
          <w:rFonts w:ascii="Times New Roman" w:hAnsi="Times New Roman" w:cs="Times New Roman"/>
        </w:rPr>
        <w:t xml:space="preserve">ботанное сырье содержащее драгоценные металлы в виде концентратов сдается Исполнителем на аффинажные предприятия (ВДМ</w:t>
      </w:r>
      <w:r>
        <w:rPr>
          <w:rFonts w:ascii="Times New Roman" w:hAnsi="Times New Roman" w:cs="Times New Roman"/>
          <w:i/>
        </w:rPr>
        <w:t xml:space="preserve">),</w:t>
      </w:r>
      <w:r>
        <w:rPr>
          <w:rFonts w:ascii="Times New Roman" w:hAnsi="Times New Roman" w:cs="Times New Roman"/>
        </w:rPr>
        <w:t xml:space="preserve"> которые в свою очередь сдают аффинированный металл в Госфонд. Обработанное сырье черных и цветных металлов сдается Исполнителем на метал</w:t>
      </w:r>
      <w:r>
        <w:rPr>
          <w:rFonts w:ascii="Times New Roman" w:hAnsi="Times New Roman" w:cs="Times New Roman"/>
        </w:rPr>
        <w:t xml:space="preserve">лоприемные предприятия по ценам, сформировавшимся в данном регионе.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7"/>
        <w:ind w:left="142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В связи с тем, что заводы ВДМ принимают на переработку платы партией не менее 1 тонны и не производят разделения внутри партии сырья, в случае, если размер партии плат из оборудования</w:t>
      </w:r>
      <w:r>
        <w:rPr>
          <w:rFonts w:ascii="Times New Roman" w:hAnsi="Times New Roman"/>
          <w:sz w:val="24"/>
          <w:szCs w:val="24"/>
        </w:rPr>
        <w:t xml:space="preserve"> Заказчика менее 1 тонны, содержание драгоценных металлов в оборудовании Заказчика производится пропорционально доле плат из оборудования Заказчика в общем весе плат в партии. Исполнитель оформляет общий Акт (паспорт - расчет), являющийся основанием для фи</w:t>
      </w:r>
      <w:r>
        <w:rPr>
          <w:rFonts w:ascii="Times New Roman" w:hAnsi="Times New Roman"/>
          <w:sz w:val="24"/>
          <w:szCs w:val="24"/>
        </w:rPr>
        <w:t xml:space="preserve">нансовых расчетов.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67"/>
        <w:ind w:left="142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стоимости драгоценных металлов и цветных металлов по каждой партии производится по ценам, действующим на день перечисления Исполнителю денежных средств специализированными перерабатывающими предприятиями.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67"/>
        <w:ind w:left="142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содержании драгоценн</w:t>
      </w:r>
      <w:r>
        <w:rPr>
          <w:rFonts w:ascii="Times New Roman" w:hAnsi="Times New Roman"/>
          <w:sz w:val="24"/>
          <w:szCs w:val="24"/>
        </w:rPr>
        <w:t xml:space="preserve">ых металлов в оборудовании ниже 0,05%, а также менее 20% цветных металлов в оборудовании, металл оплате не подлежит, количество драгоценных металлов отражается в Акте (паспорт - расчет).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37"/>
        <w:ind w:left="142"/>
        <w:spacing w:before="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 </w:t>
      </w:r>
      <w:bookmarkStart w:id="0" w:name="undefined"/>
      <w:r>
        <w:rPr>
          <w:rFonts w:ascii="Times New Roman" w:hAnsi="Times New Roman" w:cs="Times New Roman"/>
          <w:color w:val="000000"/>
        </w:rPr>
        <w:t xml:space="preserve">ОТВЕТСТВЕННОСТЬ СТОРОН</w:t>
      </w:r>
      <w:bookmarkEnd w:id="0"/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5.1. За неисполнение или ненадлежащее испо</w:t>
      </w:r>
      <w:r>
        <w:rPr>
          <w:rFonts w:ascii="Times New Roman" w:hAnsi="Times New Roman" w:cs="Times New Roman"/>
          <w:color w:val="000000"/>
        </w:rPr>
        <w:t xml:space="preserve">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5.2. Неустойка по Контракту выплачивается на основании обоснованного письменного требования Стор</w:t>
      </w:r>
      <w:r>
        <w:rPr>
          <w:rFonts w:ascii="Times New Roman" w:hAnsi="Times New Roman" w:cs="Times New Roman"/>
          <w:color w:val="000000"/>
        </w:rPr>
        <w:t xml:space="preserve">оны.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5.3. Ответственность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  <w:color w:val="000000"/>
        </w:rPr>
        <w:t xml:space="preserve">аказчика: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5.3.1.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  <w:color w:val="000000"/>
        </w:rPr>
        <w:t xml:space="preserve">аказчиком обязательств, предусмотренных Контрактом, Исполнитель вправе потребовать уплаты неустоек (штрафов, пеней).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</w:t>
      </w:r>
      <w:r>
        <w:rPr>
          <w:rFonts w:ascii="Times New Roman" w:hAnsi="Times New Roman" w:cs="Times New Roman"/>
          <w:color w:val="000000"/>
        </w:rPr>
        <w:t xml:space="preserve">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5.3.2. З</w:t>
      </w:r>
      <w:r>
        <w:rPr>
          <w:rFonts w:ascii="Times New Roman" w:hAnsi="Times New Roman" w:cs="Times New Roman"/>
          <w:color w:val="000000"/>
        </w:rPr>
        <w:t xml:space="preserve">а каждый факт неисполнения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  <w:color w:val="000000"/>
        </w:rPr>
        <w:t xml:space="preserve"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соответствии с  Правилами</w:t>
      </w:r>
      <w:r>
        <w:rPr>
          <w:rStyle w:val="962"/>
          <w:rFonts w:ascii="Times New Roman" w:hAnsi="Times New Roman"/>
          <w:color w:val="000000"/>
        </w:rPr>
        <w:footnoteReference w:id="2"/>
      </w:r>
      <w:r>
        <w:rPr>
          <w:rFonts w:ascii="Times New Roman" w:hAnsi="Times New Roman" w:cs="Times New Roman"/>
          <w:color w:val="000000"/>
        </w:rPr>
        <w:t xml:space="preserve"> в размере </w:t>
      </w:r>
      <w:r>
        <w:rPr>
          <w:rFonts w:ascii="Times New Roman" w:hAnsi="Times New Roman" w:cs="Times New Roman"/>
          <w:bCs/>
          <w:color w:val="000000"/>
        </w:rPr>
        <w:t xml:space="preserve">1 000,00 рублей (Одна тысяча </w:t>
      </w:r>
      <w:r>
        <w:rPr>
          <w:rFonts w:ascii="Times New Roman" w:hAnsi="Times New Roman" w:cs="Times New Roman"/>
          <w:bCs/>
          <w:color w:val="000000"/>
        </w:rPr>
        <w:t xml:space="preserve">рублей 00 копеек).</w:t>
      </w:r>
      <w:r>
        <w:rPr>
          <w:rFonts w:ascii="Times New Roman" w:hAnsi="Times New Roman" w:cs="Times New Roman"/>
          <w:bCs/>
          <w:color w:val="000000"/>
        </w:rPr>
      </w:r>
      <w:r>
        <w:rPr>
          <w:rFonts w:ascii="Times New Roman" w:hAnsi="Times New Roman" w:cs="Times New Roman"/>
          <w:bCs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5.3.3. Общая сумма начисленных штрафов за ненадлежащее исполнение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  <w:color w:val="000000"/>
        </w:rPr>
        <w:t xml:space="preserve">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5.4. Ответственность Исполнитель: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5.4.1.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  <w:color w:val="000000"/>
        </w:rPr>
        <w:t xml:space="preserve">ак</w:t>
      </w:r>
      <w:r>
        <w:rPr>
          <w:rFonts w:ascii="Times New Roman" w:hAnsi="Times New Roman" w:cs="Times New Roman"/>
          <w:color w:val="000000"/>
        </w:rPr>
        <w:t xml:space="preserve">азчик направляет исполнителю требование об уплате неустоек (штрафов, пеней).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Пеня начисляется за каждый день просрочки исполнения </w:t>
      </w:r>
      <w:r>
        <w:rPr>
          <w:rFonts w:ascii="Times New Roman" w:hAnsi="Times New Roman" w:cs="Times New Roman"/>
          <w:color w:val="000000"/>
        </w:rPr>
        <w:t xml:space="preserve">Исполнителем</w:t>
      </w:r>
      <w:r>
        <w:rPr>
          <w:rFonts w:ascii="Times New Roman" w:hAnsi="Times New Roman" w:cs="Times New Roman"/>
        </w:rPr>
        <w:t xml:space="preserve"> обязательства, предусмотренного Контрактом, начиная со дня, следующего после дня истечения установленного Контра</w:t>
      </w:r>
      <w:r>
        <w:rPr>
          <w:rFonts w:ascii="Times New Roman" w:hAnsi="Times New Roman" w:cs="Times New Roman"/>
        </w:rPr>
        <w:t xml:space="preserve">кта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</w:t>
      </w:r>
      <w:r>
        <w:rPr>
          <w:rFonts w:ascii="Times New Roman" w:hAnsi="Times New Roman" w:cs="Times New Roman"/>
        </w:rPr>
        <w:t xml:space="preserve">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</w:t>
      </w:r>
      <w:r>
        <w:rPr>
          <w:rFonts w:ascii="Times New Roman" w:hAnsi="Times New Roman" w:cs="Times New Roman"/>
          <w:color w:val="000000"/>
        </w:rPr>
        <w:t xml:space="preserve">Исполнителем</w:t>
      </w:r>
      <w:r>
        <w:rPr>
          <w:rFonts w:ascii="Times New Roman" w:hAnsi="Times New Roman" w:cs="Times New Roman"/>
        </w:rPr>
        <w:t xml:space="preserve">, за исключением случаев, если законодательством Российской Федерации установлен иной порядок </w:t>
      </w:r>
      <w:r>
        <w:rPr>
          <w:rFonts w:ascii="Times New Roman" w:hAnsi="Times New Roman" w:cs="Times New Roman"/>
        </w:rPr>
        <w:t xml:space="preserve">начисления пени.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</w:t>
      </w:r>
      <w:r>
        <w:rPr>
          <w:rFonts w:ascii="Times New Roman" w:hAnsi="Times New Roman" w:cs="Times New Roman"/>
          <w:color w:val="000000"/>
        </w:rPr>
        <w:t xml:space="preserve">Исполнителем</w:t>
      </w:r>
      <w:r>
        <w:rPr>
          <w:rFonts w:ascii="Times New Roman" w:hAnsi="Times New Roman" w:cs="Times New Roman"/>
        </w:rPr>
        <w:t xml:space="preserve"> обязательств, предусмотренных Контрактом, за исключением просрочки исполнения </w:t>
      </w:r>
      <w:r>
        <w:rPr>
          <w:rFonts w:ascii="Times New Roman" w:hAnsi="Times New Roman" w:cs="Times New Roman"/>
          <w:color w:val="000000"/>
        </w:rPr>
        <w:t xml:space="preserve">Исполнителем</w:t>
      </w:r>
      <w:r>
        <w:rPr>
          <w:rFonts w:ascii="Times New Roman" w:hAnsi="Times New Roman" w:cs="Times New Roman"/>
        </w:rPr>
        <w:t xml:space="preserve"> обязательств (в том числе гарантийного обязательства), предусмотренных К</w:t>
      </w:r>
      <w:r>
        <w:rPr>
          <w:rFonts w:ascii="Times New Roman" w:hAnsi="Times New Roman" w:cs="Times New Roman"/>
        </w:rPr>
        <w:t xml:space="preserve">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5.4.2.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</w:t>
      </w:r>
      <w:r>
        <w:rPr>
          <w:rFonts w:ascii="Times New Roman" w:hAnsi="Times New Roman" w:cs="Times New Roman"/>
          <w:color w:val="000000"/>
        </w:rPr>
        <w:t xml:space="preserve"> штрафа устанавливается в размере </w:t>
      </w:r>
      <w:r>
        <w:rPr>
          <w:rFonts w:ascii="Times New Roman" w:hAnsi="Times New Roman" w:cs="Times New Roman"/>
          <w:bCs/>
          <w:color w:val="000000"/>
        </w:rPr>
        <w:t xml:space="preserve">10%</w:t>
      </w:r>
      <w:r>
        <w:rPr>
          <w:rFonts w:ascii="Times New Roman" w:hAnsi="Times New Roman" w:cs="Times New Roman"/>
          <w:color w:val="000000"/>
        </w:rPr>
        <w:t xml:space="preserve"> цены Контракта</w:t>
      </w:r>
      <w:r>
        <w:rPr>
          <w:rFonts w:ascii="Times New Roman" w:hAnsi="Times New Roman" w:cs="Times New Roman"/>
          <w:bCs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5.4.3. За каждый факт неисполнения или ненадлежащего исполнения Исполнителем обязательств, предусмотренных Контрактом, которые не имеют стоимостного выражения, размер штрафа устанавливается в соответств</w:t>
      </w:r>
      <w:r>
        <w:rPr>
          <w:rFonts w:ascii="Times New Roman" w:hAnsi="Times New Roman" w:cs="Times New Roman"/>
          <w:color w:val="000000"/>
        </w:rPr>
        <w:t xml:space="preserve">ии с Правилами в размере </w:t>
      </w:r>
      <w:r>
        <w:rPr>
          <w:rFonts w:ascii="Times New Roman" w:hAnsi="Times New Roman" w:cs="Times New Roman"/>
          <w:bCs/>
          <w:color w:val="000000"/>
        </w:rPr>
        <w:t xml:space="preserve">1 000,00 рублей (Одна тысяча рублей 00 копеек).</w:t>
      </w:r>
      <w:r>
        <w:rPr>
          <w:rFonts w:ascii="Times New Roman" w:hAnsi="Times New Roman" w:cs="Times New Roman"/>
          <w:bCs/>
          <w:color w:val="000000"/>
        </w:rPr>
      </w:r>
      <w:r>
        <w:rPr>
          <w:rFonts w:ascii="Times New Roman" w:hAnsi="Times New Roman" w:cs="Times New Roman"/>
          <w:bCs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</w:t>
      </w:r>
      <w:r>
        <w:rPr>
          <w:rFonts w:ascii="Times New Roman" w:hAnsi="Times New Roman" w:cs="Times New Roman"/>
          <w:lang w:eastAsia="ar-SA"/>
        </w:rPr>
        <w:t xml:space="preserve">.4.4. </w:t>
      </w:r>
      <w:r>
        <w:rPr>
          <w:rFonts w:ascii="Times New Roman" w:hAnsi="Times New Roman" w:cs="Times New Roman"/>
          <w:color w:val="000000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5.5. Уплат</w:t>
      </w:r>
      <w:r>
        <w:rPr>
          <w:rFonts w:ascii="Times New Roman" w:hAnsi="Times New Roman" w:cs="Times New Roman"/>
          <w:color w:val="000000"/>
        </w:rPr>
        <w:t xml:space="preserve">а неустойки не освобождает Сторону от исполнения своих обязательств по Контракту.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</w:t>
      </w:r>
      <w:r>
        <w:rPr>
          <w:rFonts w:ascii="Times New Roman" w:hAnsi="Times New Roman" w:cs="Times New Roman"/>
          <w:color w:val="000000"/>
        </w:rPr>
        <w:t xml:space="preserve">о вследствие непреодолимой силы или по вине другой стороны.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5.7. В случае если законодательством Российской Федерации установлен иной порядок начисления штрафа, чем порядок, предусмотренный Правилами, размер такого штрафа и порядок его начисления устанавли</w:t>
      </w:r>
      <w:r>
        <w:rPr>
          <w:rFonts w:ascii="Times New Roman" w:hAnsi="Times New Roman" w:cs="Times New Roman"/>
          <w:color w:val="000000"/>
        </w:rPr>
        <w:t xml:space="preserve">вается Контрактом в соответствии с законодательством Российской Федерации.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jc w:val="center"/>
        <w:rPr>
          <w:rFonts w:ascii="Times New Roman" w:hAnsi="Times New Roman" w:cs="Times New Roman"/>
          <w:b/>
        </w:rPr>
      </w:pPr>
      <w:r/>
      <w:bookmarkStart w:id="0" w:name="undefined"/>
      <w:r>
        <w:rPr>
          <w:rFonts w:ascii="Times New Roman" w:hAnsi="Times New Roman" w:cs="Times New Roman"/>
          <w:b/>
        </w:rPr>
        <w:t xml:space="preserve">6.</w:t>
      </w:r>
      <w:r>
        <w:rPr>
          <w:rFonts w:ascii="Times New Roman" w:hAnsi="Times New Roman" w:cs="Times New Roman"/>
        </w:rPr>
        <w:t xml:space="preserve"> </w:t>
      </w:r>
      <w:bookmarkEnd w:id="0"/>
      <w:r>
        <w:rPr>
          <w:rFonts w:ascii="Times New Roman" w:hAnsi="Times New Roman" w:cs="Times New Roman"/>
          <w:b/>
        </w:rPr>
        <w:t xml:space="preserve">ВНЕСЕНИЕ ИЗМЕНЕНИЙ И РАСТОРЖЕНИЕ КОНТРАКТА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Изменение существенных условий контракта при его исполнении не допускается, за исключением случаев, предусмотренных ч. 1 ст. 95 Ф</w:t>
      </w:r>
      <w:r>
        <w:rPr>
          <w:rFonts w:ascii="Times New Roman" w:hAnsi="Times New Roman" w:cs="Times New Roman"/>
        </w:rPr>
        <w:t xml:space="preserve">едерального закона от 05.04.2013 №44-ФЗ                     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6.2. Все изменения и дополнения настоящего контракта, а также приложения к конт</w:t>
      </w:r>
      <w:r>
        <w:rPr>
          <w:rFonts w:ascii="Times New Roman" w:hAnsi="Times New Roman" w:cs="Times New Roman"/>
        </w:rPr>
        <w:t xml:space="preserve">ракту в процессе действия должны быть составлены в форме дополнительных соглашений к контракту, вступающих в силу с момента подписания сторонами, являющихся неотъемлемой частью контракта и имеющих одинаковую юридическую силу с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6.3. Расторжение </w:t>
      </w:r>
      <w:r>
        <w:rPr>
          <w:rFonts w:ascii="Times New Roman" w:hAnsi="Times New Roman" w:cs="Times New Roman"/>
        </w:rPr>
        <w:t xml:space="preserve">контракта допускается по соглашению сторон, по решению суда.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ind w:left="142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СРОК ДЕЙСТВИЯ КОНТРАКТА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Настоящий контракт вступает в силу с момента подписания и действует до </w:t>
      </w:r>
      <w:r>
        <w:rPr>
          <w:rFonts w:ascii="Times New Roman" w:hAnsi="Times New Roman" w:cs="Times New Roman"/>
          <w:b/>
          <w:bCs/>
        </w:rPr>
        <w:t xml:space="preserve">31.08.2026г</w:t>
      </w:r>
      <w:r>
        <w:rPr>
          <w:rFonts w:ascii="Times New Roman" w:hAnsi="Times New Roman" w:cs="Times New Roman"/>
        </w:rPr>
        <w:t xml:space="preserve">., а в части оплаты – до полного исполнения сторонами своих обязательств.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ind w:left="142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 ПОРЯДОК РАЗРЕШЕНИЯ СПОРОВ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8.1. Все споры, возникающие при исполнении настоящего контракта, решаются Сторонами путем переговоров, которые могут проводиться, в том числе, путем отправления писем по почте, по электронной почте, обмена факсимильн</w:t>
      </w:r>
      <w:r>
        <w:rPr>
          <w:rFonts w:ascii="Times New Roman" w:hAnsi="Times New Roman" w:cs="Times New Roman"/>
        </w:rPr>
        <w:t xml:space="preserve">ыми сообщениями.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/>
      <w:bookmarkStart w:id="0" w:name="undefined"/>
      <w:r>
        <w:rPr>
          <w:rFonts w:ascii="Times New Roman" w:hAnsi="Times New Roman" w:cs="Times New Roman"/>
        </w:rPr>
        <w:t xml:space="preserve">8.2. В случае если Стороны не придут к соглашению путем переговоров, все споры рассматриваются в претензионном порядке. Срок рассмотрения претензии составляет 5 (пять) рабочих дней со дня получения претензии соответствующей Стороной.</w:t>
      </w:r>
      <w:bookmarkEnd w:id="0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8.3. </w:t>
      </w:r>
      <w:r>
        <w:rPr>
          <w:rFonts w:ascii="Times New Roman" w:hAnsi="Times New Roman" w:cs="Times New Roman"/>
        </w:rPr>
        <w:t xml:space="preserve">В случае если споры не урегулированы Сторонами с помощью переговоров и в претензионном порядке, они могут быть переданы заинтересованной Стороной в Арбитражный суд Республики Хакасия.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sz w:val="16"/>
          <w:szCs w:val="16"/>
        </w:rPr>
        <w:outlineLvl w:val="0"/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ind w:left="142" w:firstLine="0"/>
        <w:jc w:val="center"/>
        <w:rPr>
          <w:rFonts w:ascii="Times New Roman" w:hAnsi="Times New Roman" w:cs="Times New Roman"/>
          <w:b/>
        </w:rPr>
        <w:outlineLvl w:val="0"/>
      </w:pPr>
      <w:r>
        <w:rPr>
          <w:rFonts w:ascii="Times New Roman" w:hAnsi="Times New Roman" w:cs="Times New Roman"/>
          <w:b/>
        </w:rPr>
        <w:t xml:space="preserve">9. ЗАКЛЮЧИТЕЛЬНЫЕ ПОЛОЖЕНИЯ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10.1. В части отношений между сторонами неу</w:t>
      </w:r>
      <w:r>
        <w:rPr>
          <w:rFonts w:ascii="Times New Roman" w:hAnsi="Times New Roman" w:cs="Times New Roman"/>
        </w:rPr>
        <w:t xml:space="preserve">регулированных положениями настоящего контракта применяется законодательство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10.2. Если какое-либо из положений настоящего контракта становится недействительным, то это не затрагивает действительности остальных его положений.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10.3. Пр</w:t>
      </w:r>
      <w:r>
        <w:rPr>
          <w:rFonts w:ascii="Times New Roman" w:hAnsi="Times New Roman" w:cs="Times New Roman"/>
        </w:rPr>
        <w:t xml:space="preserve">и исполнении контракта не допускается перемена Исполнителя, за исключением случаев,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преобразования, слияния или присоедин</w:t>
      </w:r>
      <w:r>
        <w:rPr>
          <w:rFonts w:ascii="Times New Roman" w:hAnsi="Times New Roman" w:cs="Times New Roman"/>
        </w:rPr>
        <w:t xml:space="preserve">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10.4. В случае перемены Заказчика по контракту права и обязанности Заказчика по контракту переходят к новому Заказчику в том же объеме и на тех же условиях.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2"/>
        <w:ind w:left="142" w:firstLine="0"/>
        <w:jc w:val="both"/>
        <w:widowControl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pStyle w:val="942"/>
        <w:ind w:left="142" w:firstLine="0"/>
        <w:jc w:val="center"/>
        <w:widowControl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11. ПРИЛОЖЕНИЯ К КОНТРАКТУ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pStyle w:val="942"/>
        <w:ind w:left="142" w:firstLine="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11.1. Приложение №1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Перечень оборудования, подлежащего утилизац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ии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42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left="142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12. ПОДПИСИ И РЕКВИЗИТЫ СТОРОН: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4898"/>
        <w:gridCol w:w="545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98" w:type="dxa"/>
            <w:textDirection w:val="lrTb"/>
            <w:noWrap w:val="false"/>
          </w:tcPr>
          <w:p>
            <w:pPr>
              <w:pStyle w:val="9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firstLine="0"/>
              <w:rPr>
                <w:rFonts w:ascii="Tinos" w:hAnsi="Tinos" w:cs="Tinos"/>
                <w:b/>
                <w:bCs/>
                <w:color w:val="000000" w:themeColor="text1"/>
                <w:highlight w:val="white"/>
              </w:rPr>
            </w:pPr>
            <w:r>
              <w:rPr>
                <w:rFonts w:ascii="Tinos" w:hAnsi="Tinos" w:eastAsia="Tinos" w:cs="Tinos"/>
                <w:b/>
                <w:bCs/>
                <w:color w:val="000000" w:themeColor="text1"/>
                <w:sz w:val="22"/>
                <w:szCs w:val="22"/>
                <w:highlight w:val="white"/>
              </w:rPr>
              <w:t xml:space="preserve">Управление Федеральной службы </w:t>
            </w:r>
            <w:r>
              <w:rPr>
                <w:rFonts w:ascii="Tinos" w:hAnsi="Tinos" w:cs="Tinos"/>
                <w:b/>
                <w:bCs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highlight w:val="white"/>
              </w:rPr>
            </w:r>
          </w:p>
          <w:p>
            <w:pPr>
              <w:ind w:firstLine="0"/>
              <w:rPr>
                <w:rFonts w:ascii="Tinos" w:hAnsi="Tinos" w:cs="Tinos"/>
                <w:b/>
                <w:bCs/>
                <w:color w:val="000000" w:themeColor="text1"/>
                <w:highlight w:val="white"/>
              </w:rPr>
            </w:pPr>
            <w:r>
              <w:rPr>
                <w:rFonts w:ascii="Tinos" w:hAnsi="Tinos" w:eastAsia="Tinos" w:cs="Tinos"/>
                <w:b/>
                <w:bCs/>
                <w:color w:val="000000" w:themeColor="text1"/>
                <w:sz w:val="22"/>
                <w:szCs w:val="22"/>
                <w:highlight w:val="white"/>
              </w:rPr>
              <w:t xml:space="preserve">государственной регистрации, кадастра и картографии по Республике Хакасия</w:t>
            </w:r>
            <w:r>
              <w:rPr>
                <w:rFonts w:ascii="Tinos" w:hAnsi="Tinos" w:cs="Tinos"/>
                <w:b/>
                <w:bCs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highlight w:val="white"/>
              </w:rPr>
            </w:r>
          </w:p>
          <w:p>
            <w:pPr>
              <w:ind w:left="15" w:firstLine="0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t xml:space="preserve">655017 Республика Хакасия, г. Абакан,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br/>
              <w:t xml:space="preserve">ул. Вяткина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  <w:lang w:val="en-US"/>
              </w:rPr>
              <w:t xml:space="preserve">,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t xml:space="preserve">д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  <w:lang w:val="en-US"/>
              </w:rPr>
              <w:t xml:space="preserve">.12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</w:p>
          <w:p>
            <w:pPr>
              <w:ind w:left="15" w:firstLine="0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  <w:lang w:val="en-US"/>
              </w:rPr>
              <w:t xml:space="preserve">e-mail: </w:t>
            </w:r>
            <w:hyperlink r:id="rId15" w:tooltip="mailto:19_upr@rosreestr.ru" w:history="1">
              <w:r>
                <w:rPr>
                  <w:rStyle w:val="1019"/>
                  <w:rFonts w:ascii="Tinos" w:hAnsi="Tinos" w:eastAsia="Tinos" w:cs="Tinos"/>
                  <w:color w:val="000000" w:themeColor="text1"/>
                  <w:sz w:val="22"/>
                  <w:szCs w:val="22"/>
                  <w:highlight w:val="white"/>
                  <w:lang w:val="en-US"/>
                </w:rPr>
                <w:t xml:space="preserve">19_upr@rosreestr.ru</w:t>
              </w:r>
            </w:hyperlink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</w:p>
          <w:p>
            <w:pPr>
              <w:ind w:left="15" w:firstLine="0"/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t xml:space="preserve">Телефон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  <w:lang w:val="en-US"/>
              </w:rPr>
              <w:t xml:space="preserve">: 8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  <w:lang w:val="en-US"/>
              </w:rPr>
              <w:t xml:space="preserve">3902 22-10-50, 23-90-48, 23-98-70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left="15" w:firstLine="0"/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t xml:space="preserve">ИНН/КПП   1901065358/190101001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left="15" w:firstLine="0"/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t xml:space="preserve">р/с 03211643000000015103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firstLine="0"/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t xml:space="preserve">к/с 40102810445370000043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firstLine="0"/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t xml:space="preserve">л/с в ФК 03801А51580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firstLine="0"/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ОКЦ № 1 СибГУ Банка России // УФК по Новосибирской области, г. Новосибирск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firstLine="0"/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t xml:space="preserve">БИК 015004950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tabs>
                <w:tab w:val="left" w:pos="8460" w:leader="none"/>
              </w:tabs>
              <w:rPr>
                <w:rFonts w:ascii="Tinos" w:hAnsi="Tinos" w:cs="Tino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nos" w:hAnsi="Tinos" w:cs="Tinos"/>
                <w:b/>
                <w:color w:val="000000" w:themeColor="text1"/>
                <w:sz w:val="16"/>
                <w:szCs w:val="16"/>
              </w:rPr>
            </w:r>
            <w:r>
              <w:rPr>
                <w:rFonts w:ascii="Tinos" w:hAnsi="Tinos" w:cs="Tinos"/>
                <w:b/>
                <w:color w:val="000000" w:themeColor="text1"/>
                <w:sz w:val="16"/>
                <w:szCs w:val="16"/>
              </w:rPr>
            </w:r>
            <w:r>
              <w:rPr>
                <w:rFonts w:ascii="Tinos" w:hAnsi="Tinos" w:cs="Tinos"/>
                <w:b/>
                <w:color w:val="000000" w:themeColor="text1"/>
                <w:sz w:val="16"/>
                <w:szCs w:val="16"/>
              </w:rPr>
            </w:r>
          </w:p>
          <w:p>
            <w:pPr>
              <w:ind w:firstLine="0"/>
              <w:tabs>
                <w:tab w:val="left" w:pos="8460" w:leader="none"/>
              </w:tabs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</w:rPr>
              <w:t xml:space="preserve">__________________________ О.М. Анисимова</w:t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</w:p>
          <w:p>
            <w:pPr>
              <w:tabs>
                <w:tab w:val="left" w:pos="8460" w:leader="none"/>
              </w:tabs>
              <w:rPr>
                <w:rFonts w:ascii="Tinos" w:hAnsi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МП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50" w:type="dxa"/>
            <w:textDirection w:val="lrTb"/>
            <w:noWrap w:val="false"/>
          </w:tcPr>
          <w:p>
            <w:pPr>
              <w:pStyle w:val="935"/>
              <w:spacing w:line="240" w:lineRule="auto"/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</w:rPr>
              <w:t xml:space="preserve">Исполнитель: </w:t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</w:p>
          <w:p>
            <w:pPr>
              <w:ind w:firstLine="0"/>
              <w:spacing w:line="240" w:lineRule="auto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  <w:t xml:space="preserve">             МП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pStyle w:val="9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34"/>
              <w:spacing w:line="28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left="142" w:firstLine="0"/>
        <w:rPr>
          <w:rFonts w:ascii="Tinos" w:hAnsi="Tinos" w:cs="Tinos"/>
        </w:rPr>
      </w:pPr>
      <w:r>
        <w:rPr>
          <w:rFonts w:ascii="Tinos" w:hAnsi="Tinos" w:eastAsia="Tinos" w:cs="Tinos"/>
          <w:b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Приложение №1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к к</w:t>
      </w:r>
      <w:r>
        <w:rPr>
          <w:rFonts w:ascii="Times New Roman" w:hAnsi="Times New Roman" w:cs="Times New Roman"/>
        </w:rPr>
        <w:t xml:space="preserve">онтракту №__________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от «___» _______ 2026г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оборудования, подлежащего утилизации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услуг по утилизации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tbl>
      <w:tblPr>
        <w:tblStyle w:val="783"/>
        <w:tblW w:w="0" w:type="auto"/>
        <w:tblLook w:val="04A0" w:firstRow="1" w:lastRow="0" w:firstColumn="1" w:lastColumn="0" w:noHBand="0" w:noVBand="1"/>
      </w:tblPr>
      <w:tblGrid>
        <w:gridCol w:w="945"/>
        <w:gridCol w:w="11790"/>
        <w:gridCol w:w="2325"/>
        <w:gridCol w:w="915"/>
        <w:gridCol w:w="1575"/>
      </w:tblGrid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№ п/п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Наименование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Инв.номер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Ед.изм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Количество</w:t>
            </w:r>
            <w:r/>
            <w:r/>
          </w:p>
        </w:tc>
      </w:tr>
      <w:tr>
        <w:tblPrEx/>
        <w:trPr>
          <w:trHeight w:val="300"/>
        </w:trPr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50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КБК 244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Акустический излучатель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00002564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Гранд Магистр БУ ПУ+РИП блок управления 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00005031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Диктофон цифровой Olympus WS-550M blue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00003904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Калькулятор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00000222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Калькулятор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З530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Калькулятор Proff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31196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Кондиционер CHIGO KFR66 с дренаж.помпой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00002868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Кондиционер CHIGO KFR66 с зимним комплектом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00002869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Кондиционер DANTEX RK -18 SDM2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00004298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Кондиционер Neoclima NS-HAL 12 c зимним комплектом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00005219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Кондиционер Panasonic CS-PC 9 DKD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00002546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Кондиционер Panasonic LG S 18 LHP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00002548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Кондиционер Panasonic PC 7GKD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00003591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Напольный аппарат для нагрева и охлаждения воды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00003732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Напольный аппарат для нагрева и охлаждения воды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00003733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Напольный аппарат для нагрева и охлаждения воды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00003735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Напольный аппарат для нагрева и охлаждения воды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00003737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Напольный аппарат для нагрева и охлаждения воды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00003731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Насосная станция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00005047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Обогреватель масляный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00000979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Обогреватель масляный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00000985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Перфоратор "Makita" HR2010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00002561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Пожарная сигнализация и оповещение о пожаре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00004101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Прибор приемно-контрольный ППКУП ВЭРС-ПУ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00005045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Прибор Сокол Б8Н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00004884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Радиатор масляный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00000392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Радиатор масляный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00001640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Светильник VL - 233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00001287       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Система кондиционирования серверной комнаты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00002045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Телевизор ЖК 26 "Samsung"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00003525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Телевизор ЖК 26 "Samsung"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00003528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Телевизор DAEWOO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00002921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ТСЗИ от утечки информации по акустическому и виброакустическому каналам Соната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00002563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ТСЗИ по ПЭМИН, сетям электропитания и заземления Соната РК -1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00002565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Уничтожитель документов Cladwork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00004957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Устроиство защиты объектов информатизации от утечки информации за счет побочных электромагнитных излучений и наводок Соната -Р2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00003665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Устройство управления общим информационным табло Aquarius Std S20S22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00004710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Фотоаппарат цифровой Canon PowerShot A590IS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00004214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Фотоаппарат Sony DSC-W520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00004812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Часы (Радиоприемник) VT 3507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З725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Часы (Радиоприемник) VT 3507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З726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Часы (Радиоприемник) VT3512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З727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Часы (Радиоприемник)VT 3502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З707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Часы (Радиоприемник)VT 3502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З718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Часы (Радиоприемник)VT 3502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З721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Часы (Радиоприемник)VT 3502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З722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Часы (Радиоприемник)VT 3502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З723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Часы (Радиоприемник)VT 3502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З724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Шредер PROFF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00003493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Эл/сушилка д/рук "BXG-120"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00003388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Эл/сушилка д/рук "BXG-120"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00003389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Электродрель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00004617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Электроконвектор IGC ЭВУС 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31090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5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Эксплуатация объекта учета АРМ ТО  321.001А5158.19.Э.20655.26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Автоматизированное рабочее место  Aquarius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00005251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Автоматизированное рабочее место  Aquarius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00005253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Автоматизированное рабочее место Тип 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00005338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Автоматизированное рабочее место Тип 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00005344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Автоматизированное рабочее место Тип 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00005345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Автоматизированное рабочее место Тип 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00005346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Автоматизированное рабочее место Тип 1 Aquarius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00005231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Автоматизированное рабочее место: Персональная электронно-вычислительная машина (Тип 1)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00005362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Автоматизированное рабочее место: Персональная электронно-вычислительная машина (Тип 1)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00005373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Автоматизированное рабочее место: Персональная электронно-вычислительная машина (Тип 1)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00005374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Автоматизированное рабочее место: Персональная электронно-вычислительная машина (Тип 1)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00005361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Автоматизированное рабочее место: Персональная электронно-вычислительная машина (Тип 1)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00005364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Автоматизированное рабочее место: Персональная электронно-вычислительная машина (Тип 1)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00005372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Клавиатура Гранд Магистр ПУ-1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3784           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00003543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00003552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00003553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00003582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00003625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00003743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00003744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00003749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00003750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00003753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00003748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 (монитор+раб.станция) система видеонаблюдения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00003574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 в к-те(Сист. блок,монитор,клавиат,мышь)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00004014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 в коплекте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00004015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 в сборе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00004994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 в сборе (Сист. блок, монитор,клавиатура,мышь)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00003990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 в сборе (Сист. блок, монитор,клавиатура,мышь)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00003991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 в сборе Aquarius (сист. блок, монитор, клавиатура, мышь)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00004725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 в сборе Aquarius (сист. блок, монитор, клавиатура, мышь)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00004727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 в сборе Aquarius (сист. блок, монитор, клавиатура, мышь)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00004729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 в сборе Aquarius (сист. блок, монитор, клавиатура, мышь)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00004735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 в сборе Aquarius (сист. блок, монитор, клавиатура, мышь)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00004736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Компьютер в сборе Aquarius (сист. блок, монитор, клавиатура, мышь)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00004730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Копир Canon A3 iR2318L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00003758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Копир Canon A3 iR2318L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00003760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Копир Canon A3 iR2318L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00003766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Копир Canon A3 iR2318L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00003764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Копир Canon A3 iR2318L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00003767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Копировальный аппарат Canon "iR2016J"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00003626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Копировальный аппарат Canon iR 1018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00003247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Копировальный аппарат Canon iR 1018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00003248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Лазерный принтер KYOCERA ECOSYS P2135dn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00005108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Мобильный принтер HP Deskjet 460 c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00004038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МФУ лазерное Kyocera M2030dn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00005115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МФУ Kyocera Mita FS - 1030MFP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00005083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МФУ Kyocera Mita FS - 1030MFP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00005084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Ноутбук Acer Aspire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00004082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Ноутбук HP Compag 6720s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00004083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Персональный компьютер DEPO Neos 260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00004921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Персональный компьютер DEPO Neos 260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00004923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Персональный компьютер DEPO Neos 260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00004924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Персональный компьютер DEPO Neos 260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00004926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Персональный компьютер DEPO Neos 260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00004928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Персональный компьютер DEPO Neos 260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00004948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Персональный компьютер DEPO Neos 260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00004949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Персональный компьютер DEPO Neos 260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00004950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/сканер/копир.Саnon iSensys VF-4018 ,  A4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00004119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лазерный НР LJ 1018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00003031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лазерный НР LJ 1018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00003032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лазерный НР LJ 1018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00003034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лазерный НР LJ 1018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00003035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лазерный НР LJ 1018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00003037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лазерный НР LJ 1018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00003038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лазерный НР LJ 1018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00003039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лазерный НР LJ 1018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00003040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лазерный HP LJ P2055d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00003699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лазерный HP LJ P2055d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00003703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лазерный HP LJ P2055d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00003704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лазерный HP LJ P2055d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00003698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лазерный HP LJ P2055d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00003700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НР Color LaserJet 4700n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00003244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НР LaserJet 1020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00003243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НР LaserJet 1022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00002704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НР LaserJet 1022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00003231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НР LaserJet 1022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00003232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НР LaserJet 1022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00003233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НР LaserJet 1022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00003236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НР LaserJet 1022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00003237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НР LaserJet 1022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00003239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НР LaserJet 1022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00002705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НР LaserJet 1022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00003228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1020 лазерный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00002139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1020 лазерный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00002140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1020 лазерный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00002141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1020 лазерный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00002142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LaserJet 1020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00002532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LaserJet 1022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00002633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20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LaserJet 1022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00002639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LaserJet 1022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00002631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LaserJet 1022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00002638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LaserJet M 1005 МФУ Многофункциональное устроиство (принтер,сканер,копир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00003564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LaserJet M 1005 МФУ Многофункциональное устроиство (принтер,сканер,копир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00003572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LaserJet M 1005 МФУ Многофункциональное устроиство (принтер,сканер,копир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00003571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LaserJet P2055d (СE457A)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00004656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LaserJet P2055d (СE457A)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00004659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LaserJet Pro P1606dn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00004805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LaserJet Pro P1606dn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00004806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LaserJet Pro P1606dn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00004808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LaserJet Pro P1606dn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00004809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LaserJet Pro P1606dn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00004810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HP Officejet 100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00004876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KYOCERA ECOSYS P2135dn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00005094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KYOCERA ECOSYS P2135dn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00005095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KYOCERA ECOSYS P2135dn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00005096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KYOCERA ECOSYS P2135dn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00005099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KYOCERA ECOSYS P2135dn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00005100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KYOCERA ECOSYS P2135dn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00005098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Laser Jet 1320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00002000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Принтер Laser Jet 1320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00002001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3211010000036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3211010000038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3211010000039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3211010000042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3211010000044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3211010000034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3211010000035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3211010000041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3211010000043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3211010000037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3211010000052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3211010000053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3211010000024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3211010000022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3211010000028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3211010000029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00005072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00005073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00005075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00005078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00005076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(Тип 3)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00004773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(Тип 3)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00004774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(Тип 3)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00004775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(Тип 3)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00004777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(Тип 3)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00004778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(Тип 3)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00004779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(Тип 3)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00004771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(Тип 3)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00004776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(Тип 3)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00004780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РС-1-07 в комплекте систем. блок 1шт,монитор 1 шт.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00003842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РС-1-07 в комплекте систем. блок 1шт,монитор 1 шт.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00003843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РС-1-07 в комплекте систем. блок 1шт,монитор 1 шт.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00003848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РС-1-07 в комплекте систем. блок 1шт,монитор 1 шт.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00003854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РС-1-07 в комплекте систем. блок 1шт,монитор 1 шт.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00003858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РС-1-07 в комплекте систем. блок 1шт,монитор 1 шт.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00003862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РС-1-07 в комплекте систем. блок 1шт,монитор 1 шт.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00003864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РС-1-07 в комплекте систем. блок 1шт,монитор 1 шт.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00003845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РС-1-07 в комплекте систем. блок 1шт,монитор 1 шт.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00003847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РС-1-07 в комплекте систем. блок 1шт,монитор 1 шт.принтер 1шт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00003868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DEPO Neos 490MD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00005102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Intel Core i5-4460/Sockett1150/2xDDR3/4Gb/1600MHz/500Gb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00005135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Intel Core i5-4590/Sockett1150/2xDDR3/4Gb/1600MHz/500Gb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00005143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Рабочая станция Intel Core i5-4590/Sockett1150/2xDDR3/4Gb/1600MHz/500Gb HDD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00005145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Системный блок Р4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00002922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Системный блок Р4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00002923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Системный блок Pentium DC 1800/512Mb/80G/DVD+RW/FDD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00003175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Сканер Canon DR-C130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00004930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Сканер Canon DR-C130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00004934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Сканер Canon DR-F120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00005213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Сканер Canon DR-F120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00005214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Сканер Epson Perfection 200V  Photo 4800-9600 dpi USB 2.0 слайд-модуль 22010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00003180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Сканер Epson Perfection 200V  Photo 4800-9600 dpi USB 2.0 слайд-модуль 22010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00003181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Сканер Epson Perfection 200V  Photo 4800-9600 dpi USB 2.0 слайд-модуль 22010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00003185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Сканер Epson Perfection 200V  Photo 4800-9600 dpi USB 2.0 слайд-модуль 22010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00003187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Сканер Epson Perfection 200V  Photo 4800-9600 dpi USB 2.0 слайд-модуль 22010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00003188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Сканер Epson Perfection 200V  Photo 4800-9600 dpi USB 2.0 слайд-модуль 22010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00003189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Сканер Epson Perfection 200V  Photo 4800-9600 dpi USB 2.0 слайд-модуль 22010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00003186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Флеш- память 8192 Мb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00004646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Cканер (Тип 1) Xerox DocuMate 515В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00004861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Cканер (Тип 1) Xerox DocuMate 515В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00004863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Cканер (Тип 2) Xerox DocuMate 3640Р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00004864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DVD-рекордер PHILIPS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00002920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5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Эксплуатация объекта учета ТКИ ТО  321.001А5158.19.Э.20125.26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Р/Телефон Dect Panasonic KX-TCD207RUB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00002497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Радиотелефон Panasonic DEC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00002640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Радиотелефон Panasonic RX-TG1106RU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00003160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Радиотелефон Panasonic RX-TG1106RU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00003161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Сотовый телефон Samsung GT-S5610 Metalik Gold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00004958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Телефон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00004188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Телефон  Panasonic KX А  142 RU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00001806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Телефон  Panasonic KX А  142 RU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00001805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Телефон  Panasonic KX TC 2365 ЖКД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00001149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Телефон  Panasonic KX TC 2365 ЖКД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00001152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Телефон  Panasonic KX TC 2365 ЖКД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00001148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Телефон  Panasonic KX TC 2365 RUW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00001542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Телефон  Panasonic KX TC 2365 RUW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00001551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Телефонный аппарат АОН КВИН 292(Русь 28)+а/отв.50мин.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00004200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Трубка Panasonic KX- А  143 RUS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00001906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Цифровой телефонный аппарат AVAYA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00004224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шт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  <w:r/>
          </w:p>
        </w:tc>
      </w:tr>
    </w:tbl>
    <w:p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45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40" w:type="dxa"/>
            <w:textDirection w:val="lrTb"/>
            <w:noWrap w:val="false"/>
          </w:tcPr>
          <w:p>
            <w:pPr>
              <w:pStyle w:val="9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 / </w:t>
            </w:r>
            <w:r>
              <w:rPr>
                <w:rFonts w:ascii="Times New Roman" w:hAnsi="Times New Roman" w:cs="Times New Roman"/>
                <w:b/>
              </w:rPr>
              <w:t xml:space="preserve">О.М. Анисимова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50" w:type="dxa"/>
            <w:textDirection w:val="lrTb"/>
            <w:noWrap w:val="false"/>
          </w:tcPr>
          <w:p>
            <w:pPr>
              <w:pStyle w:val="9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Исполнитель: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r/>
            <w:r/>
          </w:p>
          <w:p>
            <w:r/>
            <w:r/>
          </w:p>
        </w:tc>
      </w:tr>
    </w:tbl>
    <w:p>
      <w:pPr>
        <w:ind w:firstLine="0"/>
      </w:pPr>
      <w:r/>
      <w:r/>
    </w:p>
    <w:sectPr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0" w:h="16800" w:orient="portrait"/>
      <w:pgMar w:top="720" w:right="720" w:bottom="720" w:left="720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Tinos">
    <w:panose1 w:val="02020603050405020304"/>
  </w:font>
  <w:font w:name="GaramondC">
    <w:panose1 w:val="02000603000000000000"/>
  </w:font>
  <w:font w:name="DejaVu Sans">
    <w:panose1 w:val="020B0603030804020204"/>
  </w:font>
  <w:font w:name="Courier New">
    <w:panose1 w:val="02070409020205020404"/>
  </w:font>
  <w:font w:name="Tahoma">
    <w:panose1 w:val="020B0604030504040204"/>
  </w:font>
  <w:font w:name="Arial">
    <w:panose1 w:val="020B0604020202020204"/>
  </w:font>
  <w:font w:name="Cambria">
    <w:panose1 w:val="02040503050406030204"/>
  </w:font>
  <w:font w:name="Times New Roman CYR">
    <w:panose1 w:val="02000603000000000000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  <w:jc w:val="right"/>
    </w:pPr>
    <w:r/>
    <w:r/>
  </w:p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w:rPr>
        <w:bCs/>
        <w:color w:val="26282f"/>
        <w:sz w:val="20"/>
      </w:rPr>
      <w:t xml:space="preserve">_</w: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w:rPr>
        <w:bCs/>
        <w:color w:val="26282f"/>
        <w:sz w:val="20"/>
      </w:rPr>
      <w:t xml:space="preserve">_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60"/>
      </w:pPr>
      <w:r>
        <w:rPr>
          <w:rStyle w:val="962"/>
          <w:i/>
          <w:iCs/>
          <w:sz w:val="14"/>
          <w:szCs w:val="14"/>
        </w:rPr>
        <w:footnoteRef/>
      </w:r>
      <w:r>
        <w:rPr>
          <w:i/>
          <w:iCs/>
          <w:sz w:val="14"/>
          <w:szCs w:val="14"/>
        </w:rPr>
        <w:t xml:space="preserve"> Постановление Правительства РФ от 30.08.2017 N "Об утверждении Правил оп</w:t>
      </w:r>
      <w:r>
        <w:rPr>
          <w:i/>
          <w:iCs/>
          <w:sz w:val="14"/>
          <w:szCs w:val="14"/>
        </w:rPr>
        <w:t xml:space="preserve">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</w:t>
      </w:r>
      <w:r>
        <w:rPr>
          <w:i/>
          <w:iCs/>
          <w:sz w:val="14"/>
          <w:szCs w:val="14"/>
        </w:rPr>
        <w:t xml:space="preserve">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w:rPr>
        <w:bCs/>
        <w:color w:val="26282f"/>
        <w:sz w:val="20"/>
      </w:rPr>
      <w:t xml:space="preserve">р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w:rPr>
        <w:bCs/>
        <w:color w:val="26282f"/>
        <w:sz w:val="20"/>
      </w:rPr>
      <w:t xml:space="preserve">2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900" w:hanging="540"/>
      </w:pPr>
      <w:rPr>
        <w:rFonts w:cs="Times New Roman"/>
      </w:rPr>
    </w:lvl>
    <w:lvl w:ilvl="2">
      <w:start w:val="5"/>
      <w:numFmt w:val="decimal"/>
      <w:isLgl w:val="false"/>
      <w:suff w:val="tab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eastAsia="Calibri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eastAsia="Calibri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eastAsia="Calibri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cs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eastAsia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900" w:hanging="540"/>
      </w:pPr>
      <w:rPr>
        <w:rFonts w:cs="Times New Roman"/>
      </w:rPr>
    </w:lvl>
    <w:lvl w:ilvl="2">
      <w:start w:val="5"/>
      <w:numFmt w:val="decimal"/>
      <w:isLgl w:val="false"/>
      <w:suff w:val="tab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Calib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6" w:default="1">
    <w:name w:val="Normal"/>
    <w:qFormat/>
    <w:pPr>
      <w:ind w:firstLine="720"/>
      <w:jc w:val="both"/>
      <w:widowControl w:val="off"/>
    </w:pPr>
    <w:rPr>
      <w:rFonts w:ascii="Times New Roman CYR" w:hAnsi="Times New Roman CYR" w:cs="Times New Roman CYR"/>
      <w:sz w:val="24"/>
      <w:szCs w:val="24"/>
      <w:lang w:eastAsia="ru-RU"/>
    </w:rPr>
  </w:style>
  <w:style w:type="paragraph" w:styleId="737">
    <w:name w:val="Heading 1"/>
    <w:basedOn w:val="736"/>
    <w:next w:val="736"/>
    <w:link w:val="927"/>
    <w:uiPriority w:val="9"/>
    <w:qFormat/>
    <w:pPr>
      <w:ind w:firstLine="0"/>
      <w:jc w:val="center"/>
      <w:spacing w:before="108" w:after="108"/>
      <w:outlineLvl w:val="0"/>
    </w:pPr>
    <w:rPr>
      <w:b/>
      <w:bCs/>
      <w:color w:val="26282f"/>
    </w:rPr>
  </w:style>
  <w:style w:type="paragraph" w:styleId="738">
    <w:name w:val="Heading 2"/>
    <w:basedOn w:val="736"/>
    <w:next w:val="736"/>
    <w:link w:val="928"/>
    <w:uiPriority w:val="9"/>
    <w:unhideWhenUsed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739">
    <w:name w:val="Heading 3"/>
    <w:basedOn w:val="736"/>
    <w:next w:val="736"/>
    <w:link w:val="929"/>
    <w:uiPriority w:val="9"/>
    <w:qFormat/>
    <w:pPr>
      <w:ind w:firstLine="0"/>
      <w:jc w:val="left"/>
      <w:keepNext/>
      <w:spacing w:before="240" w:after="60" w:line="276" w:lineRule="auto"/>
      <w:widowControl/>
      <w:outlineLvl w:val="2"/>
    </w:pPr>
    <w:rPr>
      <w:rFonts w:ascii="Cambria" w:hAnsi="Cambria" w:cs="Times New Roman"/>
      <w:b/>
      <w:bCs/>
      <w:sz w:val="26"/>
      <w:szCs w:val="26"/>
      <w:lang w:eastAsia="en-US"/>
    </w:rPr>
  </w:style>
  <w:style w:type="paragraph" w:styleId="740">
    <w:name w:val="Heading 4"/>
    <w:basedOn w:val="736"/>
    <w:next w:val="736"/>
    <w:link w:val="930"/>
    <w:uiPriority w:val="9"/>
    <w:semiHidden/>
    <w:unhideWhenUsed/>
    <w:qFormat/>
    <w:pPr>
      <w:ind w:firstLine="0"/>
      <w:jc w:val="left"/>
      <w:keepLines/>
      <w:keepNext/>
      <w:spacing w:before="20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</w:rPr>
  </w:style>
  <w:style w:type="paragraph" w:styleId="741">
    <w:name w:val="Heading 5"/>
    <w:basedOn w:val="736"/>
    <w:next w:val="736"/>
    <w:link w:val="931"/>
    <w:uiPriority w:val="9"/>
    <w:qFormat/>
    <w:pPr>
      <w:ind w:firstLine="0"/>
      <w:jc w:val="left"/>
      <w:spacing w:before="240" w:after="60" w:line="276" w:lineRule="auto"/>
      <w:widowControl/>
      <w:outlineLvl w:val="4"/>
    </w:pPr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742">
    <w:name w:val="Heading 6"/>
    <w:basedOn w:val="736"/>
    <w:next w:val="736"/>
    <w:link w:val="76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3">
    <w:name w:val="Heading 7"/>
    <w:basedOn w:val="736"/>
    <w:next w:val="736"/>
    <w:link w:val="76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4">
    <w:name w:val="Heading 8"/>
    <w:basedOn w:val="736"/>
    <w:next w:val="736"/>
    <w:link w:val="7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736"/>
    <w:next w:val="736"/>
    <w:link w:val="7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</w:style>
  <w:style w:type="table" w:styleId="7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8" w:default="1">
    <w:name w:val="No List"/>
    <w:uiPriority w:val="99"/>
    <w:semiHidden/>
    <w:unhideWhenUsed/>
  </w:style>
  <w:style w:type="character" w:styleId="749" w:customStyle="1">
    <w:name w:val="Heading 6 Char"/>
    <w:basedOn w:val="746"/>
    <w:uiPriority w:val="9"/>
    <w:rPr>
      <w:rFonts w:ascii="Arial" w:hAnsi="Arial" w:eastAsia="Arial" w:cs="Arial"/>
      <w:b/>
      <w:bCs/>
      <w:sz w:val="22"/>
      <w:szCs w:val="22"/>
    </w:rPr>
  </w:style>
  <w:style w:type="character" w:styleId="750" w:customStyle="1">
    <w:name w:val="Heading 7 Char"/>
    <w:basedOn w:val="7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1" w:customStyle="1">
    <w:name w:val="Heading 8 Char"/>
    <w:basedOn w:val="746"/>
    <w:uiPriority w:val="9"/>
    <w:rPr>
      <w:rFonts w:ascii="Arial" w:hAnsi="Arial" w:eastAsia="Arial" w:cs="Arial"/>
      <w:i/>
      <w:iCs/>
      <w:sz w:val="22"/>
      <w:szCs w:val="22"/>
    </w:rPr>
  </w:style>
  <w:style w:type="character" w:styleId="752" w:customStyle="1">
    <w:name w:val="Heading 9 Char"/>
    <w:basedOn w:val="746"/>
    <w:uiPriority w:val="9"/>
    <w:rPr>
      <w:rFonts w:ascii="Arial" w:hAnsi="Arial" w:eastAsia="Arial" w:cs="Arial"/>
      <w:i/>
      <w:iCs/>
      <w:sz w:val="21"/>
      <w:szCs w:val="21"/>
    </w:rPr>
  </w:style>
  <w:style w:type="character" w:styleId="753" w:customStyle="1">
    <w:name w:val="Subtitle Char"/>
    <w:basedOn w:val="746"/>
    <w:uiPriority w:val="11"/>
    <w:rPr>
      <w:sz w:val="24"/>
      <w:szCs w:val="24"/>
    </w:rPr>
  </w:style>
  <w:style w:type="character" w:styleId="754" w:customStyle="1">
    <w:name w:val="Quote Char"/>
    <w:uiPriority w:val="29"/>
    <w:rPr>
      <w:i/>
    </w:rPr>
  </w:style>
  <w:style w:type="character" w:styleId="755" w:customStyle="1">
    <w:name w:val="Intense Quote Char"/>
    <w:uiPriority w:val="30"/>
    <w:rPr>
      <w:i/>
    </w:rPr>
  </w:style>
  <w:style w:type="character" w:styleId="756" w:customStyle="1">
    <w:name w:val="Footnote Text Char"/>
    <w:uiPriority w:val="99"/>
    <w:rPr>
      <w:sz w:val="18"/>
    </w:rPr>
  </w:style>
  <w:style w:type="character" w:styleId="757" w:customStyle="1">
    <w:name w:val="Endnote Text Char"/>
    <w:uiPriority w:val="99"/>
    <w:rPr>
      <w:sz w:val="20"/>
    </w:rPr>
  </w:style>
  <w:style w:type="character" w:styleId="758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59" w:customStyle="1">
    <w:name w:val="Heading 2 Char"/>
    <w:uiPriority w:val="9"/>
    <w:rPr>
      <w:rFonts w:ascii="Arial" w:hAnsi="Arial" w:eastAsia="Arial" w:cs="Arial"/>
      <w:sz w:val="34"/>
    </w:rPr>
  </w:style>
  <w:style w:type="character" w:styleId="760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61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62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63" w:customStyle="1">
    <w:name w:val="Заголовок 6 Знак"/>
    <w:link w:val="742"/>
    <w:uiPriority w:val="9"/>
    <w:rPr>
      <w:rFonts w:ascii="Arial" w:hAnsi="Arial" w:eastAsia="Arial" w:cs="Arial"/>
      <w:b/>
      <w:bCs/>
      <w:sz w:val="22"/>
      <w:szCs w:val="22"/>
    </w:rPr>
  </w:style>
  <w:style w:type="character" w:styleId="764" w:customStyle="1">
    <w:name w:val="Заголовок 7 Знак"/>
    <w:link w:val="7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5" w:customStyle="1">
    <w:name w:val="Заголовок 8 Знак"/>
    <w:link w:val="744"/>
    <w:uiPriority w:val="9"/>
    <w:rPr>
      <w:rFonts w:ascii="Arial" w:hAnsi="Arial" w:eastAsia="Arial" w:cs="Arial"/>
      <w:i/>
      <w:iCs/>
      <w:sz w:val="22"/>
      <w:szCs w:val="22"/>
    </w:rPr>
  </w:style>
  <w:style w:type="character" w:styleId="766" w:customStyle="1">
    <w:name w:val="Заголовок 9 Знак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67">
    <w:name w:val="List Paragraph"/>
    <w:basedOn w:val="736"/>
    <w:link w:val="1012"/>
    <w:uiPriority w:val="34"/>
    <w:qFormat/>
    <w:pPr>
      <w:contextualSpacing/>
      <w:ind w:left="720" w:firstLine="0"/>
      <w:jc w:val="left"/>
      <w:spacing w:after="200" w:line="276" w:lineRule="auto"/>
      <w:widowControl/>
    </w:pPr>
    <w:rPr>
      <w:rFonts w:ascii="Calibri" w:hAnsi="Calibri" w:cs="Times New Roman"/>
      <w:sz w:val="22"/>
      <w:szCs w:val="22"/>
      <w:lang w:eastAsia="en-US"/>
    </w:rPr>
  </w:style>
  <w:style w:type="paragraph" w:styleId="768">
    <w:name w:val="No Spacing"/>
    <w:uiPriority w:val="1"/>
    <w:qFormat/>
    <w:pPr>
      <w:ind w:firstLine="720"/>
      <w:jc w:val="both"/>
      <w:widowControl w:val="off"/>
    </w:pPr>
    <w:rPr>
      <w:rFonts w:ascii="Times New Roman CYR" w:hAnsi="Times New Roman CYR" w:cs="Times New Roman CYR"/>
      <w:sz w:val="24"/>
      <w:szCs w:val="24"/>
      <w:lang w:eastAsia="ru-RU"/>
    </w:rPr>
  </w:style>
  <w:style w:type="paragraph" w:styleId="769">
    <w:name w:val="Title"/>
    <w:basedOn w:val="736"/>
    <w:link w:val="943"/>
    <w:uiPriority w:val="10"/>
    <w:qFormat/>
    <w:pPr>
      <w:ind w:firstLine="0"/>
      <w:jc w:val="center"/>
      <w:widowControl/>
    </w:pPr>
    <w:rPr>
      <w:rFonts w:ascii="Calibri" w:hAnsi="Calibri" w:cs="Times New Roman"/>
      <w:b/>
      <w:sz w:val="28"/>
      <w:szCs w:val="22"/>
    </w:rPr>
  </w:style>
  <w:style w:type="character" w:styleId="770" w:customStyle="1">
    <w:name w:val="Title Char"/>
    <w:uiPriority w:val="10"/>
    <w:rPr>
      <w:sz w:val="48"/>
      <w:szCs w:val="48"/>
    </w:rPr>
  </w:style>
  <w:style w:type="paragraph" w:styleId="771">
    <w:name w:val="Subtitle"/>
    <w:basedOn w:val="736"/>
    <w:next w:val="736"/>
    <w:link w:val="772"/>
    <w:uiPriority w:val="11"/>
    <w:qFormat/>
    <w:pPr>
      <w:spacing w:before="200" w:after="200"/>
    </w:pPr>
  </w:style>
  <w:style w:type="character" w:styleId="772" w:customStyle="1">
    <w:name w:val="Подзаголовок Знак"/>
    <w:link w:val="771"/>
    <w:uiPriority w:val="11"/>
    <w:rPr>
      <w:sz w:val="24"/>
      <w:szCs w:val="24"/>
    </w:rPr>
  </w:style>
  <w:style w:type="paragraph" w:styleId="773">
    <w:name w:val="Quote"/>
    <w:basedOn w:val="736"/>
    <w:next w:val="736"/>
    <w:link w:val="774"/>
    <w:uiPriority w:val="29"/>
    <w:qFormat/>
    <w:pPr>
      <w:ind w:left="720" w:right="720"/>
    </w:pPr>
    <w:rPr>
      <w:i/>
    </w:rPr>
  </w:style>
  <w:style w:type="character" w:styleId="774" w:customStyle="1">
    <w:name w:val="Цитата 2 Знак"/>
    <w:link w:val="773"/>
    <w:uiPriority w:val="29"/>
    <w:rPr>
      <w:i/>
    </w:rPr>
  </w:style>
  <w:style w:type="paragraph" w:styleId="775">
    <w:name w:val="Intense Quote"/>
    <w:basedOn w:val="736"/>
    <w:next w:val="736"/>
    <w:link w:val="77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6" w:customStyle="1">
    <w:name w:val="Выделенная цитата Знак"/>
    <w:link w:val="775"/>
    <w:uiPriority w:val="30"/>
    <w:rPr>
      <w:i/>
    </w:rPr>
  </w:style>
  <w:style w:type="paragraph" w:styleId="777">
    <w:name w:val="Header"/>
    <w:basedOn w:val="736"/>
    <w:link w:val="93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78" w:customStyle="1">
    <w:name w:val="Header Char"/>
    <w:uiPriority w:val="99"/>
  </w:style>
  <w:style w:type="paragraph" w:styleId="779">
    <w:name w:val="Footer"/>
    <w:basedOn w:val="736"/>
    <w:link w:val="93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80" w:customStyle="1">
    <w:name w:val="Footer Char"/>
    <w:uiPriority w:val="99"/>
  </w:style>
  <w:style w:type="paragraph" w:styleId="781">
    <w:name w:val="Caption"/>
    <w:basedOn w:val="736"/>
    <w:next w:val="7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2" w:customStyle="1">
    <w:name w:val="Caption Char"/>
    <w:uiPriority w:val="99"/>
  </w:style>
  <w:style w:type="table" w:styleId="783">
    <w:name w:val="Table Grid"/>
    <w:basedOn w:val="747"/>
    <w:uiPriority w:val="39"/>
    <w:tblPr/>
  </w:style>
  <w:style w:type="table" w:styleId="78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5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6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7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8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0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1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1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1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1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8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2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2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2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25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3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2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4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5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5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5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53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4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7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7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7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7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8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8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0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0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0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0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0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09">
    <w:name w:val="Hyperlink"/>
    <w:uiPriority w:val="99"/>
    <w:rPr>
      <w:rFonts w:cs="Times New Roman"/>
      <w:color w:val="0000ff"/>
      <w:u w:val="single"/>
    </w:rPr>
  </w:style>
  <w:style w:type="paragraph" w:styleId="910">
    <w:name w:val="footnote text"/>
    <w:basedOn w:val="736"/>
    <w:link w:val="911"/>
    <w:uiPriority w:val="99"/>
    <w:semiHidden/>
    <w:unhideWhenUsed/>
    <w:pPr>
      <w:spacing w:after="40"/>
    </w:pPr>
    <w:rPr>
      <w:sz w:val="18"/>
    </w:rPr>
  </w:style>
  <w:style w:type="character" w:styleId="911" w:customStyle="1">
    <w:name w:val="Текст сноски Знак"/>
    <w:link w:val="910"/>
    <w:uiPriority w:val="99"/>
    <w:rPr>
      <w:sz w:val="18"/>
    </w:rPr>
  </w:style>
  <w:style w:type="character" w:styleId="912">
    <w:name w:val="footnote reference"/>
    <w:uiPriority w:val="99"/>
    <w:unhideWhenUsed/>
    <w:rPr>
      <w:vertAlign w:val="superscript"/>
    </w:rPr>
  </w:style>
  <w:style w:type="paragraph" w:styleId="913">
    <w:name w:val="endnote text"/>
    <w:basedOn w:val="736"/>
    <w:link w:val="914"/>
    <w:uiPriority w:val="99"/>
    <w:semiHidden/>
    <w:unhideWhenUsed/>
    <w:rPr>
      <w:sz w:val="20"/>
    </w:rPr>
  </w:style>
  <w:style w:type="character" w:styleId="914" w:customStyle="1">
    <w:name w:val="Текст концевой сноски Знак"/>
    <w:link w:val="913"/>
    <w:uiPriority w:val="99"/>
    <w:rPr>
      <w:sz w:val="20"/>
    </w:rPr>
  </w:style>
  <w:style w:type="character" w:styleId="915">
    <w:name w:val="endnote reference"/>
    <w:link w:val="1019"/>
    <w:uiPriority w:val="99"/>
    <w:semiHidden/>
    <w:unhideWhenUsed/>
    <w:rPr>
      <w:vertAlign w:val="superscript"/>
    </w:rPr>
  </w:style>
  <w:style w:type="paragraph" w:styleId="916">
    <w:name w:val="toc 1"/>
    <w:basedOn w:val="736"/>
    <w:next w:val="736"/>
    <w:uiPriority w:val="39"/>
    <w:unhideWhenUsed/>
    <w:pPr>
      <w:ind w:firstLine="0"/>
      <w:spacing w:after="57"/>
    </w:pPr>
  </w:style>
  <w:style w:type="paragraph" w:styleId="917">
    <w:name w:val="toc 2"/>
    <w:basedOn w:val="736"/>
    <w:next w:val="736"/>
    <w:uiPriority w:val="39"/>
    <w:unhideWhenUsed/>
    <w:pPr>
      <w:ind w:left="283" w:firstLine="0"/>
      <w:spacing w:after="57"/>
    </w:pPr>
  </w:style>
  <w:style w:type="paragraph" w:styleId="918">
    <w:name w:val="toc 3"/>
    <w:basedOn w:val="736"/>
    <w:next w:val="736"/>
    <w:uiPriority w:val="39"/>
    <w:unhideWhenUsed/>
    <w:pPr>
      <w:ind w:left="567" w:firstLine="0"/>
      <w:spacing w:after="57"/>
    </w:pPr>
  </w:style>
  <w:style w:type="paragraph" w:styleId="919">
    <w:name w:val="toc 4"/>
    <w:basedOn w:val="736"/>
    <w:next w:val="736"/>
    <w:uiPriority w:val="39"/>
    <w:unhideWhenUsed/>
    <w:pPr>
      <w:ind w:left="850" w:firstLine="0"/>
      <w:spacing w:after="57"/>
    </w:pPr>
  </w:style>
  <w:style w:type="paragraph" w:styleId="920">
    <w:name w:val="toc 5"/>
    <w:basedOn w:val="736"/>
    <w:next w:val="736"/>
    <w:uiPriority w:val="39"/>
    <w:unhideWhenUsed/>
    <w:pPr>
      <w:ind w:left="1134" w:firstLine="0"/>
      <w:spacing w:after="57"/>
    </w:pPr>
  </w:style>
  <w:style w:type="paragraph" w:styleId="921">
    <w:name w:val="toc 6"/>
    <w:basedOn w:val="736"/>
    <w:next w:val="736"/>
    <w:uiPriority w:val="39"/>
    <w:unhideWhenUsed/>
    <w:pPr>
      <w:ind w:left="1417" w:firstLine="0"/>
      <w:spacing w:after="57"/>
    </w:pPr>
  </w:style>
  <w:style w:type="paragraph" w:styleId="922">
    <w:name w:val="toc 7"/>
    <w:basedOn w:val="736"/>
    <w:next w:val="736"/>
    <w:uiPriority w:val="39"/>
    <w:unhideWhenUsed/>
    <w:pPr>
      <w:ind w:left="1701" w:firstLine="0"/>
      <w:spacing w:after="57"/>
    </w:pPr>
  </w:style>
  <w:style w:type="paragraph" w:styleId="923">
    <w:name w:val="toc 8"/>
    <w:basedOn w:val="736"/>
    <w:next w:val="736"/>
    <w:uiPriority w:val="39"/>
    <w:unhideWhenUsed/>
    <w:pPr>
      <w:ind w:left="1984" w:firstLine="0"/>
      <w:spacing w:after="57"/>
    </w:pPr>
  </w:style>
  <w:style w:type="paragraph" w:styleId="924">
    <w:name w:val="toc 9"/>
    <w:basedOn w:val="736"/>
    <w:next w:val="736"/>
    <w:uiPriority w:val="39"/>
    <w:unhideWhenUsed/>
    <w:pPr>
      <w:ind w:left="2268" w:firstLine="0"/>
      <w:spacing w:after="57"/>
    </w:pPr>
  </w:style>
  <w:style w:type="paragraph" w:styleId="925">
    <w:name w:val="TOC Heading"/>
    <w:uiPriority w:val="39"/>
    <w:unhideWhenUsed/>
  </w:style>
  <w:style w:type="paragraph" w:styleId="926">
    <w:name w:val="table of figures"/>
    <w:basedOn w:val="736"/>
    <w:next w:val="736"/>
    <w:uiPriority w:val="99"/>
    <w:unhideWhenUsed/>
  </w:style>
  <w:style w:type="character" w:styleId="927" w:customStyle="1">
    <w:name w:val="Заголовок 1 Знак"/>
    <w:link w:val="737"/>
    <w:uiPriority w:val="9"/>
    <w:rPr>
      <w:rFonts w:ascii="Cambria" w:hAnsi="Cambria" w:cs="Times New Roman"/>
      <w:b/>
      <w:sz w:val="32"/>
    </w:rPr>
  </w:style>
  <w:style w:type="character" w:styleId="928" w:customStyle="1">
    <w:name w:val="Заголовок 2 Знак"/>
    <w:link w:val="738"/>
    <w:uiPriority w:val="9"/>
    <w:rPr>
      <w:rFonts w:ascii="Cambria" w:hAnsi="Cambria" w:cs="Times New Roman"/>
      <w:b/>
      <w:i/>
      <w:sz w:val="28"/>
    </w:rPr>
  </w:style>
  <w:style w:type="character" w:styleId="929" w:customStyle="1">
    <w:name w:val="Заголовок 3 Знак"/>
    <w:link w:val="739"/>
    <w:uiPriority w:val="9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styleId="930" w:customStyle="1">
    <w:name w:val="Заголовок 4 Знак"/>
    <w:link w:val="740"/>
    <w:uiPriority w:val="9"/>
    <w:semiHidden/>
    <w:rPr>
      <w:rFonts w:ascii="Cambria" w:hAnsi="Cambria" w:cs="Times New Roman"/>
      <w:b/>
      <w:bCs/>
      <w:i/>
      <w:iCs/>
      <w:color w:val="4f81bd"/>
    </w:rPr>
  </w:style>
  <w:style w:type="character" w:styleId="931" w:customStyle="1">
    <w:name w:val="Заголовок 5 Знак"/>
    <w:link w:val="741"/>
    <w:uiPriority w:val="9"/>
    <w:rPr>
      <w:rFonts w:cs="Times New Roman"/>
      <w:b/>
      <w:bCs/>
      <w:i/>
      <w:iCs/>
      <w:sz w:val="26"/>
      <w:szCs w:val="26"/>
      <w:lang w:val="en-US" w:eastAsia="en-US"/>
    </w:rPr>
  </w:style>
  <w:style w:type="character" w:styleId="932" w:customStyle="1">
    <w:name w:val="Цветовое выделение"/>
    <w:uiPriority w:val="99"/>
    <w:rPr>
      <w:b/>
      <w:color w:val="26282f"/>
    </w:rPr>
  </w:style>
  <w:style w:type="character" w:styleId="933" w:customStyle="1">
    <w:name w:val="Гипертекстовая ссылка"/>
    <w:uiPriority w:val="99"/>
    <w:rPr>
      <w:b/>
      <w:color w:val="106bbe"/>
    </w:rPr>
  </w:style>
  <w:style w:type="paragraph" w:styleId="934" w:customStyle="1">
    <w:name w:val="Нормальный (таблица)"/>
    <w:basedOn w:val="736"/>
    <w:next w:val="736"/>
    <w:uiPriority w:val="99"/>
    <w:pPr>
      <w:ind w:firstLine="0"/>
    </w:pPr>
  </w:style>
  <w:style w:type="paragraph" w:styleId="935" w:customStyle="1">
    <w:name w:val="Прижатый влево"/>
    <w:basedOn w:val="736"/>
    <w:next w:val="736"/>
    <w:uiPriority w:val="99"/>
    <w:pPr>
      <w:ind w:firstLine="0"/>
      <w:jc w:val="left"/>
    </w:pPr>
  </w:style>
  <w:style w:type="character" w:styleId="936" w:customStyle="1">
    <w:name w:val="Цветовое выделение для Текст"/>
    <w:uiPriority w:val="99"/>
    <w:rPr>
      <w:rFonts w:ascii="Times New Roman CYR" w:hAnsi="Times New Roman CYR"/>
    </w:rPr>
  </w:style>
  <w:style w:type="character" w:styleId="937" w:customStyle="1">
    <w:name w:val="Верхний колонтитул Знак"/>
    <w:link w:val="777"/>
    <w:uiPriority w:val="99"/>
    <w:rPr>
      <w:rFonts w:ascii="Times New Roman CYR" w:hAnsi="Times New Roman CYR" w:cs="Times New Roman"/>
      <w:sz w:val="24"/>
    </w:rPr>
  </w:style>
  <w:style w:type="character" w:styleId="938" w:customStyle="1">
    <w:name w:val="Нижний колонтитул Знак"/>
    <w:link w:val="779"/>
    <w:uiPriority w:val="99"/>
    <w:rPr>
      <w:rFonts w:ascii="Times New Roman CYR" w:hAnsi="Times New Roman CYR" w:cs="Times New Roman"/>
      <w:sz w:val="24"/>
    </w:rPr>
  </w:style>
  <w:style w:type="paragraph" w:styleId="939">
    <w:name w:val="Balloon Text"/>
    <w:basedOn w:val="736"/>
    <w:link w:val="940"/>
    <w:uiPriority w:val="99"/>
    <w:semiHidden/>
    <w:unhideWhenUsed/>
    <w:rPr>
      <w:rFonts w:ascii="Tahoma" w:hAnsi="Tahoma" w:cs="Tahoma"/>
      <w:sz w:val="16"/>
      <w:szCs w:val="16"/>
    </w:rPr>
  </w:style>
  <w:style w:type="character" w:styleId="940" w:customStyle="1">
    <w:name w:val="Текст выноски Знак"/>
    <w:link w:val="939"/>
    <w:uiPriority w:val="99"/>
    <w:semiHidden/>
    <w:rPr>
      <w:rFonts w:ascii="Tahoma" w:hAnsi="Tahoma" w:cs="Times New Roman"/>
      <w:sz w:val="16"/>
    </w:rPr>
  </w:style>
  <w:style w:type="paragraph" w:styleId="941" w:customStyle="1">
    <w:name w:val="s_1"/>
    <w:basedOn w:val="736"/>
    <w:pPr>
      <w:ind w:firstLine="0"/>
      <w:jc w:val="left"/>
      <w:spacing w:before="100" w:beforeAutospacing="1" w:after="100" w:afterAutospacing="1"/>
      <w:widowControl/>
    </w:pPr>
    <w:rPr>
      <w:rFonts w:ascii="Times New Roman" w:hAnsi="Times New Roman" w:cs="Times New Roman"/>
    </w:rPr>
  </w:style>
  <w:style w:type="paragraph" w:styleId="942" w:customStyle="1">
    <w:name w:val="ConsNormal"/>
    <w:link w:val="975"/>
    <w:pPr>
      <w:ind w:firstLine="720"/>
      <w:widowControl w:val="off"/>
    </w:pPr>
    <w:rPr>
      <w:rFonts w:ascii="Arial" w:hAnsi="Arial" w:cs="Arial"/>
      <w:lang w:eastAsia="ru-RU"/>
    </w:rPr>
  </w:style>
  <w:style w:type="character" w:styleId="943" w:customStyle="1">
    <w:name w:val="Заголовок Знак"/>
    <w:link w:val="769"/>
    <w:uiPriority w:val="10"/>
    <w:rPr>
      <w:rFonts w:ascii="Cambria" w:hAnsi="Cambria" w:cs="Times New Roman"/>
      <w:b/>
      <w:sz w:val="32"/>
    </w:rPr>
  </w:style>
  <w:style w:type="paragraph" w:styleId="944" w:customStyle="1">
    <w:name w:val="ConsPlusNormal"/>
    <w:link w:val="959"/>
    <w:qFormat/>
    <w:pPr>
      <w:widowControl w:val="off"/>
    </w:pPr>
    <w:rPr>
      <w:rFonts w:ascii="Arial" w:hAnsi="Arial" w:cs="Arial"/>
      <w:lang w:eastAsia="ru-RU"/>
    </w:rPr>
  </w:style>
  <w:style w:type="paragraph" w:styleId="945" w:customStyle="1">
    <w:name w:val="ConsNonformat"/>
    <w:uiPriority w:val="99"/>
    <w:pPr>
      <w:ind w:right="19772"/>
      <w:widowControl w:val="off"/>
    </w:pPr>
    <w:rPr>
      <w:rFonts w:ascii="Courier New" w:hAnsi="Courier New" w:cs="Courier New"/>
      <w:sz w:val="18"/>
      <w:szCs w:val="18"/>
      <w:lang w:eastAsia="ru-RU"/>
    </w:rPr>
  </w:style>
  <w:style w:type="paragraph" w:styleId="946">
    <w:name w:val="Body Text"/>
    <w:basedOn w:val="736"/>
    <w:link w:val="947"/>
    <w:uiPriority w:val="99"/>
    <w:pPr>
      <w:ind w:firstLine="0"/>
      <w:jc w:val="left"/>
      <w:spacing w:after="120" w:line="276" w:lineRule="auto"/>
      <w:widowControl/>
    </w:pPr>
    <w:rPr>
      <w:rFonts w:ascii="Calibri" w:hAnsi="Calibri" w:cs="Times New Roman"/>
      <w:sz w:val="22"/>
      <w:szCs w:val="20"/>
      <w:lang w:eastAsia="ar-SA"/>
    </w:rPr>
  </w:style>
  <w:style w:type="character" w:styleId="947" w:customStyle="1">
    <w:name w:val="Основной текст Знак"/>
    <w:link w:val="946"/>
    <w:uiPriority w:val="99"/>
    <w:rPr>
      <w:rFonts w:cs="Times New Roman"/>
      <w:sz w:val="22"/>
      <w:lang w:val="en-US" w:eastAsia="ar-SA" w:bidi="ar-SA"/>
    </w:rPr>
  </w:style>
  <w:style w:type="paragraph" w:styleId="948" w:customStyle="1">
    <w:name w:val="Пункт"/>
    <w:basedOn w:val="736"/>
    <w:pPr>
      <w:ind w:firstLine="0"/>
      <w:widowControl/>
    </w:pPr>
    <w:rPr>
      <w:rFonts w:ascii="Times New Roman" w:hAnsi="Times New Roman" w:cs="Times New Roman"/>
      <w:szCs w:val="28"/>
    </w:rPr>
  </w:style>
  <w:style w:type="paragraph" w:styleId="949">
    <w:name w:val="Normal (Web)"/>
    <w:basedOn w:val="736"/>
    <w:uiPriority w:val="99"/>
    <w:pPr>
      <w:ind w:firstLine="0"/>
      <w:jc w:val="left"/>
      <w:spacing w:before="100" w:beforeAutospacing="1" w:after="100" w:afterAutospacing="1"/>
      <w:widowControl/>
    </w:pPr>
    <w:rPr>
      <w:rFonts w:ascii="Times New Roman" w:hAnsi="Times New Roman" w:cs="Times New Roman"/>
    </w:rPr>
  </w:style>
  <w:style w:type="paragraph" w:styleId="950">
    <w:name w:val="Body Text 2"/>
    <w:basedOn w:val="736"/>
    <w:link w:val="951"/>
    <w:uiPriority w:val="99"/>
    <w:unhideWhenUsed/>
    <w:pPr>
      <w:spacing w:after="120" w:line="480" w:lineRule="auto"/>
    </w:pPr>
  </w:style>
  <w:style w:type="character" w:styleId="951" w:customStyle="1">
    <w:name w:val="Основной текст 2 Знак"/>
    <w:link w:val="950"/>
    <w:uiPriority w:val="99"/>
    <w:rPr>
      <w:rFonts w:ascii="Times New Roman CYR" w:hAnsi="Times New Roman CYR" w:cs="Times New Roman"/>
      <w:sz w:val="24"/>
    </w:rPr>
  </w:style>
  <w:style w:type="character" w:styleId="952" w:customStyle="1">
    <w:name w:val="apple-converted-space"/>
  </w:style>
  <w:style w:type="paragraph" w:styleId="953">
    <w:name w:val="Plain Text"/>
    <w:basedOn w:val="736"/>
    <w:link w:val="954"/>
    <w:uiPriority w:val="99"/>
    <w:pPr>
      <w:ind w:firstLine="0"/>
      <w:jc w:val="left"/>
      <w:widowControl/>
    </w:pPr>
    <w:rPr>
      <w:rFonts w:ascii="Courier New" w:hAnsi="Courier New" w:cs="Times New Roman"/>
      <w:sz w:val="20"/>
      <w:szCs w:val="20"/>
      <w:lang w:eastAsia="ar-SA"/>
    </w:rPr>
  </w:style>
  <w:style w:type="character" w:styleId="954" w:customStyle="1">
    <w:name w:val="Текст Знак"/>
    <w:link w:val="953"/>
    <w:uiPriority w:val="99"/>
    <w:rPr>
      <w:rFonts w:ascii="Courier New" w:hAnsi="Courier New" w:cs="Times New Roman"/>
      <w:lang w:val="en-US" w:eastAsia="ar-SA" w:bidi="ar-SA"/>
    </w:rPr>
  </w:style>
  <w:style w:type="table" w:styleId="955" w:customStyle="1">
    <w:name w:val="Сетка таблицы1"/>
    <w:basedOn w:val="747"/>
    <w:next w:val="783"/>
    <w:uiPriority w:val="39"/>
    <w:rPr>
      <w:rFonts w:ascii="Times New Roman" w:hAnsi="Times New Roman" w:cs="DejaVu Sans"/>
      <w:szCs w:val="24"/>
      <w:lang w:val="en-US" w:bidi="hi-IN"/>
    </w:rPr>
    <w:tblPr/>
  </w:style>
  <w:style w:type="paragraph" w:styleId="956" w:customStyle="1">
    <w:name w:val="Default"/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styleId="957" w:customStyle="1">
    <w:name w:val="enumerated"/>
    <w:rPr>
      <w:rFonts w:cs="Times New Roman"/>
    </w:rPr>
  </w:style>
  <w:style w:type="character" w:styleId="958" w:customStyle="1">
    <w:name w:val="Font Style20"/>
    <w:rPr>
      <w:rFonts w:ascii="Times New Roman" w:hAnsi="Times New Roman" w:cs="Times New Roman"/>
      <w:sz w:val="22"/>
      <w:szCs w:val="22"/>
    </w:rPr>
  </w:style>
  <w:style w:type="character" w:styleId="959" w:customStyle="1">
    <w:name w:val="ConsPlusNormal Знак"/>
    <w:link w:val="944"/>
    <w:rPr>
      <w:rFonts w:ascii="Arial" w:hAnsi="Arial"/>
    </w:rPr>
  </w:style>
  <w:style w:type="paragraph" w:styleId="960" w:customStyle="1">
    <w:name w:val="Текст сноски;Знак10;Знак11;Знак21"/>
    <w:basedOn w:val="736"/>
    <w:link w:val="961"/>
    <w:uiPriority w:val="99"/>
    <w:qFormat/>
    <w:pPr>
      <w:ind w:firstLine="0"/>
      <w:spacing w:after="60"/>
      <w:widowControl/>
    </w:pPr>
    <w:rPr>
      <w:rFonts w:ascii="Times New Roman" w:hAnsi="Times New Roman" w:cs="Times New Roman"/>
      <w:sz w:val="20"/>
      <w:szCs w:val="20"/>
    </w:rPr>
  </w:style>
  <w:style w:type="character" w:styleId="961" w:customStyle="1">
    <w:name w:val="Текст сноски Знак;Знак10 Знак;Знак11 Знак;Знак21 Знак"/>
    <w:link w:val="960"/>
    <w:uiPriority w:val="99"/>
    <w:rPr>
      <w:rFonts w:ascii="Times New Roman" w:hAnsi="Times New Roman" w:cs="Times New Roman"/>
    </w:rPr>
  </w:style>
  <w:style w:type="character" w:styleId="962" w:customStyle="1">
    <w:name w:val="Знак сноски;fr;Used by Word for Help footnote symbols;Знак сноски 1;Знак сноски-FN"/>
    <w:uiPriority w:val="99"/>
    <w:rPr>
      <w:rFonts w:cs="Times New Roman"/>
      <w:vertAlign w:val="superscript"/>
    </w:rPr>
  </w:style>
  <w:style w:type="paragraph" w:styleId="963" w:customStyle="1">
    <w:name w:val="Обычный4"/>
    <w:basedOn w:val="736"/>
    <w:qFormat/>
    <w:pPr>
      <w:ind w:left="60" w:right="60" w:firstLine="225"/>
      <w:spacing w:before="60" w:after="60"/>
      <w:widowControl/>
    </w:pPr>
    <w:rPr>
      <w:rFonts w:ascii="Arial" w:hAnsi="Arial" w:cs="Times New Roman"/>
      <w:color w:val="000000"/>
      <w:sz w:val="18"/>
      <w:szCs w:val="20"/>
    </w:rPr>
  </w:style>
  <w:style w:type="character" w:styleId="964" w:customStyle="1">
    <w:name w:val="Заголовок №1_"/>
    <w:link w:val="965"/>
    <w:rPr>
      <w:sz w:val="51"/>
      <w:shd w:val="clear" w:color="auto" w:fill="ffffff"/>
    </w:rPr>
  </w:style>
  <w:style w:type="paragraph" w:styleId="965" w:customStyle="1">
    <w:name w:val="Заголовок №1"/>
    <w:basedOn w:val="736"/>
    <w:link w:val="964"/>
    <w:pPr>
      <w:ind w:firstLine="0"/>
      <w:jc w:val="center"/>
      <w:spacing w:before="3720" w:after="240" w:line="240" w:lineRule="atLeast"/>
      <w:shd w:val="clear" w:color="auto" w:fill="ffffff"/>
      <w:widowControl/>
      <w:outlineLvl w:val="0"/>
    </w:pPr>
    <w:rPr>
      <w:rFonts w:ascii="Calibri" w:hAnsi="Calibri" w:cs="Calibri"/>
      <w:sz w:val="51"/>
      <w:szCs w:val="20"/>
      <w:shd w:val="clear" w:color="auto" w:fill="ffffff"/>
    </w:rPr>
  </w:style>
  <w:style w:type="paragraph" w:styleId="966" w:customStyle="1">
    <w:name w:val="ConsPlusNonformat"/>
    <w:pPr>
      <w:widowControl w:val="off"/>
    </w:pPr>
    <w:rPr>
      <w:rFonts w:ascii="Courier New" w:hAnsi="Courier New" w:cs="Courier New"/>
      <w:lang w:eastAsia="ru-RU"/>
    </w:rPr>
  </w:style>
  <w:style w:type="paragraph" w:styleId="967" w:customStyle="1">
    <w:name w:val="Абзац списка1"/>
    <w:basedOn w:val="736"/>
    <w:pPr>
      <w:contextualSpacing/>
      <w:ind w:left="720" w:firstLine="0"/>
      <w:jc w:val="left"/>
      <w:spacing w:after="200" w:line="276" w:lineRule="auto"/>
      <w:widowControl/>
    </w:pPr>
    <w:rPr>
      <w:rFonts w:ascii="Calibri" w:hAnsi="Calibri" w:cs="Times New Roman"/>
      <w:sz w:val="22"/>
      <w:szCs w:val="22"/>
      <w:lang w:eastAsia="en-US"/>
    </w:rPr>
  </w:style>
  <w:style w:type="paragraph" w:styleId="968">
    <w:name w:val="Body Text Indent 2"/>
    <w:basedOn w:val="736"/>
    <w:link w:val="969"/>
    <w:uiPriority w:val="99"/>
    <w:pPr>
      <w:ind w:left="283" w:firstLine="0"/>
      <w:jc w:val="left"/>
      <w:spacing w:after="120" w:line="480" w:lineRule="auto"/>
      <w:widowControl/>
    </w:pPr>
    <w:rPr>
      <w:rFonts w:ascii="Calibri" w:hAnsi="Calibri" w:cs="Times New Roman"/>
      <w:sz w:val="22"/>
      <w:szCs w:val="22"/>
      <w:lang w:eastAsia="en-US"/>
    </w:rPr>
  </w:style>
  <w:style w:type="character" w:styleId="969" w:customStyle="1">
    <w:name w:val="Основной текст с отступом 2 Знак"/>
    <w:link w:val="968"/>
    <w:uiPriority w:val="99"/>
    <w:rPr>
      <w:rFonts w:cs="Times New Roman"/>
      <w:sz w:val="22"/>
      <w:szCs w:val="22"/>
      <w:lang w:val="en-US" w:eastAsia="en-US"/>
    </w:rPr>
  </w:style>
  <w:style w:type="paragraph" w:styleId="970">
    <w:name w:val="Body Text Indent"/>
    <w:basedOn w:val="736"/>
    <w:link w:val="971"/>
    <w:uiPriority w:val="99"/>
    <w:pPr>
      <w:ind w:left="283" w:firstLine="0"/>
      <w:jc w:val="left"/>
      <w:spacing w:after="120" w:line="276" w:lineRule="auto"/>
      <w:widowControl/>
    </w:pPr>
    <w:rPr>
      <w:rFonts w:ascii="Calibri" w:hAnsi="Calibri" w:cs="Times New Roman"/>
      <w:sz w:val="22"/>
      <w:szCs w:val="22"/>
      <w:lang w:eastAsia="en-US"/>
    </w:rPr>
  </w:style>
  <w:style w:type="character" w:styleId="971" w:customStyle="1">
    <w:name w:val="Основной текст с отступом Знак"/>
    <w:link w:val="970"/>
    <w:uiPriority w:val="99"/>
    <w:rPr>
      <w:rFonts w:cs="Times New Roman"/>
      <w:sz w:val="22"/>
      <w:szCs w:val="22"/>
      <w:lang w:val="en-US" w:eastAsia="en-US"/>
    </w:rPr>
  </w:style>
  <w:style w:type="paragraph" w:styleId="972" w:customStyle="1">
    <w:name w:val="Normal1"/>
    <w:rPr>
      <w:rFonts w:ascii="Arial" w:hAnsi="Arial" w:cs="Times New Roman"/>
      <w:lang w:eastAsia="ru-RU"/>
    </w:rPr>
  </w:style>
  <w:style w:type="paragraph" w:styleId="973" w:customStyle="1">
    <w:name w:val="Обычный + 12 пт"/>
    <w:basedOn w:val="736"/>
    <w:link w:val="974"/>
    <w:pPr>
      <w:ind w:right="118" w:firstLine="0"/>
      <w:shd w:val="clear" w:color="auto" w:fill="ffffff"/>
      <w:widowControl/>
      <w:tabs>
        <w:tab w:val="left" w:pos="701" w:leader="none"/>
      </w:tabs>
    </w:pPr>
    <w:rPr>
      <w:rFonts w:ascii="Times New Roman" w:hAnsi="Times New Roman" w:cs="Times New Roman"/>
      <w:b/>
    </w:rPr>
  </w:style>
  <w:style w:type="character" w:styleId="974" w:customStyle="1">
    <w:name w:val="Обычный + 12 пт Знак"/>
    <w:link w:val="973"/>
    <w:rPr>
      <w:rFonts w:ascii="Times New Roman" w:hAnsi="Times New Roman"/>
      <w:b/>
      <w:sz w:val="24"/>
      <w:shd w:val="clear" w:color="auto" w:fill="ffffff"/>
    </w:rPr>
  </w:style>
  <w:style w:type="character" w:styleId="975" w:customStyle="1">
    <w:name w:val="ConsNormal Знак"/>
    <w:link w:val="942"/>
    <w:rPr>
      <w:rFonts w:ascii="Arial" w:hAnsi="Arial"/>
    </w:rPr>
  </w:style>
  <w:style w:type="paragraph" w:styleId="976" w:customStyle="1">
    <w:name w:val="Абзац списка2"/>
    <w:basedOn w:val="736"/>
    <w:pPr>
      <w:contextualSpacing/>
      <w:ind w:left="720" w:firstLine="0"/>
      <w:jc w:val="left"/>
      <w:spacing w:after="200" w:line="276" w:lineRule="auto"/>
      <w:widowControl/>
    </w:pPr>
    <w:rPr>
      <w:rFonts w:ascii="Calibri" w:hAnsi="Calibri" w:cs="Times New Roman"/>
      <w:sz w:val="22"/>
      <w:szCs w:val="22"/>
      <w:lang w:eastAsia="en-US"/>
    </w:rPr>
  </w:style>
  <w:style w:type="paragraph" w:styleId="977" w:customStyle="1">
    <w:name w:val="Style6"/>
    <w:basedOn w:val="736"/>
    <w:pPr>
      <w:ind w:firstLine="0"/>
      <w:spacing w:line="258" w:lineRule="exact"/>
    </w:pPr>
    <w:rPr>
      <w:rFonts w:ascii="Times New Roman" w:hAnsi="Times New Roman" w:cs="Times New Roman"/>
    </w:rPr>
  </w:style>
  <w:style w:type="paragraph" w:styleId="978">
    <w:name w:val="HTML Preformatted"/>
    <w:basedOn w:val="736"/>
    <w:link w:val="979"/>
    <w:uiPriority w:val="99"/>
    <w:pPr>
      <w:ind w:firstLine="0"/>
      <w:jc w:val="left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979" w:customStyle="1">
    <w:name w:val="Стандартный HTML Знак"/>
    <w:link w:val="978"/>
    <w:uiPriority w:val="99"/>
    <w:rPr>
      <w:rFonts w:ascii="Courier New" w:hAnsi="Courier New" w:cs="Courier New"/>
    </w:rPr>
  </w:style>
  <w:style w:type="character" w:styleId="980" w:customStyle="1">
    <w:name w:val="product-spec__name-inner"/>
  </w:style>
  <w:style w:type="character" w:styleId="981" w:customStyle="1">
    <w:name w:val="product-spec__value-inner"/>
  </w:style>
  <w:style w:type="character" w:styleId="982" w:customStyle="1">
    <w:name w:val="gloss"/>
  </w:style>
  <w:style w:type="character" w:styleId="983" w:customStyle="1">
    <w:name w:val="nobr"/>
  </w:style>
  <w:style w:type="character" w:styleId="984" w:customStyle="1">
    <w:name w:val="thname"/>
  </w:style>
  <w:style w:type="character" w:styleId="985" w:customStyle="1">
    <w:name w:val="thvalue"/>
  </w:style>
  <w:style w:type="paragraph" w:styleId="986" w:customStyle="1">
    <w:name w:val="Основной текст 21"/>
    <w:basedOn w:val="736"/>
    <w:pPr>
      <w:ind w:firstLine="0"/>
      <w:jc w:val="left"/>
      <w:widowControl/>
    </w:pPr>
    <w:rPr>
      <w:rFonts w:ascii="Times New Roman" w:hAnsi="Times New Roman" w:cs="Times New Roman"/>
      <w:b/>
      <w:bCs/>
      <w:sz w:val="28"/>
      <w:szCs w:val="20"/>
      <w:lang w:eastAsia="ar-SA"/>
    </w:rPr>
  </w:style>
  <w:style w:type="paragraph" w:styleId="987" w:customStyle="1">
    <w:name w:val="Абзац списка3"/>
    <w:basedOn w:val="736"/>
    <w:pPr>
      <w:ind w:left="720" w:firstLine="0"/>
      <w:jc w:val="left"/>
      <w:widowControl/>
    </w:pPr>
    <w:rPr>
      <w:rFonts w:ascii="Calibri" w:hAnsi="Calibri" w:cs="Calibri"/>
      <w:sz w:val="22"/>
      <w:szCs w:val="22"/>
      <w:lang w:eastAsia="en-US"/>
    </w:rPr>
  </w:style>
  <w:style w:type="paragraph" w:styleId="988" w:customStyle="1">
    <w:name w:val="FR1"/>
    <w:basedOn w:val="736"/>
    <w:uiPriority w:val="99"/>
    <w:pPr>
      <w:ind w:left="40" w:firstLine="120"/>
      <w:spacing w:line="252" w:lineRule="auto"/>
      <w:widowControl/>
    </w:pPr>
    <w:rPr>
      <w:rFonts w:ascii="Times New Roman" w:hAnsi="Times New Roman" w:cs="Times New Roman"/>
      <w:sz w:val="28"/>
      <w:szCs w:val="28"/>
      <w:lang w:eastAsia="ar-SA"/>
    </w:rPr>
  </w:style>
  <w:style w:type="paragraph" w:styleId="989" w:customStyle="1">
    <w:name w:val="Style8"/>
    <w:basedOn w:val="736"/>
    <w:pPr>
      <w:ind w:firstLine="0"/>
      <w:jc w:val="left"/>
    </w:pPr>
    <w:rPr>
      <w:rFonts w:ascii="Times New Roman" w:hAnsi="Times New Roman" w:cs="Times New Roman"/>
    </w:rPr>
  </w:style>
  <w:style w:type="character" w:styleId="990" w:customStyle="1">
    <w:name w:val="Font Style14"/>
    <w:rPr>
      <w:rFonts w:ascii="Times New Roman" w:hAnsi="Times New Roman"/>
      <w:b/>
      <w:sz w:val="20"/>
    </w:rPr>
  </w:style>
  <w:style w:type="paragraph" w:styleId="991" w:customStyle="1">
    <w:name w:val="Обычный1"/>
    <w:pPr>
      <w:ind w:firstLine="400"/>
      <w:jc w:val="both"/>
      <w:widowControl w:val="off"/>
    </w:pPr>
    <w:rPr>
      <w:rFonts w:ascii="Times New Roman" w:hAnsi="Times New Roman" w:cs="Times New Roman"/>
      <w:sz w:val="24"/>
      <w:lang w:eastAsia="ru-RU"/>
    </w:rPr>
  </w:style>
  <w:style w:type="character" w:styleId="992" w:customStyle="1">
    <w:name w:val="Основной текст_"/>
    <w:link w:val="993"/>
    <w:rPr>
      <w:spacing w:val="7"/>
      <w:sz w:val="27"/>
      <w:shd w:val="clear" w:color="auto" w:fill="ffffff"/>
    </w:rPr>
  </w:style>
  <w:style w:type="paragraph" w:styleId="993" w:customStyle="1">
    <w:name w:val="Основной текст2"/>
    <w:basedOn w:val="736"/>
    <w:link w:val="992"/>
    <w:pPr>
      <w:ind w:firstLine="0"/>
      <w:jc w:val="left"/>
      <w:spacing w:after="840" w:line="240" w:lineRule="atLeast"/>
      <w:shd w:val="clear" w:color="auto" w:fill="ffffff"/>
    </w:pPr>
    <w:rPr>
      <w:rFonts w:ascii="Calibri" w:hAnsi="Calibri" w:cs="Calibri"/>
      <w:spacing w:val="7"/>
      <w:sz w:val="27"/>
      <w:szCs w:val="27"/>
    </w:rPr>
  </w:style>
  <w:style w:type="paragraph" w:styleId="994" w:customStyle="1">
    <w:name w:val="Условия контракта"/>
    <w:basedOn w:val="736"/>
    <w:qFormat/>
    <w:pPr>
      <w:ind w:left="720" w:hanging="360"/>
      <w:spacing w:before="240" w:after="120"/>
      <w:widowControl/>
      <w:tabs>
        <w:tab w:val="num" w:pos="720" w:leader="none"/>
      </w:tabs>
    </w:pPr>
    <w:rPr>
      <w:rFonts w:ascii="Times New Roman" w:hAnsi="Times New Roman" w:cs="Times New Roman"/>
      <w:b/>
      <w:szCs w:val="20"/>
      <w:lang w:eastAsia="ar-SA"/>
    </w:rPr>
  </w:style>
  <w:style w:type="paragraph" w:styleId="995">
    <w:name w:val="annotation text"/>
    <w:basedOn w:val="736"/>
    <w:link w:val="996"/>
    <w:uiPriority w:val="99"/>
    <w:unhideWhenUsed/>
    <w:pPr>
      <w:ind w:firstLine="0"/>
      <w:jc w:val="left"/>
      <w:spacing w:after="200" w:line="276" w:lineRule="auto"/>
      <w:widowControl/>
    </w:pPr>
    <w:rPr>
      <w:rFonts w:ascii="Calibri" w:hAnsi="Calibri" w:cs="Times New Roman"/>
      <w:sz w:val="20"/>
      <w:szCs w:val="20"/>
      <w:lang w:eastAsia="en-US"/>
    </w:rPr>
  </w:style>
  <w:style w:type="character" w:styleId="996" w:customStyle="1">
    <w:name w:val="Текст примечания Знак"/>
    <w:link w:val="995"/>
    <w:uiPriority w:val="99"/>
    <w:rPr>
      <w:rFonts w:eastAsia="Times New Roman" w:cs="Times New Roman"/>
      <w:lang w:val="en-US" w:eastAsia="en-US"/>
    </w:rPr>
  </w:style>
  <w:style w:type="character" w:styleId="997" w:customStyle="1">
    <w:name w:val="Тема примечания Знак"/>
    <w:link w:val="998"/>
    <w:uiPriority w:val="99"/>
    <w:rPr>
      <w:rFonts w:eastAsia="Times New Roman"/>
      <w:b/>
    </w:rPr>
  </w:style>
  <w:style w:type="paragraph" w:styleId="998">
    <w:name w:val="annotation subject"/>
    <w:basedOn w:val="995"/>
    <w:next w:val="995"/>
    <w:link w:val="997"/>
    <w:uiPriority w:val="99"/>
    <w:unhideWhenUsed/>
    <w:rPr>
      <w:b/>
      <w:bCs/>
      <w:lang w:eastAsia="ru-RU"/>
    </w:rPr>
  </w:style>
  <w:style w:type="character" w:styleId="999" w:customStyle="1">
    <w:name w:val="Тема примечания Знак1"/>
    <w:uiPriority w:val="99"/>
    <w:semiHidden/>
    <w:rPr>
      <w:rFonts w:ascii="Times New Roman CYR" w:hAnsi="Times New Roman CYR" w:eastAsia="Times New Roman" w:cs="Times New Roman CYR"/>
      <w:b/>
      <w:bCs/>
      <w:lang w:val="en-US" w:eastAsia="en-US"/>
    </w:rPr>
  </w:style>
  <w:style w:type="character" w:styleId="1000" w:customStyle="1">
    <w:name w:val="Тема примечания Знак12"/>
    <w:uiPriority w:val="99"/>
    <w:semiHidden/>
    <w:rPr>
      <w:rFonts w:ascii="Times New Roman CYR" w:hAnsi="Times New Roman CYR" w:eastAsia="Times New Roman" w:cs="Times New Roman CYR"/>
      <w:b/>
      <w:bCs/>
      <w:lang w:val="en-US" w:eastAsia="en-US"/>
    </w:rPr>
  </w:style>
  <w:style w:type="character" w:styleId="1001" w:customStyle="1">
    <w:name w:val="Тема примечания Знак11"/>
    <w:uiPriority w:val="99"/>
    <w:rPr>
      <w:rFonts w:eastAsia="Times New Roman" w:cs="Times New Roman"/>
      <w:b/>
      <w:bCs/>
      <w:lang w:val="en-US" w:eastAsia="en-US"/>
    </w:rPr>
  </w:style>
  <w:style w:type="paragraph" w:styleId="1002" w:customStyle="1">
    <w:name w:val="Обычный + по ширине"/>
    <w:basedOn w:val="736"/>
    <w:uiPriority w:val="99"/>
    <w:pPr>
      <w:ind w:firstLine="0"/>
      <w:widowControl/>
    </w:pPr>
    <w:rPr>
      <w:rFonts w:ascii="Times New Roman" w:hAnsi="Times New Roman" w:cs="Times New Roman"/>
    </w:rPr>
  </w:style>
  <w:style w:type="paragraph" w:styleId="1003" w:customStyle="1">
    <w:name w:val="ConsPlusCell"/>
    <w:uiPriority w:val="99"/>
    <w:pPr>
      <w:widowControl w:val="off"/>
    </w:pPr>
    <w:rPr>
      <w:sz w:val="22"/>
      <w:szCs w:val="22"/>
      <w:lang w:eastAsia="ru-RU"/>
    </w:rPr>
  </w:style>
  <w:style w:type="character" w:styleId="1004" w:customStyle="1">
    <w:name w:val="n-product-spec__value-inner"/>
  </w:style>
  <w:style w:type="character" w:styleId="1005" w:customStyle="1">
    <w:name w:val="Font Style12"/>
    <w:uiPriority w:val="99"/>
    <w:rPr>
      <w:rFonts w:ascii="Times New Roman" w:hAnsi="Times New Roman"/>
      <w:sz w:val="22"/>
    </w:rPr>
  </w:style>
  <w:style w:type="paragraph" w:styleId="1006" w:customStyle="1">
    <w:name w:val="Pa21"/>
    <w:basedOn w:val="736"/>
    <w:next w:val="736"/>
    <w:pPr>
      <w:ind w:firstLine="0"/>
      <w:jc w:val="left"/>
      <w:spacing w:before="120" w:line="211" w:lineRule="atLeast"/>
      <w:widowControl/>
    </w:pPr>
    <w:rPr>
      <w:rFonts w:ascii="GaramondC" w:hAnsi="GaramondC" w:cs="Times New Roman"/>
    </w:rPr>
  </w:style>
  <w:style w:type="character" w:styleId="1007">
    <w:name w:val="Strong"/>
    <w:uiPriority w:val="22"/>
    <w:qFormat/>
    <w:rPr>
      <w:rFonts w:cs="Times New Roman"/>
      <w:b/>
    </w:rPr>
  </w:style>
  <w:style w:type="character" w:styleId="1008">
    <w:name w:val="Subtle Emphasis"/>
    <w:uiPriority w:val="19"/>
    <w:qFormat/>
    <w:rPr>
      <w:rFonts w:cs="Times New Roman"/>
      <w:i/>
      <w:color w:val="808080"/>
    </w:rPr>
  </w:style>
  <w:style w:type="character" w:styleId="1009" w:customStyle="1">
    <w:name w:val="tendersubject1"/>
    <w:rPr>
      <w:b/>
      <w:sz w:val="20"/>
    </w:rPr>
  </w:style>
  <w:style w:type="paragraph" w:styleId="1010" w:customStyle="1">
    <w:name w:val="Style1"/>
    <w:basedOn w:val="736"/>
    <w:pPr>
      <w:ind w:firstLine="0"/>
      <w:jc w:val="center"/>
      <w:spacing w:before="480" w:after="240"/>
      <w:widowControl/>
      <w:tabs>
        <w:tab w:val="num" w:pos="360" w:leader="none"/>
      </w:tabs>
    </w:pPr>
    <w:rPr>
      <w:rFonts w:ascii="Arial" w:hAnsi="Arial" w:cs="Times New Roman"/>
      <w:b/>
    </w:rPr>
  </w:style>
  <w:style w:type="paragraph" w:styleId="1011" w:customStyle="1">
    <w:name w:val="Обычный (Web)"/>
    <w:basedOn w:val="736"/>
    <w:pPr>
      <w:ind w:firstLine="0"/>
      <w:jc w:val="left"/>
      <w:spacing w:before="100" w:after="100"/>
      <w:widowControl/>
    </w:pPr>
    <w:rPr>
      <w:rFonts w:ascii="Arial" w:hAnsi="Arial" w:cs="Times New Roman"/>
      <w:sz w:val="16"/>
    </w:rPr>
  </w:style>
  <w:style w:type="character" w:styleId="1012" w:customStyle="1">
    <w:name w:val="Абзац списка Знак"/>
    <w:link w:val="767"/>
    <w:uiPriority w:val="34"/>
    <w:rPr>
      <w:sz w:val="22"/>
      <w:lang w:val="en-US" w:eastAsia="en-US"/>
    </w:rPr>
  </w:style>
  <w:style w:type="paragraph" w:styleId="1013" w:customStyle="1">
    <w:name w:val="Основной текст1"/>
    <w:basedOn w:val="736"/>
    <w:pPr>
      <w:ind w:firstLine="0"/>
      <w:jc w:val="left"/>
      <w:spacing w:line="254" w:lineRule="auto"/>
      <w:shd w:val="clear" w:color="auto" w:fill="ffffff"/>
    </w:pPr>
    <w:rPr>
      <w:rFonts w:ascii="Times New Roman" w:hAnsi="Times New Roman" w:cs="Times New Roman"/>
      <w:sz w:val="17"/>
      <w:szCs w:val="17"/>
      <w:lang w:eastAsia="en-US"/>
    </w:rPr>
  </w:style>
  <w:style w:type="character" w:styleId="1014" w:customStyle="1">
    <w:name w:val="Основной текст (2)_"/>
    <w:link w:val="1015"/>
    <w:uiPriority w:val="99"/>
    <w:rPr>
      <w:shd w:val="clear" w:color="auto" w:fill="ffffff"/>
    </w:rPr>
  </w:style>
  <w:style w:type="paragraph" w:styleId="1015" w:customStyle="1">
    <w:name w:val="Основной текст (2)"/>
    <w:basedOn w:val="736"/>
    <w:link w:val="1014"/>
    <w:uiPriority w:val="99"/>
    <w:pPr>
      <w:ind w:firstLine="600"/>
      <w:jc w:val="left"/>
      <w:spacing w:line="276" w:lineRule="auto"/>
      <w:shd w:val="clear" w:color="auto" w:fill="ffffff"/>
    </w:pPr>
    <w:rPr>
      <w:rFonts w:ascii="Calibri" w:hAnsi="Calibri" w:cs="Calibri"/>
      <w:sz w:val="20"/>
      <w:szCs w:val="20"/>
    </w:rPr>
  </w:style>
  <w:style w:type="paragraph" w:styleId="1016" w:customStyle="1">
    <w:name w:val="Основной текст3"/>
    <w:basedOn w:val="922"/>
    <w:pPr>
      <w:ind w:left="0"/>
      <w:spacing w:after="0"/>
      <w:shd w:val="clear" w:color="auto" w:fill="ffffff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cs="Times New Roman"/>
    </w:rPr>
  </w:style>
  <w:style w:type="paragraph" w:styleId="1017" w:customStyle="1">
    <w:name w:val="Style23"/>
    <w:basedOn w:val="920"/>
    <w:pPr>
      <w:ind w:left="0" w:firstLine="2198"/>
      <w:jc w:val="left"/>
      <w:spacing w:after="0" w:line="557" w:lineRule="exac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cs="Times New Roman"/>
    </w:rPr>
  </w:style>
  <w:style w:type="character" w:styleId="1018" w:customStyle="1">
    <w:name w:val="Font Style39"/>
    <w:uiPriority w:val="99"/>
    <w:rPr>
      <w:rFonts w:ascii="Times New Roman" w:hAnsi="Times New Roman" w:cs="Times New Roman"/>
      <w:sz w:val="26"/>
      <w:szCs w:val="26"/>
    </w:rPr>
  </w:style>
  <w:style w:type="character" w:styleId="1019" w:customStyle="1">
    <w:name w:val="Гиперссылка1"/>
    <w:link w:val="915"/>
    <w:uiPriority w:val="99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hyperlink" Target="http://tender@edincentrutil.com" TargetMode="External"/><Relationship Id="rId15" Type="http://schemas.openxmlformats.org/officeDocument/2006/relationships/hyperlink" Target="mailto:19_upr@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НПП "Гарант-Сервис"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revision>17</cp:revision>
  <dcterms:created xsi:type="dcterms:W3CDTF">2025-08-28T08:27:00Z</dcterms:created>
  <dcterms:modified xsi:type="dcterms:W3CDTF">2026-07-28T03:43:12Z</dcterms:modified>
  <cp:version>983040</cp:version>
</cp:coreProperties>
</file>