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jc w:val="center"/>
        <w:rPr>
          <w:sz w:val="26"/>
          <w:szCs w:val="26"/>
        </w:rPr>
      </w:pPr>
      <w:r>
        <w:rPr>
          <w:sz w:val="26"/>
          <w:szCs w:val="26"/>
        </w:rPr>
        <w:t xml:space="preserve">Государственный контракт </w:t>
      </w:r>
    </w:p>
    <w:p>
      <w:pPr>
        <w:pStyle w:val="Normal"/>
        <w:shd w:val="clear" w:color="auto" w:fill="FFFFFF"/>
        <w:jc w:val="center"/>
        <w:rPr>
          <w:sz w:val="26"/>
          <w:szCs w:val="26"/>
        </w:rPr>
      </w:pPr>
      <w:r>
        <w:rPr>
          <w:sz w:val="26"/>
          <w:szCs w:val="26"/>
        </w:rPr>
        <w:t>на поставку товаров для государственных нужд</w:t>
      </w:r>
    </w:p>
    <w:p>
      <w:pPr>
        <w:pStyle w:val="Normal"/>
        <w:shd w:val="clear" w:color="auto" w:fill="FFFFFF"/>
        <w:jc w:val="center"/>
        <w:rPr>
          <w:sz w:val="26"/>
          <w:szCs w:val="26"/>
        </w:rPr>
      </w:pPr>
      <w:r>
        <w:rPr>
          <w:sz w:val="26"/>
          <w:szCs w:val="26"/>
        </w:rPr>
        <w:t xml:space="preserve">№ </w:t>
      </w:r>
      <w:r>
        <w:rPr>
          <w:sz w:val="26"/>
          <w:szCs w:val="26"/>
        </w:rPr>
        <w:t>______</w:t>
      </w:r>
    </w:p>
    <w:p>
      <w:pPr>
        <w:pStyle w:val="Normal"/>
        <w:shd w:val="clear" w:color="auto" w:fill="FFFFFF"/>
        <w:ind w:firstLine="708"/>
        <w:jc w:val="both"/>
        <w:rPr>
          <w:sz w:val="26"/>
          <w:szCs w:val="26"/>
        </w:rPr>
      </w:pPr>
      <w:r>
        <w:rPr>
          <w:sz w:val="26"/>
          <w:szCs w:val="26"/>
        </w:rPr>
      </w:r>
    </w:p>
    <w:p>
      <w:pPr>
        <w:pStyle w:val="Normal"/>
        <w:shd w:val="clear" w:color="auto" w:fill="FFFFFF"/>
        <w:jc w:val="both"/>
        <w:rPr>
          <w:sz w:val="26"/>
          <w:szCs w:val="26"/>
        </w:rPr>
      </w:pPr>
      <w:r>
        <w:rPr>
          <w:sz w:val="26"/>
          <w:szCs w:val="26"/>
        </w:rPr>
        <w:t>г. Архангельск</w:t>
        <w:tab/>
        <w:tab/>
        <w:tab/>
        <w:tab/>
        <w:t xml:space="preserve">                                         «___» ________ 2026 г.</w:t>
      </w:r>
    </w:p>
    <w:p>
      <w:pPr>
        <w:pStyle w:val="Normal"/>
        <w:shd w:val="clear" w:color="auto" w:fill="FFFFFF"/>
        <w:jc w:val="both"/>
        <w:rPr>
          <w:sz w:val="26"/>
          <w:szCs w:val="26"/>
        </w:rPr>
      </w:pPr>
      <w:r>
        <w:rPr>
          <w:sz w:val="26"/>
          <w:szCs w:val="26"/>
        </w:rPr>
      </w:r>
    </w:p>
    <w:p>
      <w:pPr>
        <w:pStyle w:val="Normal"/>
        <w:ind w:firstLine="709"/>
        <w:jc w:val="both"/>
        <w:rPr>
          <w:sz w:val="26"/>
          <w:szCs w:val="26"/>
        </w:rPr>
      </w:pPr>
      <w:r>
        <w:rPr>
          <w:b/>
          <w:sz w:val="26"/>
          <w:szCs w:val="26"/>
        </w:rPr>
        <w:t>Федеральное казенное учреждение здравоохранения «Медико-санитарная часть № 29 Федеральной службы исполнения наказаний»,</w:t>
      </w:r>
      <w:r>
        <w:rPr>
          <w:sz w:val="26"/>
          <w:szCs w:val="26"/>
        </w:rPr>
        <w:t xml:space="preserve"> выступающее от имени Российской Федерации, именуемое в дальнейшем «Государственный заказчик»,</w:t>
        <w:br/>
        <w:t>в лице ____________________________________, действующего на основании Устава _____________________________________________________, с одной стороны, и ______________________________________________________, именуемое в дальнейшем «Поставщик», в лице _______________________, действующего (ей) на основании Устава, с другой стороны, в дальнейшем</w:t>
        <w:br/>
        <w:t>вместе именуемые "СТОРОНЫ",</w:t>
      </w:r>
      <w:r>
        <w:rPr>
          <w:sz w:val="26"/>
          <w:szCs w:val="26"/>
          <w:shd w:fill="auto" w:val="clear"/>
        </w:rPr>
        <w:t xml:space="preserve"> </w:t>
      </w:r>
      <w:r>
        <w:rPr>
          <w:rFonts w:cs="XO Thames;Times New Roman" w:ascii="XO Thames;Times New Roman" w:hAnsi="XO Thames;Times New Roman"/>
          <w:sz w:val="26"/>
          <w:szCs w:val="26"/>
          <w:shd w:fill="auto" w:val="clear"/>
        </w:rPr>
        <w:t>р</w:t>
      </w:r>
      <w:r>
        <w:rPr>
          <w:rFonts w:eastAsia="Arial" w:cs="XO Thames" w:ascii="XO Thames" w:hAnsi="XO Thames"/>
          <w:color w:val="000000"/>
          <w:sz w:val="26"/>
          <w:szCs w:val="26"/>
          <w:shd w:fill="auto" w:val="clear"/>
          <w:lang w:val="ru-RU" w:eastAsia="zh-CN" w:bidi="ar-SA"/>
        </w:rPr>
        <w:t>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распоряжением Правительства Российской Федерации от 28.04.2018 № 824-р                        «О создании единого агрегатора торговли»,</w:t>
      </w:r>
      <w:r>
        <w:rPr>
          <w:sz w:val="26"/>
          <w:szCs w:val="26"/>
          <w:shd w:fill="auto" w:val="clear"/>
        </w:rPr>
        <w:t xml:space="preserve"> </w:t>
      </w:r>
      <w:r>
        <w:rPr>
          <w:sz w:val="26"/>
          <w:szCs w:val="26"/>
        </w:rPr>
        <w:t xml:space="preserve">и на основании итогового протокола закупочной сессии ЕАТ от ___ № </w:t>
      </w:r>
      <w:r>
        <w:rPr>
          <w:b/>
          <w:sz w:val="26"/>
          <w:szCs w:val="26"/>
        </w:rPr>
        <w:t>________________</w:t>
      </w:r>
      <w:r>
        <w:rPr>
          <w:rFonts w:eastAsia="Calibri"/>
          <w:color w:val="000000"/>
          <w:sz w:val="26"/>
          <w:szCs w:val="26"/>
          <w:lang w:eastAsia="en-US"/>
        </w:rPr>
        <w:t xml:space="preserve">, </w:t>
      </w:r>
      <w:r>
        <w:rPr>
          <w:sz w:val="26"/>
          <w:szCs w:val="26"/>
        </w:rPr>
        <w:t>«Государственный заказчик» и «Поставщик»,</w:t>
      </w:r>
      <w:r>
        <w:rPr>
          <w:rFonts w:eastAsia="Times New Roman" w:cs="Times New Roman"/>
          <w:color w:val="auto"/>
          <w:kern w:val="0"/>
          <w:sz w:val="26"/>
          <w:szCs w:val="26"/>
          <w:lang w:val="ru-RU" w:eastAsia="zh-CN" w:bidi="ar-SA"/>
        </w:rPr>
        <w:t xml:space="preserve"> ИКЗ 26 1 2912000516 290101001 0006 000 0000 244</w:t>
      </w:r>
      <w:r>
        <w:rPr>
          <w:b/>
          <w:sz w:val="26"/>
          <w:szCs w:val="26"/>
        </w:rPr>
        <w:t>,</w:t>
      </w:r>
      <w:r>
        <w:rPr>
          <w:sz w:val="26"/>
          <w:szCs w:val="26"/>
        </w:rPr>
        <w:t xml:space="preserve"> заключили настоящий Государственный контракт (далее - Контракт) о нижеследующем:  </w:t>
      </w:r>
    </w:p>
    <w:p>
      <w:pPr>
        <w:pStyle w:val="Normal"/>
        <w:jc w:val="both"/>
        <w:rPr>
          <w:sz w:val="26"/>
          <w:szCs w:val="26"/>
        </w:rPr>
      </w:pPr>
      <w:r>
        <w:rPr>
          <w:sz w:val="26"/>
          <w:szCs w:val="26"/>
        </w:rPr>
      </w:r>
    </w:p>
    <w:p>
      <w:pPr>
        <w:pStyle w:val="ListParagraph"/>
        <w:numPr>
          <w:ilvl w:val="0"/>
          <w:numId w:val="1"/>
        </w:numPr>
        <w:shd w:val="clear" w:color="auto" w:fill="FFFFFF"/>
        <w:ind w:hanging="0" w:left="0"/>
        <w:jc w:val="center"/>
        <w:rPr>
          <w:b/>
          <w:sz w:val="26"/>
          <w:szCs w:val="26"/>
        </w:rPr>
      </w:pPr>
      <w:r>
        <w:rPr>
          <w:b/>
          <w:sz w:val="26"/>
          <w:szCs w:val="26"/>
        </w:rPr>
        <w:t>Предмет Контракта</w:t>
      </w:r>
    </w:p>
    <w:p>
      <w:pPr>
        <w:pStyle w:val="Normal"/>
        <w:ind w:firstLine="567"/>
        <w:jc w:val="both"/>
        <w:rPr>
          <w:sz w:val="26"/>
          <w:szCs w:val="26"/>
        </w:rPr>
      </w:pPr>
      <w:r>
        <w:rPr>
          <w:sz w:val="26"/>
          <w:szCs w:val="26"/>
        </w:rPr>
        <w:t xml:space="preserve">1.1. Предметом настоящего Контракта является </w:t>
      </w:r>
      <w:r>
        <w:rPr>
          <w:b/>
          <w:sz w:val="26"/>
          <w:szCs w:val="26"/>
        </w:rPr>
        <w:t xml:space="preserve">поставка </w:t>
      </w:r>
      <w:r>
        <w:rPr>
          <w:b/>
          <w:bCs/>
          <w:sz w:val="26"/>
          <w:szCs w:val="26"/>
        </w:rPr>
        <w:t xml:space="preserve">марок почтовых негашеных </w:t>
      </w:r>
      <w:r>
        <w:rPr>
          <w:sz w:val="26"/>
          <w:szCs w:val="26"/>
        </w:rPr>
        <w:t>(далее – Товар) в соответствии со Спецификацией (Приложение к настоящему Контракту), являющейся неотъемлемой частью настоящего Контракта. (ОКПД 2  58.19.14.110).</w:t>
      </w:r>
    </w:p>
    <w:p>
      <w:pPr>
        <w:pStyle w:val="Normal"/>
        <w:ind w:firstLine="567"/>
        <w:jc w:val="both"/>
        <w:rPr>
          <w:sz w:val="26"/>
          <w:szCs w:val="26"/>
        </w:rPr>
      </w:pPr>
      <w:r>
        <w:rPr>
          <w:sz w:val="26"/>
          <w:szCs w:val="26"/>
        </w:rPr>
        <w:t>1.2. Поставщик обязуется поставить Товар, а Государственный Заказчик обязуется принять и оплатить Товар в порядке и на условиях, установленных настоящим Контрактом.</w:t>
      </w:r>
    </w:p>
    <w:p>
      <w:pPr>
        <w:pStyle w:val="Normal"/>
        <w:ind w:firstLine="709"/>
        <w:jc w:val="both"/>
        <w:rPr>
          <w:sz w:val="26"/>
          <w:szCs w:val="26"/>
        </w:rPr>
      </w:pPr>
      <w:r>
        <w:rPr>
          <w:sz w:val="26"/>
          <w:szCs w:val="26"/>
        </w:rPr>
        <w:t xml:space="preserve"> </w:t>
      </w:r>
    </w:p>
    <w:p>
      <w:pPr>
        <w:pStyle w:val="Normal"/>
        <w:shd w:val="clear" w:color="auto" w:fill="FFFFFF"/>
        <w:jc w:val="center"/>
        <w:rPr>
          <w:b/>
          <w:sz w:val="26"/>
          <w:szCs w:val="26"/>
        </w:rPr>
      </w:pPr>
      <w:r>
        <w:rPr>
          <w:b/>
          <w:sz w:val="26"/>
          <w:szCs w:val="26"/>
        </w:rPr>
        <w:t xml:space="preserve">2. Цены и порядок расчетов </w:t>
      </w:r>
    </w:p>
    <w:p>
      <w:pPr>
        <w:pStyle w:val="Normal"/>
        <w:widowControl w:val="false"/>
        <w:suppressAutoHyphens w:val="false"/>
        <w:spacing w:before="0" w:after="0"/>
        <w:ind w:firstLine="624"/>
        <w:contextualSpacing/>
        <w:jc w:val="both"/>
        <w:rPr>
          <w:sz w:val="26"/>
          <w:szCs w:val="26"/>
          <w:lang w:eastAsia="ru-RU"/>
        </w:rPr>
      </w:pPr>
      <w:r>
        <w:rPr>
          <w:sz w:val="26"/>
          <w:szCs w:val="26"/>
        </w:rPr>
        <w:t xml:space="preserve">2.1. </w:t>
      </w:r>
      <w:r>
        <w:rPr>
          <w:sz w:val="26"/>
          <w:szCs w:val="26"/>
          <w:lang w:eastAsia="ru-RU"/>
        </w:rPr>
        <w:t>Цена Контракта и валюта платежа устанавливаются в российских рублях.</w:t>
      </w:r>
    </w:p>
    <w:p>
      <w:pPr>
        <w:pStyle w:val="Normal"/>
        <w:shd w:val="clear" w:color="auto" w:fill="FFFFFF"/>
        <w:ind w:firstLine="624"/>
        <w:jc w:val="both"/>
        <w:rPr>
          <w:sz w:val="26"/>
          <w:szCs w:val="26"/>
        </w:rPr>
      </w:pPr>
      <w:r>
        <w:rPr>
          <w:sz w:val="26"/>
          <w:szCs w:val="26"/>
        </w:rPr>
        <w:t>2.2 Цена Контракта составляет _________ (__________________________________) руб. ___ коп., с учетом НДС _______(_____) руб. ____коп., стоимости товара, тары и упаковки, налогов, в том числе расходов на перевозку, погрузо-разгрузочных работ, страхование, уплату таможенных пошлин и других обязательных платежей, предусмотренных законодательством Российской Федерации.</w:t>
      </w:r>
    </w:p>
    <w:p>
      <w:pPr>
        <w:pStyle w:val="Normal"/>
        <w:spacing w:beforeAutospacing="1" w:afterAutospacing="1"/>
        <w:ind w:firstLine="624"/>
        <w:contextualSpacing/>
        <w:jc w:val="both"/>
        <w:rPr>
          <w:sz w:val="26"/>
          <w:szCs w:val="26"/>
        </w:rPr>
      </w:pPr>
      <w:r>
        <w:rPr>
          <w:sz w:val="26"/>
          <w:szCs w:val="26"/>
        </w:rPr>
        <w:t xml:space="preserve">2.3. </w:t>
      </w:r>
      <w:r>
        <w:rPr>
          <w:rFonts w:cs="XO Thames;Cambria" w:ascii="XO Thames;Cambria" w:hAnsi="XO Thames;Cambria"/>
          <w:color w:val="000000"/>
          <w:sz w:val="26"/>
          <w:szCs w:val="26"/>
          <w:shd w:fill="FFFFFF" w:val="clear"/>
          <w:lang w:eastAsia="ru-RU"/>
        </w:rPr>
        <w:t xml:space="preserve">Расчеты за поставленный Товар производятся в рублях Российской Федерации в форме безналичного расчета денежными средствами, выделяемыми из федерального бюджета на 2026 год, путем перечисления денежных средств на расчетный счет Поставщика, не позднее 10 (десяти) рабочих дней с даты подписания без замечаний Акта приемки по ф. 0510452 (далее Акт приемки), на основании документов на оплату: счета-фактуры, товарной накладной или универсального передаточного документа, предоставленных Поставщиком, а так же документов, предусмотренных </w:t>
      </w:r>
      <w:hyperlink w:anchor="P180">
        <w:r>
          <w:rPr>
            <w:rStyle w:val="Hyperlink"/>
            <w:rFonts w:cs="XO Thames;Cambria" w:ascii="XO Thames;Cambria" w:hAnsi="XO Thames;Cambria"/>
            <w:color w:val="000000"/>
            <w:sz w:val="26"/>
            <w:szCs w:val="26"/>
            <w:shd w:fill="FFFFFF" w:val="clear"/>
            <w:lang w:eastAsia="ru-RU"/>
          </w:rPr>
          <w:t>пунктом 5.3</w:t>
        </w:r>
      </w:hyperlink>
      <w:r>
        <w:rPr>
          <w:rFonts w:cs="XO Thames;Cambria" w:ascii="XO Thames;Cambria" w:hAnsi="XO Thames;Cambria"/>
          <w:color w:val="000000"/>
          <w:sz w:val="26"/>
          <w:szCs w:val="26"/>
          <w:shd w:fill="FFFFFF" w:val="clear"/>
          <w:lang w:eastAsia="ru-RU"/>
        </w:rPr>
        <w:t xml:space="preserve"> Контракта.</w:t>
      </w:r>
      <w:r>
        <w:rPr>
          <w:sz w:val="26"/>
          <w:szCs w:val="26"/>
        </w:rPr>
        <w:t xml:space="preserve"> КВР 244.</w:t>
      </w:r>
    </w:p>
    <w:p>
      <w:pPr>
        <w:pStyle w:val="Normal"/>
        <w:shd w:val="clear" w:color="auto" w:fill="FFFFFF"/>
        <w:ind w:firstLine="624"/>
        <w:jc w:val="both"/>
        <w:rPr>
          <w:color w:val="000000"/>
          <w:sz w:val="26"/>
          <w:szCs w:val="26"/>
        </w:rPr>
      </w:pPr>
      <w:r>
        <w:rPr>
          <w:sz w:val="26"/>
          <w:szCs w:val="26"/>
        </w:rPr>
        <w:t xml:space="preserve">2.4. Цена Контракта </w:t>
      </w:r>
      <w:r>
        <w:rPr>
          <w:color w:val="000000"/>
          <w:sz w:val="26"/>
          <w:szCs w:val="26"/>
        </w:rPr>
        <w:t xml:space="preserve">является твердой и не может изменяться в ходе его исполнения, за исключением случаев, предусмотренных </w:t>
      </w:r>
      <w:r>
        <w:rPr>
          <w:sz w:val="26"/>
          <w:szCs w:val="26"/>
        </w:rPr>
        <w:t>Федеральным законом</w:t>
        <w:br/>
        <w:t>от 05.04.2013 № 44-ФЗ «</w:t>
      </w:r>
      <w:r>
        <w:rPr>
          <w:rFonts w:eastAsia="Calibri"/>
          <w:color w:val="000000"/>
          <w:sz w:val="26"/>
          <w:szCs w:val="26"/>
          <w:lang w:eastAsia="en-US"/>
        </w:rPr>
        <w:t>О контрактной системе в сфере закупок товаров, работ, услуг для обеспечения государственных и муниципальных нужд</w:t>
      </w:r>
      <w:r>
        <w:rPr>
          <w:sz w:val="26"/>
          <w:szCs w:val="26"/>
        </w:rPr>
        <w:t>» (далее – Закон</w:t>
        <w:br/>
        <w:t>№ 44-ФЗ) и разделом 10 настоящего Контракта.</w:t>
      </w:r>
      <w:r>
        <w:rPr>
          <w:color w:val="000000"/>
          <w:sz w:val="26"/>
          <w:szCs w:val="26"/>
        </w:rPr>
        <w:t xml:space="preserve"> </w:t>
      </w:r>
    </w:p>
    <w:p>
      <w:pPr>
        <w:pStyle w:val="Normal"/>
        <w:shd w:val="clear" w:color="auto" w:fill="FFFFFF"/>
        <w:ind w:firstLine="624"/>
        <w:jc w:val="both"/>
        <w:rPr>
          <w:color w:val="000000"/>
          <w:sz w:val="26"/>
          <w:szCs w:val="26"/>
        </w:rPr>
      </w:pPr>
      <w:r>
        <w:rPr>
          <w:sz w:val="26"/>
          <w:szCs w:val="26"/>
        </w:rPr>
        <w:t xml:space="preserve">2.5. Обязательства Государственного заказчика по оплате поставленного Товара считаются выполненными в день списания денежных средств со счета Государственного заказчика.      </w:t>
      </w:r>
    </w:p>
    <w:p>
      <w:pPr>
        <w:pStyle w:val="Normal"/>
        <w:shd w:val="clear" w:color="auto" w:fill="FFFFFF"/>
        <w:ind w:firstLine="624"/>
        <w:jc w:val="both"/>
        <w:rPr>
          <w:sz w:val="26"/>
          <w:szCs w:val="26"/>
        </w:rPr>
      </w:pPr>
      <w:r>
        <w:rPr>
          <w:sz w:val="26"/>
          <w:szCs w:val="26"/>
        </w:rPr>
        <w:t>2.6. К платежным требованиям-поручениям Поставщик обязан приложить документ, подтверждающий приемку Товара, заверенный оригиналом оттиска печати и подписью материально ответственного лица Государственного заказчика.</w:t>
      </w:r>
    </w:p>
    <w:p>
      <w:pPr>
        <w:pStyle w:val="Normal"/>
        <w:widowControl w:val="false"/>
        <w:shd w:val="clear" w:color="auto" w:fill="FFFFFF"/>
        <w:ind w:firstLine="624"/>
        <w:jc w:val="both"/>
        <w:rPr>
          <w:rFonts w:eastAsia="Arial"/>
          <w:color w:val="000000"/>
          <w:sz w:val="26"/>
          <w:szCs w:val="26"/>
        </w:rPr>
      </w:pPr>
      <w:r>
        <w:rPr>
          <w:rFonts w:eastAsia="Arial"/>
          <w:color w:val="000000"/>
          <w:sz w:val="26"/>
          <w:szCs w:val="26"/>
        </w:rPr>
        <w:t>2.7. Оплата по Контракту осуществляется в рублях Российской Федерации</w:t>
        <w:br/>
        <w:t>в безналичном порядке в форме платежных поручений путем перечисления Государственный заказчиком выделенных из федерального бюджета денежных средств на расчетный счет Поставщика.</w:t>
      </w:r>
    </w:p>
    <w:p>
      <w:pPr>
        <w:pStyle w:val="Normal"/>
        <w:suppressAutoHyphens w:val="false"/>
        <w:ind w:firstLine="624"/>
        <w:jc w:val="both"/>
        <w:rPr>
          <w:sz w:val="26"/>
          <w:szCs w:val="26"/>
          <w:lang w:eastAsia="ru-RU"/>
        </w:rPr>
      </w:pPr>
      <w:r>
        <w:rPr>
          <w:sz w:val="26"/>
          <w:szCs w:val="26"/>
          <w:lang w:eastAsia="ru-RU"/>
        </w:rPr>
        <w:t>2.8 . При заключении Контракта допускается возможность оформления, обмена и подписания электронной подписью документов на ЕАТ и ЕИС в соответствии с Федеральным законом от 06.04.2011 № 63-ФЗ «Об электронной подписи» 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w:t>
      </w:r>
    </w:p>
    <w:p>
      <w:pPr>
        <w:pStyle w:val="Normal"/>
        <w:suppressAutoHyphens w:val="false"/>
        <w:ind w:firstLine="540"/>
        <w:jc w:val="both"/>
        <w:rPr>
          <w:b/>
          <w:sz w:val="26"/>
          <w:szCs w:val="26"/>
        </w:rPr>
      </w:pPr>
      <w:r>
        <w:rPr>
          <w:sz w:val="26"/>
          <w:szCs w:val="26"/>
          <w:lang w:eastAsia="ru-RU"/>
        </w:rPr>
        <w:tab/>
      </w:r>
    </w:p>
    <w:p>
      <w:pPr>
        <w:pStyle w:val="Normal"/>
        <w:shd w:val="clear" w:color="auto" w:fill="FFFFFF"/>
        <w:ind w:firstLine="567"/>
        <w:jc w:val="center"/>
        <w:rPr>
          <w:b/>
          <w:sz w:val="26"/>
          <w:szCs w:val="26"/>
        </w:rPr>
      </w:pPr>
      <w:r>
        <w:rPr>
          <w:b/>
          <w:sz w:val="26"/>
          <w:szCs w:val="26"/>
        </w:rPr>
        <w:t>3. Качество, гарантии и порядок приемки Товара, Экспертиза</w:t>
      </w:r>
    </w:p>
    <w:p>
      <w:pPr>
        <w:pStyle w:val="Normal"/>
        <w:shd w:val="clear" w:color="auto" w:fill="FFFFFF"/>
        <w:ind w:firstLine="567"/>
        <w:jc w:val="both"/>
        <w:rPr>
          <w:sz w:val="26"/>
          <w:szCs w:val="26"/>
        </w:rPr>
      </w:pPr>
      <w:r>
        <w:rPr>
          <w:sz w:val="26"/>
          <w:szCs w:val="26"/>
        </w:rPr>
        <w:t>3.1.</w:t>
      </w:r>
      <w:r>
        <w:rPr>
          <w:rFonts w:cs="PT Astra Serif" w:ascii="PT Astra Serif" w:hAnsi="PT Astra Serif"/>
          <w:sz w:val="26"/>
          <w:szCs w:val="26"/>
          <w:lang w:val="ru-RU"/>
        </w:rPr>
        <w:t xml:space="preserve"> Гарантия качества товара:</w:t>
      </w:r>
    </w:p>
    <w:p>
      <w:pPr>
        <w:pStyle w:val="Normal"/>
        <w:shd w:val="clear" w:color="auto" w:fill="FFFFFF"/>
        <w:ind w:firstLine="567"/>
        <w:jc w:val="both"/>
        <w:rPr/>
      </w:pPr>
      <w:r>
        <w:rPr>
          <w:rFonts w:cs="PT Astra Serif" w:ascii="PT Astra Serif" w:hAnsi="PT Astra Serif"/>
          <w:sz w:val="26"/>
          <w:szCs w:val="26"/>
          <w:lang w:val="ru-RU"/>
        </w:rPr>
        <w:t xml:space="preserve">3.1.1. </w:t>
      </w:r>
      <w:r>
        <w:rPr>
          <w:rFonts w:cs="PT Astra Serif" w:ascii="PT Astra Serif" w:hAnsi="PT Astra Serif"/>
          <w:color w:val="000000"/>
          <w:sz w:val="26"/>
          <w:szCs w:val="26"/>
          <w:lang w:val="ru-RU"/>
        </w:rPr>
        <w:t>Товар по качеству, характеристикам (потребительским свойствам), безопасности должен соответствовать требованиям законодательства РФ, с</w:t>
      </w:r>
      <w:r>
        <w:rPr>
          <w:rFonts w:cs="PT Astra Serif" w:ascii="PT Astra Serif" w:hAnsi="PT Astra Serif"/>
          <w:color w:val="000000"/>
          <w:sz w:val="22"/>
          <w:szCs w:val="22"/>
          <w:lang w:val="ru-RU"/>
        </w:rPr>
        <w:t>оответствоват</w:t>
      </w:r>
      <w:r>
        <w:rPr>
          <w:rFonts w:cs="PT Astra Serif" w:ascii="PT Astra Serif" w:hAnsi="PT Astra Serif"/>
          <w:color w:val="000000"/>
          <w:sz w:val="26"/>
          <w:szCs w:val="26"/>
        </w:rPr>
        <w:t xml:space="preserve">ь Положению о знаках почтовой оплаты и специальных почтовых штемпелях Российской Федерации, утверждённого приказом Министерства связи Российской Федерации от 26.05.1994 № 115 «Об утверждении Положения о знаках почтовой оплаты и специальных почтовых штемпелях Российской Федерации» </w:t>
      </w:r>
    </w:p>
    <w:p>
      <w:pPr>
        <w:pStyle w:val="Normal"/>
        <w:shd w:val="clear" w:color="auto" w:fill="FFFFFF"/>
        <w:ind w:firstLine="567"/>
        <w:jc w:val="both"/>
        <w:rPr/>
      </w:pPr>
      <w:r>
        <w:rPr>
          <w:rFonts w:cs="PT Astra Serif" w:ascii="PT Astra Serif" w:hAnsi="PT Astra Serif"/>
          <w:color w:val="000000"/>
          <w:sz w:val="26"/>
          <w:szCs w:val="26"/>
        </w:rPr>
        <w:t>3.1.2. Поставка Товара должна осущес</w:t>
      </w:r>
      <w:r>
        <w:rPr>
          <w:sz w:val="26"/>
          <w:szCs w:val="26"/>
        </w:rPr>
        <w:t>твляться в соответствующей упаковке, исключающей механические повреждения, загрязнения, проникновение влаги. Упаковка должна обеспечивать сохранность Товара при транспортировке и хранении.</w:t>
      </w:r>
    </w:p>
    <w:p>
      <w:pPr>
        <w:pStyle w:val="Normal"/>
        <w:shd w:val="clear" w:color="auto" w:fill="FFFFFF"/>
        <w:ind w:firstLine="567"/>
        <w:jc w:val="both"/>
        <w:rPr>
          <w:sz w:val="26"/>
          <w:szCs w:val="26"/>
        </w:rPr>
      </w:pPr>
      <w:r>
        <w:rPr>
          <w:sz w:val="26"/>
          <w:szCs w:val="26"/>
        </w:rPr>
        <w:tab/>
        <w:t>3.1.3. Поставляемый Товар должен быть новым Товаром (Товаром, который не был в употреблении, у которого не были восстановлены потребительские свойства);</w:t>
      </w:r>
    </w:p>
    <w:p>
      <w:pPr>
        <w:pStyle w:val="Normal"/>
        <w:shd w:val="clear" w:color="auto" w:fill="FFFFFF"/>
        <w:ind w:firstLine="567"/>
        <w:jc w:val="both"/>
        <w:rPr>
          <w:sz w:val="26"/>
          <w:szCs w:val="26"/>
        </w:rPr>
      </w:pPr>
      <w:r>
        <w:rPr>
          <w:sz w:val="26"/>
          <w:szCs w:val="26"/>
        </w:rPr>
        <w:t>3.1.4. Поставщик должен поставить Товар в соответствии со Спецификацией (Приложение  к Контракту);</w:t>
      </w:r>
    </w:p>
    <w:p>
      <w:pPr>
        <w:pStyle w:val="Normal"/>
        <w:shd w:val="clear" w:color="auto" w:fill="FFFFFF"/>
        <w:ind w:firstLine="567"/>
        <w:jc w:val="both"/>
        <w:rPr>
          <w:sz w:val="26"/>
          <w:szCs w:val="26"/>
        </w:rPr>
      </w:pPr>
      <w:r>
        <w:rPr>
          <w:sz w:val="26"/>
          <w:szCs w:val="26"/>
        </w:rPr>
        <w:t>3.1.5. Поставщик гарантирует качество поставляемого Товара в соответствии с действующими стандартами, утвержденными на данный вид Товара.</w:t>
      </w:r>
    </w:p>
    <w:p>
      <w:pPr>
        <w:pStyle w:val="Normal"/>
        <w:shd w:val="clear" w:color="auto" w:fill="FFFFFF"/>
        <w:ind w:firstLine="567"/>
        <w:jc w:val="both"/>
        <w:rPr>
          <w:sz w:val="26"/>
          <w:szCs w:val="26"/>
        </w:rPr>
      </w:pPr>
      <w:r>
        <w:rPr>
          <w:sz w:val="26"/>
          <w:szCs w:val="26"/>
        </w:rPr>
        <w:t>3.1.6. Устранение дефектов, каких-либо недостатков, недопоставки Товара производится Поставщиком в течение 10 (Десяти) рабочих дней со дня поступления заявления от Заказчика о них.</w:t>
      </w:r>
    </w:p>
    <w:p>
      <w:pPr>
        <w:pStyle w:val="Normal"/>
        <w:shd w:val="clear" w:color="auto" w:fill="FFFFFF"/>
        <w:ind w:firstLine="567"/>
        <w:jc w:val="both"/>
        <w:rPr>
          <w:sz w:val="26"/>
          <w:szCs w:val="26"/>
        </w:rPr>
      </w:pPr>
      <w:r>
        <w:rPr>
          <w:sz w:val="26"/>
          <w:szCs w:val="26"/>
        </w:rPr>
        <w:t xml:space="preserve">3.1.7. При обнаружении дефектов и невозможности их устранения на месте, этот Товар подлежит замене. </w:t>
      </w:r>
    </w:p>
    <w:p>
      <w:pPr>
        <w:pStyle w:val="Normal"/>
        <w:shd w:val="clear" w:color="auto" w:fill="FFFFFF"/>
        <w:ind w:firstLine="567"/>
        <w:jc w:val="both"/>
        <w:rPr>
          <w:sz w:val="26"/>
          <w:szCs w:val="26"/>
        </w:rPr>
      </w:pPr>
      <w:r>
        <w:rPr>
          <w:sz w:val="26"/>
          <w:szCs w:val="26"/>
        </w:rPr>
        <w:t>3.2. Поставщик гарантирует, что товар принадлеж</w:t>
      </w:r>
      <w:r>
        <w:rPr>
          <w:rFonts w:cs="PT Astra Serif" w:ascii="PT Astra Serif" w:hAnsi="PT Astra Serif"/>
          <w:color w:val="000000"/>
          <w:sz w:val="26"/>
          <w:szCs w:val="26"/>
          <w:lang w:val="ru-RU"/>
        </w:rPr>
        <w:t>ит ему на праве собственности, не состоит в судебном споре, никому не продан, не подарен, не находится под залогом, под арестом, свободен от обременения третьими лицами.</w:t>
      </w:r>
    </w:p>
    <w:p>
      <w:pPr>
        <w:pStyle w:val="Normal"/>
        <w:shd w:val="clear" w:color="auto" w:fill="FFFFFF"/>
        <w:ind w:firstLine="567"/>
        <w:jc w:val="both"/>
        <w:rPr>
          <w:sz w:val="26"/>
          <w:szCs w:val="26"/>
        </w:rPr>
      </w:pPr>
      <w:r>
        <w:rPr>
          <w:rFonts w:cs="PT Astra Serif" w:ascii="PT Astra Serif" w:hAnsi="PT Astra Serif"/>
          <w:color w:val="000000"/>
          <w:sz w:val="26"/>
          <w:szCs w:val="26"/>
          <w:lang w:val="ru-RU"/>
        </w:rPr>
        <w:t xml:space="preserve">3.3. </w:t>
      </w:r>
      <w:r>
        <w:rPr>
          <w:rFonts w:eastAsia="Times New Roman" w:cs="PT Astra Serif" w:ascii="PT Astra Serif" w:hAnsi="PT Astra Serif"/>
          <w:color w:val="000000"/>
          <w:kern w:val="0"/>
          <w:sz w:val="26"/>
          <w:szCs w:val="26"/>
          <w:lang w:val="ru-RU" w:eastAsia="zh-CN" w:bidi="ar-SA"/>
        </w:rPr>
        <w:t xml:space="preserve">Срок предоставления поставщиком документов, подтверждающих выполнение обязательств по контракту: одновременно с поставкой Товара Поставщиком передаются надлежащим образом оформленные сопроводительные документы, Акт приемки товаров, работ, услуг по форме ОКУД 0510452 (Приказ Минфина от 15.04.2021 г. № 61н). Составление сопроводительных документов осуществляет Поставщик. </w:t>
      </w:r>
    </w:p>
    <w:p>
      <w:pPr>
        <w:pStyle w:val="Normal"/>
        <w:shd w:val="clear" w:color="auto" w:fill="FFFFFF"/>
        <w:ind w:firstLine="567"/>
        <w:jc w:val="both"/>
        <w:rPr>
          <w:sz w:val="26"/>
          <w:szCs w:val="26"/>
        </w:rPr>
      </w:pPr>
      <w:r>
        <w:rPr>
          <w:rFonts w:eastAsia="Times New Roman" w:cs="PT Astra Serif" w:ascii="PT Astra Serif" w:hAnsi="PT Astra Serif"/>
          <w:color w:val="000000"/>
          <w:kern w:val="0"/>
          <w:sz w:val="26"/>
          <w:szCs w:val="26"/>
          <w:lang w:val="ru-RU" w:eastAsia="zh-CN" w:bidi="ar-SA"/>
        </w:rPr>
        <w:t>3.4. Обязательство Поставщика по поставке товара считается исполненным</w:t>
        <w:br/>
        <w:t xml:space="preserve">с даты подписания товарной накладной </w:t>
      </w:r>
      <w:r>
        <w:rPr>
          <w:rFonts w:eastAsia="Times New Roman" w:cs="PT Astra Serif" w:ascii="PT Astra Serif" w:hAnsi="PT Astra Serif"/>
          <w:color w:val="000000"/>
          <w:kern w:val="0"/>
          <w:sz w:val="26"/>
          <w:szCs w:val="26"/>
          <w:lang w:val="en-US" w:eastAsia="zh-CN" w:bidi="ar-SA"/>
        </w:rPr>
        <w:t>(</w:t>
      </w:r>
      <w:r>
        <w:rPr>
          <w:rFonts w:eastAsia="Times New Roman" w:cs="PT Astra Serif" w:ascii="PT Astra Serif" w:hAnsi="PT Astra Serif"/>
          <w:color w:val="000000"/>
          <w:kern w:val="0"/>
          <w:sz w:val="26"/>
          <w:szCs w:val="26"/>
          <w:lang w:val="ru-RU" w:eastAsia="zh-CN" w:bidi="ar-SA"/>
        </w:rPr>
        <w:t>УПД) и Акта приемки товаров, работ, услуг по форме ОКУД 0510452 (Приказ Минфина от 15.04.2021 г. № 61н)</w:t>
      </w:r>
      <w:r>
        <w:rPr>
          <w:rFonts w:eastAsia="Times New Roman" w:cs="PT Astra Serif" w:ascii="PT Astra Serif" w:hAnsi="PT Astra Serif"/>
          <w:color w:val="000000"/>
          <w:kern w:val="0"/>
          <w:sz w:val="26"/>
          <w:szCs w:val="26"/>
          <w:shd w:fill="FFFF00" w:val="clear"/>
          <w:lang w:val="ru-RU" w:eastAsia="zh-CN" w:bidi="ar-SA"/>
        </w:rPr>
        <w:t xml:space="preserve">. </w:t>
      </w:r>
      <w:r>
        <w:rPr>
          <w:rFonts w:eastAsia="Times New Roman" w:cs="PT Astra Serif" w:ascii="PT Astra Serif" w:hAnsi="PT Astra Serif"/>
          <w:color w:val="000000"/>
          <w:kern w:val="0"/>
          <w:sz w:val="26"/>
          <w:szCs w:val="26"/>
          <w:lang w:val="ru-RU" w:eastAsia="zh-CN" w:bidi="ar-SA"/>
        </w:rPr>
        <w:t xml:space="preserve">В случае ошибок или неточностей, допущенных при оформлении перевозочных или иных документов, все расходы, связанные с дооформлением и задержкой Товара в пути следования, оплачиваются Поставщиком. </w:t>
      </w:r>
    </w:p>
    <w:p>
      <w:pPr>
        <w:pStyle w:val="Normal"/>
        <w:shd w:val="clear" w:color="auto" w:fill="FFFFFF"/>
        <w:ind w:firstLine="567"/>
        <w:jc w:val="both"/>
        <w:rPr>
          <w:sz w:val="26"/>
          <w:szCs w:val="26"/>
        </w:rPr>
      </w:pPr>
      <w:r>
        <w:rPr>
          <w:sz w:val="26"/>
          <w:szCs w:val="26"/>
        </w:rPr>
        <w:t>3.5. Факт поставки Товара фиксируется отметкой уполномоченного представителя Государственного заказчика в товарной накладной (УПД) Поставщика и сопровождается оформлением счета-фактуры (УПД) на имя Государственный заказчика.</w:t>
      </w:r>
    </w:p>
    <w:p>
      <w:pPr>
        <w:pStyle w:val="Normal"/>
        <w:shd w:val="clear" w:color="auto" w:fill="FFFFFF"/>
        <w:ind w:firstLine="567"/>
        <w:jc w:val="both"/>
        <w:rPr>
          <w:sz w:val="26"/>
          <w:szCs w:val="26"/>
        </w:rPr>
      </w:pPr>
      <w:r>
        <w:rPr>
          <w:sz w:val="26"/>
          <w:szCs w:val="26"/>
        </w:rPr>
        <w:t>3.6. Поставляемый Товар должен сопровождаться следующими документами:</w:t>
      </w:r>
    </w:p>
    <w:p>
      <w:pPr>
        <w:pStyle w:val="Normal"/>
        <w:shd w:val="clear" w:color="auto" w:fill="FFFFFF"/>
        <w:ind w:firstLine="567"/>
        <w:jc w:val="both"/>
        <w:rPr>
          <w:sz w:val="26"/>
          <w:szCs w:val="26"/>
        </w:rPr>
      </w:pPr>
      <w:r>
        <w:rPr>
          <w:sz w:val="26"/>
          <w:szCs w:val="26"/>
        </w:rPr>
        <w:t>3.6.1.</w:t>
        <w:tab/>
        <w:t>Счет, счет-фактура (УПД).</w:t>
      </w:r>
    </w:p>
    <w:p>
      <w:pPr>
        <w:pStyle w:val="Normal"/>
        <w:shd w:val="clear" w:color="auto" w:fill="FFFFFF"/>
        <w:ind w:firstLine="567"/>
        <w:jc w:val="both"/>
        <w:rPr>
          <w:sz w:val="26"/>
          <w:szCs w:val="26"/>
        </w:rPr>
      </w:pPr>
      <w:r>
        <w:rPr>
          <w:sz w:val="26"/>
          <w:szCs w:val="26"/>
        </w:rPr>
        <w:t>3.6.2.</w:t>
        <w:tab/>
        <w:t>Товарная накладная в двух экземплярах (УПД).</w:t>
      </w:r>
    </w:p>
    <w:p>
      <w:pPr>
        <w:pStyle w:val="Normal"/>
        <w:shd w:val="clear" w:color="auto" w:fill="FFFFFF"/>
        <w:ind w:firstLine="567"/>
        <w:jc w:val="both"/>
        <w:rPr>
          <w:sz w:val="26"/>
          <w:szCs w:val="26"/>
        </w:rPr>
      </w:pPr>
      <w:r>
        <w:rPr>
          <w:sz w:val="26"/>
          <w:szCs w:val="26"/>
        </w:rPr>
        <w:t>3.6.3.</w:t>
        <w:tab/>
      </w:r>
      <w:r>
        <w:rPr>
          <w:sz w:val="26"/>
          <w:szCs w:val="26"/>
          <w:shd w:fill="auto" w:val="clear"/>
        </w:rPr>
        <w:t xml:space="preserve">Акт </w:t>
      </w:r>
      <w:r>
        <w:rPr>
          <w:rFonts w:cs="PT Astra Serif" w:ascii="PT Astra Serif" w:hAnsi="PT Astra Serif"/>
          <w:sz w:val="26"/>
          <w:szCs w:val="26"/>
          <w:shd w:fill="auto" w:val="clear"/>
        </w:rPr>
        <w:t>приемки товаров, работ, услуг по форме ОКУД 0510452 (Приказ Минфина от 15.04.2021 г. № 61н)</w:t>
      </w:r>
      <w:r>
        <w:rPr>
          <w:sz w:val="26"/>
          <w:szCs w:val="26"/>
          <w:shd w:fill="auto" w:val="clear"/>
        </w:rPr>
        <w:t>.</w:t>
      </w:r>
    </w:p>
    <w:p>
      <w:pPr>
        <w:pStyle w:val="Normal"/>
        <w:shd w:val="clear" w:color="auto" w:fill="FFFFFF"/>
        <w:ind w:firstLine="567"/>
        <w:jc w:val="both"/>
        <w:rPr>
          <w:sz w:val="26"/>
          <w:szCs w:val="26"/>
        </w:rPr>
      </w:pPr>
      <w:r>
        <w:rPr>
          <w:sz w:val="26"/>
          <w:szCs w:val="26"/>
        </w:rPr>
        <w:t xml:space="preserve">3.7. Право собственности на Товар и риск случайной гибели Товара переходит от Поставщика к Государственному заказчику по приемо-сдаточным документам согласно п. 3.6. Контракта. </w:t>
      </w:r>
    </w:p>
    <w:p>
      <w:pPr>
        <w:pStyle w:val="Normal"/>
        <w:shd w:val="clear" w:color="auto" w:fill="FFFFFF"/>
        <w:ind w:firstLine="567"/>
        <w:jc w:val="both"/>
        <w:rPr>
          <w:sz w:val="26"/>
          <w:szCs w:val="26"/>
        </w:rPr>
      </w:pPr>
      <w:r>
        <w:rPr>
          <w:sz w:val="26"/>
          <w:szCs w:val="26"/>
        </w:rPr>
        <w:t>3.8.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pPr>
        <w:pStyle w:val="Normal"/>
        <w:shd w:val="clear" w:color="auto" w:fill="FFFFFF"/>
        <w:ind w:firstLine="567"/>
        <w:jc w:val="both"/>
        <w:rPr>
          <w:sz w:val="26"/>
          <w:szCs w:val="26"/>
        </w:rPr>
      </w:pPr>
      <w:r>
        <w:rPr>
          <w:sz w:val="26"/>
          <w:szCs w:val="26"/>
        </w:rPr>
        <w:t xml:space="preserve">3.9. </w:t>
      </w:r>
      <w:r>
        <w:rPr>
          <w:rFonts w:cs="PT Astra Serif" w:ascii="PT Astra Serif" w:hAnsi="PT Astra Serif"/>
          <w:sz w:val="26"/>
          <w:szCs w:val="26"/>
          <w:lang w:eastAsia="ru-RU"/>
        </w:rPr>
        <w:t>Приемка Товара включает в себя:</w:t>
      </w:r>
    </w:p>
    <w:p>
      <w:pPr>
        <w:pStyle w:val="Normal"/>
        <w:widowControl w:val="false"/>
        <w:suppressAutoHyphens w:val="false"/>
        <w:spacing w:before="0" w:after="0"/>
        <w:ind w:firstLine="567" w:right="0"/>
        <w:contextualSpacing/>
        <w:jc w:val="both"/>
        <w:rPr/>
      </w:pPr>
      <w:r>
        <w:rPr>
          <w:rFonts w:cs="PT Astra Serif" w:ascii="PT Astra Serif" w:hAnsi="PT Astra Serif"/>
          <w:sz w:val="26"/>
          <w:szCs w:val="26"/>
          <w:lang w:eastAsia="ru-RU"/>
        </w:rPr>
        <w:t>а) проверку поставленного Товара на соответствие Спецификации (</w:t>
      </w:r>
      <w:hyperlink w:anchor="P365">
        <w:r>
          <w:rPr>
            <w:rStyle w:val="Hyperlink"/>
            <w:rFonts w:cs="PT Astra Serif" w:ascii="PT Astra Serif" w:hAnsi="PT Astra Serif"/>
            <w:sz w:val="26"/>
            <w:szCs w:val="26"/>
            <w:lang w:eastAsia="ru-RU"/>
          </w:rPr>
          <w:t xml:space="preserve">приложение </w:t>
        </w:r>
      </w:hyperlink>
      <w:r>
        <w:rPr>
          <w:rStyle w:val="Hyperlink"/>
          <w:rFonts w:cs="PT Astra Serif" w:ascii="PT Astra Serif" w:hAnsi="PT Astra Serif"/>
          <w:sz w:val="26"/>
          <w:szCs w:val="26"/>
          <w:lang w:eastAsia="ru-RU"/>
        </w:rPr>
        <w:t xml:space="preserve">                   </w:t>
      </w:r>
      <w:r>
        <w:rPr>
          <w:rFonts w:cs="PT Astra Serif" w:ascii="PT Astra Serif" w:hAnsi="PT Astra Serif"/>
          <w:sz w:val="26"/>
          <w:szCs w:val="26"/>
          <w:lang w:eastAsia="ru-RU"/>
        </w:rPr>
        <w:t xml:space="preserve"> к Контракту);</w:t>
      </w:r>
    </w:p>
    <w:p>
      <w:pPr>
        <w:pStyle w:val="Normal"/>
        <w:widowControl w:val="false"/>
        <w:suppressAutoHyphens w:val="false"/>
        <w:spacing w:before="220" w:after="0"/>
        <w:ind w:firstLine="567" w:right="0"/>
        <w:contextualSpacing/>
        <w:jc w:val="both"/>
        <w:rPr/>
      </w:pPr>
      <w:r>
        <w:rPr>
          <w:rFonts w:cs="PT Astra Serif" w:ascii="PT Astra Serif" w:hAnsi="PT Astra Serif"/>
          <w:sz w:val="26"/>
          <w:szCs w:val="26"/>
          <w:lang w:eastAsia="ru-RU"/>
        </w:rPr>
        <w:t xml:space="preserve">б) проверку полноты и правильности оформления комплекта документов, предусмотренных </w:t>
      </w:r>
      <w:hyperlink w:anchor="P130">
        <w:r>
          <w:rPr>
            <w:rStyle w:val="Hyperlink"/>
            <w:rFonts w:cs="PT Astra Serif" w:ascii="PT Astra Serif" w:hAnsi="PT Astra Serif"/>
            <w:sz w:val="26"/>
            <w:szCs w:val="26"/>
            <w:lang w:eastAsia="ru-RU"/>
          </w:rPr>
          <w:t>пунктом 3</w:t>
        </w:r>
      </w:hyperlink>
      <w:r>
        <w:rPr>
          <w:rFonts w:cs="PT Astra Serif" w:ascii="PT Astra Serif" w:hAnsi="PT Astra Serif"/>
          <w:sz w:val="26"/>
          <w:szCs w:val="26"/>
          <w:lang w:eastAsia="ru-RU"/>
        </w:rPr>
        <w:t>.7 Контракта;</w:t>
      </w:r>
    </w:p>
    <w:p>
      <w:pPr>
        <w:pStyle w:val="Normal"/>
        <w:widowControl w:val="false"/>
        <w:suppressAutoHyphens w:val="false"/>
        <w:spacing w:before="220" w:after="0"/>
        <w:ind w:firstLine="567" w:right="0"/>
        <w:contextualSpacing/>
        <w:jc w:val="both"/>
        <w:rPr>
          <w:rFonts w:ascii="PT Astra Serif" w:hAnsi="PT Astra Serif" w:cs="PT Astra Serif"/>
          <w:sz w:val="26"/>
          <w:szCs w:val="26"/>
          <w:lang w:eastAsia="ru-RU"/>
        </w:rPr>
      </w:pPr>
      <w:r>
        <w:rPr>
          <w:rFonts w:cs="PT Astra Serif" w:ascii="PT Astra Serif" w:hAnsi="PT Astra Serif"/>
          <w:sz w:val="26"/>
          <w:szCs w:val="26"/>
          <w:lang w:eastAsia="ru-RU"/>
        </w:rPr>
        <w:t>в) контроль наличия/отсутствия внешних повреждений упаковки Товара.</w:t>
      </w:r>
    </w:p>
    <w:p>
      <w:pPr>
        <w:pStyle w:val="Normal"/>
        <w:shd w:val="clear" w:color="auto" w:fill="FFFFFF"/>
        <w:ind w:firstLine="567"/>
        <w:jc w:val="both"/>
        <w:rPr>
          <w:sz w:val="26"/>
          <w:szCs w:val="26"/>
        </w:rPr>
      </w:pPr>
      <w:r>
        <w:rPr>
          <w:rFonts w:cs="PT Astra Serif" w:ascii="PT Astra Serif" w:hAnsi="PT Astra Serif"/>
          <w:sz w:val="26"/>
          <w:szCs w:val="26"/>
          <w:lang w:val="en-US" w:eastAsia="ru-RU"/>
        </w:rPr>
        <w:t>3</w:t>
      </w:r>
      <w:r>
        <w:rPr>
          <w:rFonts w:cs="PT Astra Serif" w:ascii="PT Astra Serif" w:hAnsi="PT Astra Serif"/>
          <w:sz w:val="26"/>
          <w:szCs w:val="26"/>
          <w:lang w:eastAsia="ru-RU"/>
        </w:rPr>
        <w:t>.1</w:t>
      </w:r>
      <w:r>
        <w:rPr>
          <w:rFonts w:cs="PT Astra Serif" w:ascii="PT Astra Serif" w:hAnsi="PT Astra Serif"/>
          <w:sz w:val="26"/>
          <w:szCs w:val="26"/>
          <w:lang w:val="en-US" w:eastAsia="ru-RU"/>
        </w:rPr>
        <w:t>0</w:t>
      </w:r>
      <w:r>
        <w:rPr>
          <w:rFonts w:cs="PT Astra Serif" w:ascii="PT Astra Serif" w:hAnsi="PT Astra Serif"/>
          <w:sz w:val="26"/>
          <w:szCs w:val="26"/>
          <w:lang w:eastAsia="ru-RU"/>
        </w:rPr>
        <w:t xml:space="preserve">. Для проверки предоставленных Поставщиком результатов поставки, предусмотренных Контрактом, в части их соответствия условиям Контракта, Государственным заказчиком проводится экспертиза Товара в порядке, предусмотренном </w:t>
      </w:r>
      <w:hyperlink r:id="rId2">
        <w:r>
          <w:rPr>
            <w:rStyle w:val="Hyperlink"/>
            <w:rFonts w:cs="PT Astra Serif" w:ascii="PT Astra Serif" w:hAnsi="PT Astra Serif"/>
            <w:sz w:val="26"/>
            <w:szCs w:val="26"/>
            <w:lang w:eastAsia="ru-RU"/>
          </w:rPr>
          <w:t>статьей 94</w:t>
        </w:r>
      </w:hyperlink>
      <w:r>
        <w:rPr>
          <w:rFonts w:cs="PT Astra Serif" w:ascii="PT Astra Serif" w:hAnsi="PT Astra Serif"/>
          <w:sz w:val="26"/>
          <w:szCs w:val="26"/>
          <w:lang w:eastAsia="ru-RU"/>
        </w:rPr>
        <w:t xml:space="preserve"> № 44-ФЗ. Экспертиза проводится силами Государственного заказчика или к ее проведению могут привлекаться эксперты, экспертные организации в случаях, установленными законодательством о контрактной системе.</w:t>
      </w:r>
    </w:p>
    <w:p>
      <w:pPr>
        <w:pStyle w:val="Normal"/>
        <w:shd w:val="clear" w:color="auto" w:fill="FFFFFF"/>
        <w:ind w:firstLine="567"/>
        <w:jc w:val="both"/>
        <w:rPr>
          <w:sz w:val="26"/>
          <w:szCs w:val="26"/>
        </w:rPr>
      </w:pPr>
      <w:r>
        <w:rPr>
          <w:sz w:val="26"/>
          <w:szCs w:val="26"/>
        </w:rPr>
        <w:t>3.1</w:t>
      </w:r>
      <w:r>
        <w:rPr>
          <w:sz w:val="26"/>
          <w:szCs w:val="26"/>
          <w:lang w:val="en-US"/>
        </w:rPr>
        <w:t>1</w:t>
      </w:r>
      <w:r>
        <w:rPr>
          <w:sz w:val="26"/>
          <w:szCs w:val="26"/>
        </w:rPr>
        <w:t xml:space="preserve">. </w:t>
      </w:r>
      <w:r>
        <w:rPr>
          <w:sz w:val="26"/>
          <w:szCs w:val="26"/>
          <w:shd w:fill="auto" w:val="clear"/>
        </w:rPr>
        <w:t xml:space="preserve"> </w:t>
      </w:r>
      <w:r>
        <w:rPr>
          <w:rFonts w:cs="PT Astra Serif" w:ascii="PT Astra Serif" w:hAnsi="PT Astra Serif"/>
          <w:sz w:val="26"/>
          <w:szCs w:val="26"/>
          <w:shd w:fill="auto" w:val="clear"/>
        </w:rPr>
        <w:t>Подписанный без замечаний Акт приемки является а</w:t>
      </w:r>
      <w:r>
        <w:rPr>
          <w:rFonts w:cs="PT Astra Serif" w:ascii="PT Astra Serif" w:hAnsi="PT Astra Serif"/>
          <w:sz w:val="26"/>
          <w:szCs w:val="26"/>
        </w:rPr>
        <w:t>ктом проведенной Государственным заказчиком экспертизы своими силами.</w:t>
      </w:r>
    </w:p>
    <w:p>
      <w:pPr>
        <w:pStyle w:val="Normal"/>
        <w:shd w:val="clear" w:color="auto" w:fill="FFFFFF"/>
        <w:ind w:firstLine="567"/>
        <w:jc w:val="both"/>
        <w:rPr>
          <w:rFonts w:ascii="PT Astra Serif" w:hAnsi="PT Astra Serif" w:cs="PT Astra Serif"/>
          <w:sz w:val="26"/>
          <w:szCs w:val="26"/>
          <w:lang w:val="ru-RU"/>
        </w:rPr>
      </w:pPr>
      <w:r>
        <w:rPr>
          <w:rFonts w:eastAsia="Times New Roman" w:cs="PT Astra Serif" w:ascii="PT Astra Serif" w:hAnsi="PT Astra Serif"/>
          <w:color w:val="000000"/>
          <w:kern w:val="0"/>
          <w:sz w:val="26"/>
          <w:szCs w:val="26"/>
          <w:lang w:val="ru-RU" w:eastAsia="zh-CN" w:bidi="ar-SA"/>
        </w:rPr>
      </w:r>
    </w:p>
    <w:p>
      <w:pPr>
        <w:pStyle w:val="Normal"/>
        <w:shd w:val="clear" w:color="auto" w:fill="FFFFFF"/>
        <w:jc w:val="center"/>
        <w:rPr>
          <w:b/>
          <w:sz w:val="26"/>
          <w:szCs w:val="26"/>
        </w:rPr>
      </w:pPr>
      <w:r>
        <w:rPr>
          <w:b/>
          <w:sz w:val="26"/>
          <w:szCs w:val="26"/>
        </w:rPr>
        <w:t>4. Условия поставки</w:t>
      </w:r>
    </w:p>
    <w:p>
      <w:pPr>
        <w:pStyle w:val="Normal"/>
        <w:suppressAutoHyphens w:val="true"/>
        <w:ind w:firstLine="567"/>
        <w:jc w:val="both"/>
        <w:rPr>
          <w:rFonts w:eastAsia="Calibri" w:eastAsiaTheme="minorHAnsi"/>
          <w:sz w:val="26"/>
          <w:szCs w:val="26"/>
          <w:lang w:eastAsia="en-US"/>
        </w:rPr>
      </w:pPr>
      <w:r>
        <w:rPr>
          <w:sz w:val="26"/>
          <w:szCs w:val="26"/>
        </w:rPr>
        <w:t>4.1.  Поставщик обязуется осуществить доставку Товара одной партией в адрес Государственного заказчика: г. Архангельск, пр. Никольский, д. 27, 3 этаж, секретариат, кабинет № 3.</w:t>
      </w:r>
    </w:p>
    <w:p>
      <w:pPr>
        <w:pStyle w:val="Normal"/>
        <w:shd w:val="clear" w:color="auto" w:fill="FFFFFF"/>
        <w:ind w:firstLine="567"/>
        <w:jc w:val="both"/>
        <w:rPr>
          <w:sz w:val="26"/>
          <w:szCs w:val="26"/>
        </w:rPr>
      </w:pPr>
      <w:r>
        <w:rPr>
          <w:sz w:val="26"/>
          <w:szCs w:val="26"/>
        </w:rPr>
        <w:t xml:space="preserve">4.2. Срок поставки товара: Поставка Товара осуществляется </w:t>
      </w:r>
      <w:r>
        <w:rPr>
          <w:b/>
          <w:sz w:val="26"/>
          <w:szCs w:val="26"/>
        </w:rPr>
        <w:t>в течение 15 (Пятнадцати) рабочих дней</w:t>
      </w:r>
      <w:r>
        <w:rPr>
          <w:sz w:val="26"/>
          <w:szCs w:val="26"/>
        </w:rPr>
        <w:t xml:space="preserve"> с момента заключения Государственного контракта Сторонами, одной партией. </w:t>
      </w:r>
    </w:p>
    <w:p>
      <w:pPr>
        <w:pStyle w:val="Normal"/>
        <w:shd w:val="clear" w:color="auto" w:fill="FFFFFF"/>
        <w:ind w:firstLine="567"/>
        <w:jc w:val="both"/>
        <w:rPr>
          <w:sz w:val="26"/>
          <w:szCs w:val="26"/>
        </w:rPr>
      </w:pPr>
      <w:r>
        <w:rPr>
          <w:sz w:val="26"/>
          <w:szCs w:val="26"/>
        </w:rPr>
        <w:t>4.3. Поставщик обязуется уведомить Государственного заказчика о доставке Товара не менее чем за 1 (один) рабочий день до предполагаемой даты поставки Товара.</w:t>
      </w:r>
    </w:p>
    <w:p>
      <w:pPr>
        <w:pStyle w:val="Normal"/>
        <w:suppressAutoHyphens w:val="true"/>
        <w:ind w:firstLine="567"/>
        <w:jc w:val="both"/>
        <w:rPr>
          <w:sz w:val="26"/>
          <w:szCs w:val="26"/>
        </w:rPr>
      </w:pPr>
      <w:r>
        <w:rPr>
          <w:sz w:val="26"/>
          <w:szCs w:val="26"/>
        </w:rPr>
        <w:t>4.4. Поставка Товара осуществляется только в рабочие дни (с понедельника</w:t>
        <w:br/>
        <w:t xml:space="preserve">по пятницу с 9.00 до 16.30, кроме выходных и праздничных дней, обеденный перерыв с 13.00 до 14.00). </w:t>
      </w:r>
    </w:p>
    <w:p>
      <w:pPr>
        <w:pStyle w:val="Normal"/>
        <w:suppressAutoHyphens w:val="true"/>
        <w:ind w:firstLine="567"/>
        <w:jc w:val="both"/>
        <w:rPr>
          <w:sz w:val="26"/>
          <w:szCs w:val="26"/>
        </w:rPr>
      </w:pPr>
      <w:r>
        <w:rPr>
          <w:sz w:val="26"/>
          <w:szCs w:val="26"/>
        </w:rPr>
        <w:t>4.5. Доставка Товара и погрузо-разгрузочные работы должны быть осуществлены силами и за счет Поставщика.</w:t>
      </w:r>
    </w:p>
    <w:p>
      <w:pPr>
        <w:pStyle w:val="Normal"/>
        <w:suppressAutoHyphens w:val="true"/>
        <w:ind w:firstLine="567"/>
        <w:jc w:val="both"/>
        <w:rPr>
          <w:sz w:val="26"/>
          <w:szCs w:val="26"/>
        </w:rPr>
      </w:pPr>
      <w:r>
        <w:rPr>
          <w:sz w:val="26"/>
          <w:szCs w:val="26"/>
        </w:rPr>
        <w:t>4.6. Поставляемый товар должен соответствовать действующему законодательству.</w:t>
      </w:r>
    </w:p>
    <w:p>
      <w:pPr>
        <w:pStyle w:val="Normal"/>
        <w:suppressAutoHyphens w:val="true"/>
        <w:ind w:firstLine="567"/>
        <w:jc w:val="both"/>
        <w:rPr>
          <w:sz w:val="26"/>
          <w:szCs w:val="26"/>
        </w:rPr>
      </w:pPr>
      <w:r>
        <w:rPr>
          <w:sz w:val="26"/>
          <w:szCs w:val="26"/>
        </w:rPr>
        <w:t>4.7. Характеристики Товара должны соответствовать требованиям, указанным</w:t>
        <w:br/>
        <w:t>в спецификации (Приложение к настоящему Контракту). Документы, подтверждающие качество Товара, предоставляются Поставщиком Государственному заказчику в виде простых копий (заверенных печатью Поставщика) при приемке Товара.</w:t>
      </w:r>
    </w:p>
    <w:p>
      <w:pPr>
        <w:pStyle w:val="Normal"/>
        <w:suppressAutoHyphens w:val="true"/>
        <w:ind w:firstLine="567"/>
        <w:jc w:val="both"/>
        <w:rPr>
          <w:sz w:val="26"/>
          <w:szCs w:val="26"/>
        </w:rPr>
      </w:pPr>
      <w:r>
        <w:rPr>
          <w:sz w:val="26"/>
          <w:szCs w:val="26"/>
        </w:rPr>
        <w:t>4.8. Поставщик обязуется передать Государственному заказчику Товар, не обремененный правами третьих лиц.</w:t>
      </w:r>
    </w:p>
    <w:p>
      <w:pPr>
        <w:pStyle w:val="Normal"/>
        <w:widowControl w:val="false"/>
        <w:suppressAutoHyphens w:val="false"/>
        <w:spacing w:before="220" w:after="0"/>
        <w:ind w:firstLine="567"/>
        <w:contextualSpacing/>
        <w:jc w:val="both"/>
        <w:rPr>
          <w:sz w:val="26"/>
          <w:szCs w:val="26"/>
          <w:lang w:eastAsia="ru-RU"/>
        </w:rPr>
      </w:pPr>
      <w:r>
        <w:rPr>
          <w:sz w:val="26"/>
          <w:szCs w:val="26"/>
          <w:lang w:eastAsia="ru-RU"/>
        </w:rPr>
        <w:t xml:space="preserve">4.9. В течение 10 рабочих дней со дня подписания </w:t>
      </w:r>
      <w:r>
        <w:rPr>
          <w:rFonts w:cs="PT Astra Serif" w:ascii="PT Astra Serif" w:hAnsi="PT Astra Serif"/>
          <w:sz w:val="26"/>
          <w:szCs w:val="26"/>
          <w:shd w:fill="auto" w:val="clear"/>
          <w:lang w:eastAsia="ru-RU"/>
        </w:rPr>
        <w:t>Акта приемки</w:t>
      </w:r>
      <w:r>
        <w:rPr>
          <w:sz w:val="26"/>
          <w:szCs w:val="26"/>
          <w:lang w:eastAsia="ru-RU"/>
        </w:rPr>
        <w:t xml:space="preserve"> Заказчик направляет его Поставщику и второй экземпляр Товарной накладной или мотивированный отказ от подписания, в котором указываются недостатки и сроки их устранения (акт о несоответствиях).</w:t>
      </w:r>
    </w:p>
    <w:p>
      <w:pPr>
        <w:pStyle w:val="Normal"/>
        <w:widowControl w:val="false"/>
        <w:suppressAutoHyphens w:val="false"/>
        <w:spacing w:before="220" w:after="0"/>
        <w:ind w:firstLine="567"/>
        <w:contextualSpacing/>
        <w:jc w:val="both"/>
        <w:rPr>
          <w:sz w:val="26"/>
          <w:szCs w:val="26"/>
          <w:lang w:eastAsia="ru-RU"/>
        </w:rPr>
      </w:pPr>
      <w:r>
        <w:rPr>
          <w:sz w:val="26"/>
          <w:szCs w:val="26"/>
          <w:lang w:eastAsia="ru-RU"/>
        </w:rPr>
        <w:t xml:space="preserve">4.10. После устранения недостатков, послуживших основанием для не подписания </w:t>
      </w:r>
      <w:r>
        <w:rPr>
          <w:rFonts w:cs="PT Astra Serif" w:ascii="PT Astra Serif" w:hAnsi="PT Astra Serif"/>
          <w:sz w:val="26"/>
          <w:szCs w:val="26"/>
          <w:shd w:fill="auto" w:val="clear"/>
          <w:lang w:eastAsia="ru-RU"/>
        </w:rPr>
        <w:t>Акта приемки</w:t>
      </w:r>
      <w:r>
        <w:rPr>
          <w:sz w:val="26"/>
          <w:szCs w:val="26"/>
          <w:shd w:fill="FFFF00" w:val="clear"/>
          <w:lang w:eastAsia="ru-RU"/>
        </w:rPr>
        <w:t>,</w:t>
      </w:r>
      <w:r>
        <w:rPr>
          <w:sz w:val="26"/>
          <w:szCs w:val="26"/>
          <w:lang w:eastAsia="ru-RU"/>
        </w:rPr>
        <w:t xml:space="preserve"> Стороны подписывают документы о приемке в порядке и сроки, указанные в пункте 3.1</w:t>
      </w:r>
      <w:r>
        <w:rPr>
          <w:color w:val="FF0000"/>
          <w:sz w:val="26"/>
          <w:szCs w:val="26"/>
          <w:lang w:eastAsia="ru-RU"/>
        </w:rPr>
        <w:t xml:space="preserve"> </w:t>
      </w:r>
      <w:r>
        <w:rPr>
          <w:sz w:val="26"/>
          <w:szCs w:val="26"/>
          <w:lang w:eastAsia="ru-RU"/>
        </w:rPr>
        <w:t>Контракта.</w:t>
      </w:r>
    </w:p>
    <w:p>
      <w:pPr>
        <w:pStyle w:val="Normal"/>
        <w:spacing w:beforeAutospacing="1" w:afterAutospacing="1"/>
        <w:ind w:firstLine="567"/>
        <w:contextualSpacing/>
        <w:jc w:val="both"/>
        <w:rPr>
          <w:sz w:val="26"/>
          <w:szCs w:val="26"/>
          <w:lang w:eastAsia="ru-RU"/>
        </w:rPr>
      </w:pPr>
      <w:r>
        <w:rPr>
          <w:sz w:val="26"/>
          <w:szCs w:val="26"/>
          <w:lang w:eastAsia="ru-RU"/>
        </w:rPr>
        <w:t xml:space="preserve">4.11. Со дня подписания </w:t>
      </w:r>
      <w:r>
        <w:rPr>
          <w:rFonts w:cs="PT Astra Serif" w:ascii="PT Astra Serif" w:hAnsi="PT Astra Serif"/>
          <w:sz w:val="26"/>
          <w:szCs w:val="26"/>
          <w:shd w:fill="auto" w:val="clear"/>
          <w:lang w:eastAsia="ru-RU"/>
        </w:rPr>
        <w:t>Акта приемки</w:t>
      </w:r>
      <w:r>
        <w:rPr>
          <w:sz w:val="26"/>
          <w:szCs w:val="26"/>
          <w:lang w:eastAsia="ru-RU"/>
        </w:rPr>
        <w:t xml:space="preserve"> Заказчиком риск случайной гибели, утраты или повреждения Товара переходит к Заказчику.</w:t>
      </w:r>
    </w:p>
    <w:p>
      <w:pPr>
        <w:pStyle w:val="Normal"/>
        <w:spacing w:beforeAutospacing="1" w:afterAutospacing="1"/>
        <w:ind w:firstLine="567"/>
        <w:contextualSpacing/>
        <w:jc w:val="both"/>
        <w:rPr>
          <w:sz w:val="26"/>
          <w:szCs w:val="26"/>
          <w:lang w:eastAsia="ru-RU"/>
        </w:rPr>
      </w:pPr>
      <w:r>
        <w:rPr>
          <w:sz w:val="26"/>
          <w:szCs w:val="26"/>
          <w:lang w:eastAsia="ru-RU"/>
        </w:rPr>
        <w:t>4.12. В случае заключения электронного цифрового контракта допускается ф</w:t>
      </w:r>
      <w:r>
        <w:rPr>
          <w:kern w:val="2"/>
          <w:sz w:val="26"/>
          <w:szCs w:val="26"/>
          <w:lang w:eastAsia="ar-SA"/>
        </w:rPr>
        <w:t>ормирование и подписание документов о приемке товаров, а также отдельных этапов исполнения контракта (при наличии этапов) в форме электронного документа в единой информационной системе в сфере закупок (по согласованию Сторон).</w:t>
      </w:r>
    </w:p>
    <w:p>
      <w:pPr>
        <w:pStyle w:val="Normal"/>
        <w:spacing w:beforeAutospacing="1" w:afterAutospacing="1"/>
        <w:ind w:firstLine="567"/>
        <w:contextualSpacing/>
        <w:jc w:val="both"/>
        <w:rPr>
          <w:sz w:val="26"/>
          <w:szCs w:val="26"/>
        </w:rPr>
      </w:pPr>
      <w:r>
        <w:rPr>
          <w:sz w:val="26"/>
          <w:szCs w:val="26"/>
        </w:rPr>
      </w:r>
    </w:p>
    <w:p>
      <w:pPr>
        <w:pStyle w:val="Normal"/>
        <w:shd w:val="clear" w:color="auto" w:fill="FFFFFF"/>
        <w:ind w:firstLine="567"/>
        <w:jc w:val="center"/>
        <w:rPr>
          <w:b/>
          <w:sz w:val="26"/>
          <w:szCs w:val="26"/>
        </w:rPr>
      </w:pPr>
      <w:r>
        <w:rPr>
          <w:b/>
          <w:sz w:val="26"/>
          <w:szCs w:val="26"/>
        </w:rPr>
        <w:t>5. Права и обязанности Государственного заказчика</w:t>
      </w:r>
    </w:p>
    <w:p>
      <w:pPr>
        <w:pStyle w:val="Normal"/>
        <w:shd w:val="clear" w:color="auto" w:fill="FFFFFF"/>
        <w:ind w:firstLine="567"/>
        <w:jc w:val="both"/>
        <w:rPr>
          <w:sz w:val="26"/>
          <w:szCs w:val="26"/>
        </w:rPr>
      </w:pPr>
      <w:r>
        <w:rPr>
          <w:sz w:val="26"/>
          <w:szCs w:val="26"/>
        </w:rPr>
        <w:t>5.1.  Государственный заказчик вправе:</w:t>
      </w:r>
    </w:p>
    <w:p>
      <w:pPr>
        <w:pStyle w:val="Normal"/>
        <w:shd w:val="clear" w:color="auto" w:fill="FFFFFF"/>
        <w:ind w:firstLine="567"/>
        <w:jc w:val="both"/>
        <w:rPr>
          <w:sz w:val="26"/>
          <w:szCs w:val="26"/>
        </w:rPr>
      </w:pPr>
      <w:r>
        <w:rPr>
          <w:sz w:val="26"/>
          <w:szCs w:val="26"/>
        </w:rPr>
        <w:t>5.1.1.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pPr>
        <w:pStyle w:val="Normal"/>
        <w:shd w:val="clear" w:color="auto" w:fill="FFFFFF"/>
        <w:ind w:firstLine="567"/>
        <w:jc w:val="both"/>
        <w:rPr>
          <w:sz w:val="26"/>
          <w:szCs w:val="26"/>
        </w:rPr>
      </w:pPr>
      <w:r>
        <w:rPr>
          <w:sz w:val="26"/>
          <w:szCs w:val="26"/>
        </w:rPr>
        <w:t>5.1.2. В случае поставки товара с нарушением условий настоящего Контракта Государственный заказчик вправе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действующим законодательством Российской Федерации.</w:t>
      </w:r>
    </w:p>
    <w:p>
      <w:pPr>
        <w:pStyle w:val="Normal"/>
        <w:shd w:val="clear" w:color="auto" w:fill="FFFFFF"/>
        <w:ind w:firstLine="567"/>
        <w:jc w:val="both"/>
        <w:rPr>
          <w:sz w:val="26"/>
          <w:szCs w:val="26"/>
        </w:rPr>
      </w:pPr>
      <w:r>
        <w:rPr>
          <w:sz w:val="26"/>
          <w:szCs w:val="26"/>
        </w:rPr>
        <w:t>5.1.3. Требовать от Поставщика передачи недостающих или замены, ненадлежащим образом оформленных, отчетных документов, материалов и иной документации, подтверждающих поставку (отгрузку) товара.</w:t>
      </w:r>
    </w:p>
    <w:p>
      <w:pPr>
        <w:pStyle w:val="Normal"/>
        <w:shd w:val="clear" w:color="auto" w:fill="FFFFFF"/>
        <w:ind w:firstLine="567"/>
        <w:jc w:val="both"/>
        <w:rPr>
          <w:sz w:val="26"/>
          <w:szCs w:val="26"/>
        </w:rPr>
      </w:pPr>
      <w:r>
        <w:rPr>
          <w:sz w:val="26"/>
          <w:szCs w:val="26"/>
        </w:rPr>
        <w:t>5.1.4.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отчетных документов</w:t>
        <w:br/>
        <w:t>и материалов.</w:t>
      </w:r>
    </w:p>
    <w:p>
      <w:pPr>
        <w:pStyle w:val="Normal"/>
        <w:shd w:val="clear" w:color="auto" w:fill="FFFFFF"/>
        <w:ind w:firstLine="567"/>
        <w:jc w:val="both"/>
        <w:rPr>
          <w:sz w:val="26"/>
          <w:szCs w:val="26"/>
        </w:rPr>
      </w:pPr>
      <w:r>
        <w:rPr>
          <w:sz w:val="26"/>
          <w:szCs w:val="26"/>
        </w:rPr>
        <w:t>5.1.5. Определять лиц, непосредственно участвующих в контроле</w:t>
        <w:br/>
        <w:t xml:space="preserve">за осуществлением поставки товара Поставщиком и (или) участвующих в сдаче-приемке товара по количеству и качеству.     </w:t>
      </w:r>
    </w:p>
    <w:p>
      <w:pPr>
        <w:pStyle w:val="Normal"/>
        <w:shd w:val="clear" w:color="auto" w:fill="FFFFFF"/>
        <w:ind w:firstLine="567"/>
        <w:jc w:val="both"/>
        <w:rPr>
          <w:sz w:val="26"/>
          <w:szCs w:val="26"/>
        </w:rPr>
      </w:pPr>
      <w:r>
        <w:rPr>
          <w:sz w:val="26"/>
          <w:szCs w:val="26"/>
        </w:rPr>
        <w:t>5.1.6. Взыскивать пеню и штраф, а также требовать возмещения убытков</w:t>
        <w:br/>
        <w:t>в соответствии с разделом 7 Контракта.</w:t>
      </w:r>
    </w:p>
    <w:p>
      <w:pPr>
        <w:pStyle w:val="Normal"/>
        <w:shd w:val="clear" w:color="auto" w:fill="FFFFFF"/>
        <w:ind w:firstLine="567"/>
        <w:jc w:val="both"/>
        <w:rPr>
          <w:sz w:val="26"/>
          <w:szCs w:val="26"/>
        </w:rPr>
      </w:pPr>
      <w:r>
        <w:rPr>
          <w:sz w:val="26"/>
          <w:szCs w:val="26"/>
        </w:rPr>
        <w:t>5.1.7. Принять решение об одностороннем отказе от исполнения Контракта</w:t>
        <w:br/>
        <w:t>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пункте 10.8 Контракта.</w:t>
      </w:r>
    </w:p>
    <w:p>
      <w:pPr>
        <w:pStyle w:val="Normal"/>
        <w:shd w:val="clear" w:color="auto" w:fill="FFFFFF"/>
        <w:ind w:firstLine="567"/>
        <w:jc w:val="both"/>
        <w:rPr>
          <w:sz w:val="26"/>
          <w:szCs w:val="26"/>
        </w:rPr>
      </w:pPr>
      <w:r>
        <w:rPr>
          <w:sz w:val="26"/>
          <w:szCs w:val="26"/>
        </w:rPr>
        <w:t xml:space="preserve">5.1.8. </w:t>
      </w:r>
      <w:r>
        <w:rPr>
          <w:kern w:val="2"/>
          <w:sz w:val="26"/>
          <w:szCs w:val="26"/>
          <w:lang w:eastAsia="ar-SA"/>
        </w:rPr>
        <w:t>В случае неисполнения или ненадлежащего исполнения Поставщиком обязательств по настоящему Контракту Государственный заказчик вправе произвести оплату по Контракту за вычетом соответствующего размера неустойки (штрафа, пени). При этом оплата осуществляется на основании подписанного Сторонами Документа о приемке.</w:t>
      </w:r>
    </w:p>
    <w:p>
      <w:pPr>
        <w:pStyle w:val="Normal"/>
        <w:shd w:val="clear" w:color="auto" w:fill="FFFFFF"/>
        <w:ind w:firstLine="567"/>
        <w:jc w:val="both"/>
        <w:rPr>
          <w:sz w:val="26"/>
          <w:szCs w:val="26"/>
        </w:rPr>
      </w:pPr>
      <w:r>
        <w:rPr>
          <w:sz w:val="26"/>
          <w:szCs w:val="26"/>
        </w:rPr>
        <w:t>5.2. Государственный заказчик обязан:</w:t>
      </w:r>
    </w:p>
    <w:p>
      <w:pPr>
        <w:pStyle w:val="Normal"/>
        <w:shd w:val="clear" w:color="auto" w:fill="FFFFFF"/>
        <w:ind w:firstLine="567"/>
        <w:jc w:val="both"/>
        <w:rPr>
          <w:sz w:val="26"/>
          <w:szCs w:val="26"/>
        </w:rPr>
      </w:pPr>
      <w:r>
        <w:rPr>
          <w:sz w:val="26"/>
          <w:szCs w:val="26"/>
        </w:rPr>
        <w:t>5.2.1. Своевременно, в срок до 10 (десяти) рабочих дней, сообщать</w:t>
        <w:br/>
        <w:t>в письменной форме Поставщику о недостатках товара, обнаруженных в ходе его поставки или приемки.</w:t>
      </w:r>
    </w:p>
    <w:p>
      <w:pPr>
        <w:pStyle w:val="Normal"/>
        <w:shd w:val="clear" w:color="auto" w:fill="FFFFFF"/>
        <w:ind w:firstLine="567"/>
        <w:jc w:val="both"/>
        <w:rPr>
          <w:sz w:val="26"/>
          <w:szCs w:val="26"/>
        </w:rPr>
      </w:pPr>
      <w:r>
        <w:rPr>
          <w:sz w:val="26"/>
          <w:szCs w:val="26"/>
        </w:rPr>
        <w:t>5.2.2. Обеспечивать своевременную оплату товара в соответствии с условиями настоящего Государственного контракта.</w:t>
      </w:r>
    </w:p>
    <w:p>
      <w:pPr>
        <w:pStyle w:val="Normal"/>
        <w:shd w:val="clear" w:color="auto" w:fill="FFFFFF"/>
        <w:ind w:firstLine="567"/>
        <w:jc w:val="both"/>
        <w:rPr>
          <w:sz w:val="26"/>
          <w:szCs w:val="26"/>
        </w:rPr>
      </w:pPr>
      <w:r>
        <w:rPr>
          <w:sz w:val="26"/>
          <w:szCs w:val="26"/>
        </w:rPr>
        <w:t>5.2.3. Обеспечивать своевременную приемку исполнения обязательств Поставщика по выполненным им обязательствам.</w:t>
      </w:r>
    </w:p>
    <w:p>
      <w:pPr>
        <w:pStyle w:val="Normal"/>
        <w:shd w:val="clear" w:color="auto" w:fill="FFFFFF"/>
        <w:ind w:firstLine="567"/>
        <w:jc w:val="both"/>
        <w:rPr>
          <w:sz w:val="26"/>
          <w:szCs w:val="26"/>
        </w:rPr>
      </w:pPr>
      <w:r>
        <w:rPr>
          <w:sz w:val="26"/>
          <w:szCs w:val="26"/>
        </w:rPr>
        <w:t>5.2.4.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без замечаний акта приема-передачи и товарной накладной.</w:t>
      </w:r>
    </w:p>
    <w:p>
      <w:pPr>
        <w:pStyle w:val="Normal"/>
        <w:shd w:val="clear" w:color="auto" w:fill="FFFFFF"/>
        <w:ind w:firstLine="567"/>
        <w:jc w:val="both"/>
        <w:rPr>
          <w:sz w:val="26"/>
          <w:szCs w:val="26"/>
        </w:rPr>
      </w:pPr>
      <w:r>
        <w:rPr>
          <w:sz w:val="26"/>
          <w:szCs w:val="26"/>
        </w:rPr>
        <w:t>5.2.5. Взыскивать пеню и штраф, а также требовать возмещения убытков                               в соответствии с разделом 7 Контракта</w:t>
      </w:r>
      <w:r>
        <w:rPr>
          <w:sz w:val="26"/>
          <w:szCs w:val="26"/>
          <w:shd w:fill="auto" w:val="clear"/>
        </w:rPr>
        <w:t>.</w:t>
      </w:r>
    </w:p>
    <w:p>
      <w:pPr>
        <w:pStyle w:val="Normal"/>
        <w:shd w:val="clear" w:color="auto" w:fill="FFFFFF"/>
        <w:ind w:firstLine="567"/>
        <w:jc w:val="both"/>
        <w:rPr>
          <w:sz w:val="26"/>
          <w:szCs w:val="26"/>
        </w:rPr>
      </w:pPr>
      <w:r>
        <w:rPr>
          <w:sz w:val="26"/>
          <w:szCs w:val="26"/>
        </w:rPr>
        <w:t>5.2.6. Выполнять иные обязанности, предусмотренные законодательством Российской Федерации и Контрактом.</w:t>
      </w:r>
    </w:p>
    <w:p>
      <w:pPr>
        <w:pStyle w:val="Normal"/>
        <w:shd w:val="clear" w:color="auto" w:fill="FFFFFF"/>
        <w:ind w:firstLine="567"/>
        <w:jc w:val="both"/>
        <w:rPr>
          <w:sz w:val="26"/>
          <w:szCs w:val="26"/>
        </w:rPr>
      </w:pPr>
      <w:r>
        <w:rPr>
          <w:sz w:val="26"/>
          <w:szCs w:val="26"/>
        </w:rPr>
        <w:t>5.2.7. В целях проверки соответствия товара, передаваемого Поставщиком, условиям Контракта проводить экспертизу. Экспертиза проводится Государственным заказчиком своими силами.</w:t>
      </w:r>
    </w:p>
    <w:p>
      <w:pPr>
        <w:pStyle w:val="Normal"/>
        <w:shd w:val="clear" w:color="auto" w:fill="FFFFFF"/>
        <w:ind w:firstLine="567"/>
        <w:jc w:val="both"/>
        <w:rPr>
          <w:sz w:val="26"/>
          <w:szCs w:val="26"/>
        </w:rPr>
      </w:pPr>
      <w:r>
        <w:rPr>
          <w:sz w:val="26"/>
          <w:szCs w:val="26"/>
        </w:rPr>
      </w:r>
    </w:p>
    <w:p>
      <w:pPr>
        <w:pStyle w:val="Normal"/>
        <w:shd w:val="clear" w:color="auto" w:fill="FFFFFF"/>
        <w:ind w:firstLine="567"/>
        <w:jc w:val="center"/>
        <w:rPr>
          <w:b/>
          <w:sz w:val="26"/>
          <w:szCs w:val="26"/>
        </w:rPr>
      </w:pPr>
      <w:r>
        <w:rPr>
          <w:b/>
          <w:sz w:val="26"/>
          <w:szCs w:val="26"/>
        </w:rPr>
        <w:t>6. Права и обязанности Поставщика</w:t>
      </w:r>
    </w:p>
    <w:p>
      <w:pPr>
        <w:pStyle w:val="Normal"/>
        <w:shd w:val="clear" w:color="auto" w:fill="FFFFFF"/>
        <w:ind w:firstLine="567"/>
        <w:jc w:val="both"/>
        <w:rPr>
          <w:sz w:val="26"/>
          <w:szCs w:val="26"/>
        </w:rPr>
      </w:pPr>
      <w:r>
        <w:rPr>
          <w:sz w:val="26"/>
          <w:szCs w:val="26"/>
        </w:rPr>
        <w:t>6.1. Поставщик вправе:</w:t>
      </w:r>
    </w:p>
    <w:p>
      <w:pPr>
        <w:pStyle w:val="Normal"/>
        <w:shd w:val="clear" w:color="auto" w:fill="FFFFFF"/>
        <w:ind w:firstLine="567"/>
        <w:jc w:val="both"/>
        <w:rPr>
          <w:sz w:val="26"/>
          <w:szCs w:val="26"/>
        </w:rPr>
      </w:pPr>
      <w:r>
        <w:rPr>
          <w:sz w:val="26"/>
          <w:szCs w:val="26"/>
        </w:rPr>
        <w:t>6.1.1. Требовать своевременного подписания Государственным заказчиком счетов- фактур (счетов), товарных накладных, подтверждающих исполнение обязательств по Контракту, на основании представленных Поставщиком отчетных документов и материалов.</w:t>
      </w:r>
    </w:p>
    <w:p>
      <w:pPr>
        <w:pStyle w:val="Normal"/>
        <w:shd w:val="clear" w:color="auto" w:fill="FFFFFF"/>
        <w:ind w:firstLine="567"/>
        <w:jc w:val="both"/>
        <w:rPr>
          <w:sz w:val="26"/>
          <w:szCs w:val="26"/>
        </w:rPr>
      </w:pPr>
      <w:r>
        <w:rPr>
          <w:sz w:val="26"/>
          <w:szCs w:val="26"/>
        </w:rPr>
        <w:t>6.1.2. Требовать своевременной оплаты поставленного товара в соответствии</w:t>
        <w:br/>
        <w:t xml:space="preserve">с подписанными Сторонами счетов-фактур (счетов), товарной накладной, </w:t>
      </w:r>
      <w:r>
        <w:rPr>
          <w:rFonts w:cs="PT Astra Serif" w:ascii="PT Astra Serif" w:hAnsi="PT Astra Serif"/>
          <w:sz w:val="26"/>
          <w:szCs w:val="26"/>
          <w:shd w:fill="auto" w:val="clear"/>
          <w:lang w:eastAsia="ru-RU"/>
        </w:rPr>
        <w:t>Акта приемки.</w:t>
      </w:r>
    </w:p>
    <w:p>
      <w:pPr>
        <w:pStyle w:val="Normal"/>
        <w:shd w:val="clear" w:color="auto" w:fill="FFFFFF"/>
        <w:ind w:firstLine="567"/>
        <w:jc w:val="both"/>
        <w:rPr>
          <w:sz w:val="26"/>
          <w:szCs w:val="26"/>
        </w:rPr>
      </w:pPr>
      <w:r>
        <w:rPr>
          <w:sz w:val="26"/>
          <w:szCs w:val="26"/>
        </w:rPr>
        <w:t>6.1.3. Требовать уплату пеней, а также возмещения убытков, согласно</w:t>
        <w:br/>
        <w:t>разделу 7 Контракта.</w:t>
      </w:r>
    </w:p>
    <w:p>
      <w:pPr>
        <w:pStyle w:val="Normal"/>
        <w:shd w:val="clear" w:color="auto" w:fill="FFFFFF"/>
        <w:ind w:firstLine="567"/>
        <w:jc w:val="both"/>
        <w:rPr>
          <w:sz w:val="26"/>
          <w:szCs w:val="26"/>
        </w:rPr>
      </w:pPr>
      <w:r>
        <w:rPr>
          <w:sz w:val="26"/>
          <w:szCs w:val="26"/>
        </w:rPr>
        <w:t>6.1.4. Принять решение об одностороннем отказе от исполнения Контракта</w:t>
        <w:br/>
        <w:t>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пункте 10.9 Контракта.</w:t>
      </w:r>
    </w:p>
    <w:p>
      <w:pPr>
        <w:pStyle w:val="Normal"/>
        <w:shd w:val="clear" w:color="auto" w:fill="FFFFFF"/>
        <w:ind w:firstLine="567"/>
        <w:jc w:val="both"/>
        <w:rPr>
          <w:sz w:val="26"/>
          <w:szCs w:val="26"/>
        </w:rPr>
      </w:pPr>
      <w:r>
        <w:rPr>
          <w:sz w:val="26"/>
          <w:szCs w:val="26"/>
        </w:rPr>
        <w:t>6.2. Поставщик обязан:</w:t>
      </w:r>
    </w:p>
    <w:p>
      <w:pPr>
        <w:pStyle w:val="Normal"/>
        <w:shd w:val="clear" w:color="auto" w:fill="FFFFFF"/>
        <w:ind w:firstLine="567"/>
        <w:jc w:val="both"/>
        <w:rPr>
          <w:sz w:val="26"/>
          <w:szCs w:val="26"/>
        </w:rPr>
      </w:pPr>
      <w:r>
        <w:rPr>
          <w:sz w:val="26"/>
          <w:szCs w:val="26"/>
        </w:rPr>
        <w:t>6.2.1. Поставщик в соответствии с условиями контракта обязан своевременно предоставлять достоверную информацию о ходе исполнения своих обязательств,</w:t>
        <w:br/>
        <w:t>в том числе о сложностях, возникающих при исполнении контракта, а также</w:t>
        <w:br/>
        <w:t>к установленному контрактом сроку обязан предоставить Государственному заказчику результаты поставки товара, предусмотренные контрактом.</w:t>
      </w:r>
    </w:p>
    <w:p>
      <w:pPr>
        <w:pStyle w:val="Normal"/>
        <w:shd w:val="clear" w:color="auto" w:fill="FFFFFF"/>
        <w:ind w:firstLine="567"/>
        <w:jc w:val="both"/>
        <w:rPr>
          <w:sz w:val="26"/>
          <w:szCs w:val="26"/>
        </w:rPr>
      </w:pPr>
      <w:r>
        <w:rPr>
          <w:sz w:val="26"/>
          <w:szCs w:val="26"/>
        </w:rPr>
        <w:t>6.2.2. Своевременно и надлежащим образом поставить товар и представить Государственному заказчику отчетные документы и материалы, предусмотренные настоящим Контрактом.</w:t>
      </w:r>
    </w:p>
    <w:p>
      <w:pPr>
        <w:pStyle w:val="Normal"/>
        <w:shd w:val="clear" w:color="auto" w:fill="FFFFFF"/>
        <w:ind w:firstLine="567"/>
        <w:jc w:val="both"/>
        <w:rPr>
          <w:sz w:val="26"/>
          <w:szCs w:val="26"/>
        </w:rPr>
      </w:pPr>
      <w:r>
        <w:rPr>
          <w:sz w:val="26"/>
          <w:szCs w:val="26"/>
        </w:rPr>
        <w:t>6.2.3. Безвозмездно осуществить замену товара при выявлении недостатков</w:t>
        <w:br/>
        <w:t>в течении срока годности Товара, а также в порядке и на условиях, предусмотренных настоящим Контрактом.</w:t>
      </w:r>
    </w:p>
    <w:p>
      <w:pPr>
        <w:pStyle w:val="Normal"/>
        <w:shd w:val="clear" w:color="auto" w:fill="FFFFFF"/>
        <w:ind w:firstLine="567"/>
        <w:jc w:val="both"/>
        <w:rPr>
          <w:sz w:val="26"/>
          <w:szCs w:val="26"/>
        </w:rPr>
      </w:pPr>
      <w:r>
        <w:rPr>
          <w:sz w:val="26"/>
          <w:szCs w:val="26"/>
        </w:rPr>
        <w:t>6.2.4. По первому требованию органа, осуществляющего контроль</w:t>
        <w:br/>
        <w:t>за использованием средств федерального бюджета, предоставить финансово-хозяйственные документы, связанные с поставкой товара по настоящему Контракту. В этих целях Поставщик обязан вести отдельный бухгалтерский учет.</w:t>
      </w:r>
    </w:p>
    <w:p>
      <w:pPr>
        <w:pStyle w:val="Normal"/>
        <w:shd w:val="clear" w:color="auto" w:fill="FFFFFF"/>
        <w:ind w:firstLine="567"/>
        <w:jc w:val="both"/>
        <w:rPr>
          <w:sz w:val="26"/>
          <w:szCs w:val="26"/>
        </w:rPr>
      </w:pPr>
      <w:r>
        <w:rPr>
          <w:sz w:val="26"/>
          <w:szCs w:val="26"/>
        </w:rPr>
        <w:t xml:space="preserve">6.2.5. Передать товар в порядке и в сроки, указанные в разделе 3 Контракта. </w:t>
      </w:r>
    </w:p>
    <w:p>
      <w:pPr>
        <w:pStyle w:val="Normal"/>
        <w:shd w:val="clear" w:color="auto" w:fill="FFFFFF"/>
        <w:ind w:firstLine="567"/>
        <w:jc w:val="both"/>
        <w:rPr>
          <w:sz w:val="26"/>
          <w:szCs w:val="26"/>
        </w:rPr>
      </w:pPr>
      <w:r>
        <w:rPr>
          <w:sz w:val="26"/>
          <w:szCs w:val="26"/>
        </w:rPr>
        <w:t>6.2.6. Передать товар в комплекте с относящейся к нему документацией, перечисленной в пункте 3.6</w:t>
      </w:r>
      <w:r>
        <w:rPr>
          <w:sz w:val="26"/>
          <w:szCs w:val="26"/>
          <w:shd w:fill="FFFF00" w:val="clear"/>
        </w:rPr>
        <w:t xml:space="preserve"> </w:t>
      </w:r>
      <w:r>
        <w:rPr>
          <w:sz w:val="26"/>
          <w:szCs w:val="26"/>
        </w:rPr>
        <w:t>Контракта.</w:t>
      </w:r>
    </w:p>
    <w:p>
      <w:pPr>
        <w:pStyle w:val="Normal"/>
        <w:shd w:val="clear" w:color="auto" w:fill="FFFFFF"/>
        <w:ind w:firstLine="567"/>
        <w:jc w:val="both"/>
        <w:rPr>
          <w:sz w:val="26"/>
          <w:szCs w:val="26"/>
        </w:rPr>
      </w:pPr>
      <w:r>
        <w:rPr>
          <w:sz w:val="26"/>
          <w:szCs w:val="26"/>
        </w:rPr>
        <w:t>6.2.7. Передать Государственному заказчику платежные и иные документы</w:t>
        <w:br/>
        <w:t>в порядке и на условиях, установленных пунктом 2.2 Контракта.</w:t>
      </w:r>
    </w:p>
    <w:p>
      <w:pPr>
        <w:pStyle w:val="Normal"/>
        <w:shd w:val="clear" w:color="auto" w:fill="FFFFFF"/>
        <w:ind w:firstLine="567"/>
        <w:jc w:val="both"/>
        <w:rPr>
          <w:sz w:val="26"/>
          <w:szCs w:val="26"/>
        </w:rPr>
      </w:pPr>
      <w:r>
        <w:rPr>
          <w:sz w:val="26"/>
          <w:szCs w:val="26"/>
        </w:rPr>
        <w:t>6.2.8. В случае нарушения условий Контракта о сроках поставки и качестве товара возместить убытки, в порядке и на условиях, предусмотренных</w:t>
        <w:br/>
        <w:t>разделом 7 Контракта.</w:t>
      </w:r>
    </w:p>
    <w:p>
      <w:pPr>
        <w:pStyle w:val="Normal"/>
        <w:shd w:val="clear" w:color="auto" w:fill="FFFFFF"/>
        <w:ind w:firstLine="567"/>
        <w:jc w:val="both"/>
        <w:rPr>
          <w:sz w:val="26"/>
          <w:szCs w:val="26"/>
        </w:rPr>
      </w:pPr>
      <w:r>
        <w:rPr>
          <w:sz w:val="26"/>
          <w:szCs w:val="26"/>
        </w:rPr>
      </w:r>
    </w:p>
    <w:p>
      <w:pPr>
        <w:pStyle w:val="Normal"/>
        <w:shd w:val="clear" w:color="auto" w:fill="FFFFFF"/>
        <w:jc w:val="center"/>
        <w:rPr>
          <w:b/>
          <w:sz w:val="26"/>
          <w:szCs w:val="26"/>
        </w:rPr>
      </w:pPr>
      <w:r>
        <w:rPr>
          <w:b/>
          <w:sz w:val="26"/>
          <w:szCs w:val="26"/>
        </w:rPr>
        <w:t>7. Ответственность Сторон</w:t>
      </w:r>
    </w:p>
    <w:p>
      <w:pPr>
        <w:pStyle w:val="Normal"/>
        <w:shd w:val="clear" w:color="auto" w:fill="FFFFFF"/>
        <w:spacing w:lineRule="auto" w:line="240"/>
        <w:jc w:val="both"/>
        <w:rPr>
          <w:rFonts w:ascii="Times New Roman" w:hAnsi="Times New Roman" w:eastAsia="Times New Roman" w:cs="Times New Roman"/>
          <w:sz w:val="26"/>
          <w:szCs w:val="26"/>
          <w:lang w:eastAsia="zh-CN"/>
        </w:rPr>
      </w:pPr>
      <w:r>
        <w:rPr>
          <w:rFonts w:eastAsia="Times New Roman" w:cs="Times New Roman"/>
          <w:sz w:val="26"/>
          <w:szCs w:val="26"/>
          <w:lang w:eastAsia="zh-CN"/>
        </w:rPr>
        <w:tab/>
        <w:t xml:space="preserve">7.1. </w:t>
      </w:r>
      <w:r>
        <w:rPr>
          <w:rFonts w:eastAsia="Times New Roman" w:cs="Times New Roman"/>
          <w:sz w:val="26"/>
          <w:szCs w:val="26"/>
          <w:lang w:eastAsia="ru-RU"/>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pPr>
        <w:pStyle w:val="msobodytextcxspmiddle"/>
        <w:suppressAutoHyphens w:val="true"/>
        <w:spacing w:beforeAutospacing="0" w:before="0" w:afterAutospacing="0" w:after="0"/>
        <w:ind w:firstLine="567" w:right="-6"/>
        <w:contextualSpacing/>
        <w:jc w:val="both"/>
        <w:rPr>
          <w:rFonts w:ascii="Times New Roman" w:hAnsi="Times New Roman" w:eastAsia="Times New Roman" w:cs="Times New Roman"/>
          <w:sz w:val="26"/>
          <w:szCs w:val="26"/>
          <w:lang w:eastAsia="ru-RU"/>
        </w:rPr>
      </w:pPr>
      <w:r>
        <w:rPr>
          <w:rFonts w:eastAsia="Times New Roman" w:cs="Times New Roman"/>
          <w:sz w:val="26"/>
          <w:szCs w:val="26"/>
          <w:lang w:eastAsia="ru-RU"/>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pPr>
        <w:pStyle w:val="msobodytextcxspmiddle"/>
        <w:suppressAutoHyphens w:val="true"/>
        <w:spacing w:beforeAutospacing="0" w:before="280" w:afterAutospacing="0" w:after="280"/>
        <w:ind w:firstLine="567" w:right="-6"/>
        <w:contextualSpacing/>
        <w:jc w:val="both"/>
        <w:rPr/>
      </w:pPr>
      <w:r>
        <w:rPr>
          <w:sz w:val="26"/>
          <w:szCs w:val="26"/>
        </w:rPr>
        <w:t>7.2. В случае просрочки исполнения Заказчиком обязательств, предусмотренных Контрактом, а также в иных случаях неисполнения или ненадлежащего</w:t>
        <w:br/>
        <w:t>исполнения Заказчиком обязательств, предусмотренных Контрактом, Поставщик вправе потребовать уплаты неустоек (штрафов, пеней). Пеня начисляется за каждый</w:t>
        <w:br/>
        <w:t>день просрочки исполнения обязательства, предусмотренного контрактом, начиная со дня, следующего после дня истечения установленного контрактом срока</w:t>
        <w:br/>
        <w:t>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w:t>
        <w:br/>
        <w:t>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pPr>
        <w:pStyle w:val="msobodytextcxspmiddle"/>
        <w:suppressAutoHyphens w:val="true"/>
        <w:spacing w:beforeAutospacing="0" w:before="280" w:afterAutospacing="0" w:after="280"/>
        <w:ind w:firstLine="567" w:right="-6"/>
        <w:contextualSpacing/>
        <w:jc w:val="both"/>
        <w:rPr/>
      </w:pPr>
      <w:r>
        <w:rPr>
          <w:sz w:val="26"/>
          <w:szCs w:val="26"/>
        </w:rPr>
        <w:t xml:space="preserve">7.3. Размер штрафа устанавливается Контрактом в порядке, установленном </w:t>
      </w:r>
      <w:hyperlink r:id="rId3">
        <w:r>
          <w:rPr>
            <w:rStyle w:val="Style8"/>
            <w:sz w:val="26"/>
            <w:szCs w:val="26"/>
          </w:rPr>
          <w:t>Правилами</w:t>
        </w:r>
      </w:hyperlink>
      <w:r>
        <w:rPr>
          <w:sz w:val="26"/>
          <w:szCs w:val="26"/>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утвержденными постановлением Правительства Российской Федерации от 30 августа 2017 г. N 1042 (далее - Правила определения размера штрафа).</w:t>
      </w:r>
    </w:p>
    <w:p>
      <w:pPr>
        <w:pStyle w:val="msobodytextcxspmiddle"/>
        <w:suppressAutoHyphens w:val="true"/>
        <w:spacing w:beforeAutospacing="0" w:before="280" w:afterAutospacing="0" w:after="280"/>
        <w:ind w:firstLine="567" w:right="-6"/>
        <w:contextualSpacing/>
        <w:jc w:val="both"/>
        <w:rPr/>
      </w:pPr>
      <w:bookmarkStart w:id="0" w:name="P212"/>
      <w:bookmarkStart w:id="1" w:name="P214"/>
      <w:bookmarkEnd w:id="0"/>
      <w:bookmarkEnd w:id="1"/>
      <w:r>
        <w:rPr>
          <w:sz w:val="26"/>
          <w:szCs w:val="26"/>
        </w:rPr>
        <w:t xml:space="preserve">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pPr>
        <w:pStyle w:val="msobodytextcxspmiddle"/>
        <w:suppressAutoHyphens w:val="true"/>
        <w:spacing w:beforeAutospacing="0" w:before="280" w:afterAutospacing="0" w:after="280"/>
        <w:ind w:firstLine="567" w:right="-6"/>
        <w:contextualSpacing/>
        <w:jc w:val="both"/>
        <w:rPr/>
      </w:pPr>
      <w:r>
        <w:rPr>
          <w:sz w:val="26"/>
          <w:szCs w:val="26"/>
        </w:rPr>
        <w:t>За каждый факт неисполнения Заказчиком обязательств, предусмотренных контрактом, за исключением просрочки исполнения обязательств, размер штрафа устанавливается в размере 1000 рублей (в случае, если цена контракта не превышает</w:t>
        <w:br/>
        <w:t>3 млн. руб.).</w:t>
      </w:r>
    </w:p>
    <w:p>
      <w:pPr>
        <w:pStyle w:val="msobodytextcxspmiddle"/>
        <w:spacing w:beforeAutospacing="0" w:before="280" w:afterAutospacing="0" w:after="280"/>
        <w:ind w:firstLine="567" w:right="-6"/>
        <w:contextualSpacing/>
        <w:jc w:val="both"/>
        <w:rPr>
          <w:sz w:val="26"/>
          <w:szCs w:val="26"/>
        </w:rPr>
      </w:pPr>
      <w:r>
        <w:rPr>
          <w:sz w:val="26"/>
          <w:szCs w:val="26"/>
        </w:rPr>
        <w:t>7.5. Общая сумма начисленных штрафов за ненадлежащее исполнение</w:t>
        <w:br/>
        <w:t>Заказчиком обязательств, предусмотренных контрактом, не может превышать цену Контракта.</w:t>
      </w:r>
    </w:p>
    <w:p>
      <w:pPr>
        <w:pStyle w:val="msobodytextcxspmiddle"/>
        <w:spacing w:beforeAutospacing="0" w:before="280" w:afterAutospacing="0" w:after="280"/>
        <w:ind w:firstLine="567" w:right="-6"/>
        <w:contextualSpacing/>
        <w:jc w:val="both"/>
        <w:rPr>
          <w:sz w:val="26"/>
          <w:szCs w:val="26"/>
        </w:rPr>
      </w:pPr>
      <w:r>
        <w:rPr>
          <w:sz w:val="26"/>
          <w:szCs w:val="26"/>
        </w:rPr>
        <w:t>7.6. В случае просрочки исполнения Поставщиком обязательств, предусмотренных Контрактом, а также в иных случаях неисполнения или ненадлежащего</w:t>
        <w:br/>
        <w:t>исполнения Поставщиком обязательств, предусмотренных Контрактом, Заказчик направляет Поставщику требование об уплате штрафов (пеней).</w:t>
      </w:r>
    </w:p>
    <w:p>
      <w:pPr>
        <w:pStyle w:val="msobodytextcxspmiddle"/>
        <w:suppressAutoHyphens w:val="true"/>
        <w:spacing w:beforeAutospacing="0" w:before="280" w:afterAutospacing="0" w:after="280"/>
        <w:ind w:firstLine="567" w:right="-6"/>
        <w:contextualSpacing/>
        <w:jc w:val="both"/>
        <w:rPr>
          <w:sz w:val="26"/>
          <w:szCs w:val="26"/>
        </w:rPr>
      </w:pPr>
      <w:r>
        <w:rPr>
          <w:sz w:val="26"/>
          <w:szCs w:val="26"/>
        </w:rPr>
        <w:t>7.7. Пеня начисляется за каждый день просрочки исполнения поставщиком</w:t>
        <w:br/>
        <w:t>обязательства, предусмотренного контрактом, начиная со дня, следующего после дня истечения установленного контрактом срока исполнения обязательства,</w:t>
        <w:br/>
        <w:t>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msobodytextcxspmiddle"/>
        <w:suppressAutoHyphens w:val="true"/>
        <w:spacing w:beforeAutospacing="0" w:before="280" w:afterAutospacing="0" w:after="280"/>
        <w:ind w:firstLine="567" w:right="-6"/>
        <w:contextualSpacing/>
        <w:jc w:val="both"/>
        <w:rPr/>
      </w:pPr>
      <w:r>
        <w:rPr>
          <w:sz w:val="26"/>
          <w:szCs w:val="26"/>
        </w:rPr>
        <w:t>7.8.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10 процентов цены Контракта (в случае, если цена Контракта не превышает 3 млн. рублей).</w:t>
      </w:r>
      <w:bookmarkStart w:id="2" w:name="P239"/>
      <w:bookmarkEnd w:id="2"/>
    </w:p>
    <w:p>
      <w:pPr>
        <w:pStyle w:val="msobodytextcxspmiddle"/>
        <w:suppressAutoHyphens w:val="true"/>
        <w:spacing w:beforeAutospacing="0" w:before="280" w:afterAutospacing="0" w:after="280"/>
        <w:ind w:firstLine="567" w:right="-6"/>
        <w:contextualSpacing/>
        <w:jc w:val="both"/>
        <w:rPr/>
      </w:pPr>
      <w:r>
        <w:rPr>
          <w:sz w:val="26"/>
          <w:szCs w:val="26"/>
        </w:rPr>
        <w:t>7.9.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1000 рублей (если цена Контракта не превышает 3 млн. рублей).</w:t>
      </w:r>
    </w:p>
    <w:p>
      <w:pPr>
        <w:pStyle w:val="msobodytextcxspmiddle"/>
        <w:suppressAutoHyphens w:val="true"/>
        <w:spacing w:beforeAutospacing="0" w:before="280" w:afterAutospacing="0" w:after="280"/>
        <w:ind w:firstLine="567" w:right="-6"/>
        <w:contextualSpacing/>
        <w:jc w:val="both"/>
        <w:rPr/>
      </w:pPr>
      <w:r>
        <w:rPr>
          <w:sz w:val="26"/>
          <w:szCs w:val="26"/>
        </w:rPr>
        <w:t>7.10.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msobodytextcxspmiddle"/>
        <w:suppressAutoHyphens w:val="true"/>
        <w:spacing w:beforeAutospacing="0" w:before="280" w:afterAutospacing="0" w:after="280"/>
        <w:ind w:firstLine="567" w:right="-6"/>
        <w:contextualSpacing/>
        <w:jc w:val="both"/>
        <w:rPr/>
      </w:pPr>
      <w:r>
        <w:rPr>
          <w:sz w:val="26"/>
          <w:szCs w:val="26"/>
        </w:rPr>
        <w:t>7.11.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msobodytextcxspmiddle"/>
        <w:spacing w:beforeAutospacing="0" w:before="280" w:afterAutospacing="0" w:after="280"/>
        <w:ind w:firstLine="567" w:right="-6"/>
        <w:contextualSpacing/>
        <w:jc w:val="both"/>
        <w:rPr>
          <w:sz w:val="26"/>
          <w:szCs w:val="26"/>
        </w:rPr>
      </w:pPr>
      <w:r>
        <w:rPr>
          <w:sz w:val="26"/>
          <w:szCs w:val="26"/>
        </w:rPr>
        <w:t>7.12. Сторона освобождается от уплаты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msobodytextcxspmiddle"/>
        <w:spacing w:beforeAutospacing="0" w:before="280" w:afterAutospacing="0" w:after="280"/>
        <w:ind w:firstLine="567" w:right="-6"/>
        <w:contextualSpacing/>
        <w:jc w:val="both"/>
        <w:rPr>
          <w:sz w:val="26"/>
          <w:szCs w:val="26"/>
        </w:rPr>
      </w:pPr>
      <w:r>
        <w:rPr>
          <w:sz w:val="26"/>
          <w:szCs w:val="26"/>
        </w:rPr>
        <w:t>7.13. Вред, причиненный третьим лицам по вине Поставщика при исполнении обязательств по Контракту, возмещается за его счет.</w:t>
      </w:r>
    </w:p>
    <w:p>
      <w:pPr>
        <w:pStyle w:val="msobodytextcxspmiddle"/>
        <w:spacing w:beforeAutospacing="0" w:before="280" w:afterAutospacing="0" w:after="280"/>
        <w:ind w:firstLine="567" w:right="-6"/>
        <w:contextualSpacing/>
        <w:jc w:val="both"/>
        <w:rPr>
          <w:sz w:val="26"/>
          <w:szCs w:val="26"/>
        </w:rPr>
      </w:pPr>
      <w:r>
        <w:rPr>
          <w:sz w:val="26"/>
          <w:szCs w:val="26"/>
        </w:rPr>
        <w:t xml:space="preserve">7.14. </w:t>
      </w:r>
      <w:r>
        <w:rPr>
          <w:kern w:val="2"/>
          <w:sz w:val="26"/>
          <w:szCs w:val="26"/>
          <w:lang w:eastAsia="ar-SA"/>
        </w:rPr>
        <w:t xml:space="preserve">В случае добровольной оплаты неустойки, Поставщик производит её оплату по следующим реквизитам: </w:t>
      </w:r>
    </w:p>
    <w:p>
      <w:pPr>
        <w:pStyle w:val="Normal"/>
        <w:spacing w:lineRule="auto" w:line="240" w:before="0" w:after="0"/>
        <w:jc w:val="both"/>
        <w:rPr>
          <w:rFonts w:ascii="XO Thames" w:hAnsi="XO Thames" w:cs="XO Thames"/>
          <w:b/>
          <w:sz w:val="24"/>
          <w:szCs w:val="24"/>
        </w:rPr>
      </w:pPr>
      <w:r>
        <w:rPr>
          <w:rFonts w:cs="XO Thames" w:ascii="XO Thames" w:hAnsi="XO Thames"/>
          <w:b/>
          <w:sz w:val="24"/>
          <w:szCs w:val="24"/>
        </w:rPr>
        <w:t>УФК по Архангельской области и  Ненецкому автономному округу (ФКУЗ МСЧ-29 ФСИН России л/с 04241293740)</w:t>
      </w:r>
    </w:p>
    <w:p>
      <w:pPr>
        <w:pStyle w:val="Normal"/>
        <w:overflowPunct w:val="true"/>
        <w:snapToGrid w:val="false"/>
        <w:spacing w:lineRule="auto" w:line="240" w:before="0" w:after="29"/>
        <w:jc w:val="both"/>
        <w:rPr>
          <w:rFonts w:ascii="XO Thames" w:hAnsi="XO Thames" w:cs="XO Thames"/>
          <w:sz w:val="24"/>
          <w:szCs w:val="24"/>
        </w:rPr>
      </w:pPr>
      <w:r>
        <w:rPr>
          <w:rFonts w:cs="XO Thames" w:ascii="XO Thames" w:hAnsi="XO Thames"/>
          <w:sz w:val="24"/>
          <w:szCs w:val="24"/>
        </w:rPr>
        <w:t>Лицевой счет: 04241293740</w:t>
      </w:r>
    </w:p>
    <w:p>
      <w:pPr>
        <w:pStyle w:val="Normal"/>
        <w:overflowPunct w:val="true"/>
        <w:snapToGrid w:val="false"/>
        <w:spacing w:lineRule="auto" w:line="240" w:before="0" w:after="29"/>
        <w:jc w:val="both"/>
        <w:rPr>
          <w:rFonts w:ascii="XO Thames" w:hAnsi="XO Thames" w:cs="XO Thames"/>
          <w:sz w:val="24"/>
          <w:szCs w:val="24"/>
        </w:rPr>
      </w:pPr>
      <w:r>
        <w:rPr>
          <w:rFonts w:cs="XO Thames" w:ascii="XO Thames" w:hAnsi="XO Thames"/>
          <w:sz w:val="24"/>
          <w:szCs w:val="24"/>
        </w:rPr>
        <w:t>ИНН 2912000516 КПП 290101001</w:t>
      </w:r>
    </w:p>
    <w:p>
      <w:pPr>
        <w:pStyle w:val="Normal"/>
        <w:overflowPunct w:val="true"/>
        <w:snapToGrid w:val="false"/>
        <w:spacing w:lineRule="auto" w:line="240" w:before="0" w:after="29"/>
        <w:jc w:val="both"/>
        <w:rPr>
          <w:rFonts w:ascii="XO Thames" w:hAnsi="XO Thames" w:cs="XO Thames"/>
          <w:sz w:val="24"/>
          <w:szCs w:val="24"/>
        </w:rPr>
      </w:pPr>
      <w:r>
        <w:rPr>
          <w:rFonts w:cs="XO Thames" w:ascii="XO Thames" w:hAnsi="XO Thames"/>
          <w:sz w:val="24"/>
          <w:szCs w:val="24"/>
        </w:rPr>
        <w:t>ОКПО 08584516 ОГРН 1022901320012</w:t>
      </w:r>
    </w:p>
    <w:p>
      <w:pPr>
        <w:pStyle w:val="Normal"/>
        <w:overflowPunct w:val="true"/>
        <w:snapToGrid w:val="false"/>
        <w:spacing w:lineRule="auto" w:line="240" w:before="0" w:after="29"/>
        <w:jc w:val="both"/>
        <w:rPr>
          <w:rFonts w:ascii="XO Thames" w:hAnsi="XO Thames" w:cs="XO Thames"/>
          <w:sz w:val="24"/>
          <w:szCs w:val="24"/>
        </w:rPr>
      </w:pPr>
      <w:r>
        <w:rPr>
          <w:rFonts w:cs="XO Thames" w:ascii="XO Thames" w:hAnsi="XO Thames"/>
          <w:sz w:val="24"/>
          <w:szCs w:val="24"/>
        </w:rPr>
        <w:t>Единый казначейский счет: 40102810045370000016</w:t>
      </w:r>
    </w:p>
    <w:p>
      <w:pPr>
        <w:pStyle w:val="Normal"/>
        <w:overflowPunct w:val="true"/>
        <w:snapToGrid w:val="false"/>
        <w:spacing w:lineRule="auto" w:line="240" w:before="0" w:after="29"/>
        <w:jc w:val="both"/>
        <w:rPr>
          <w:rFonts w:ascii="XO Thames" w:hAnsi="XO Thames" w:cs="XO Thames"/>
          <w:sz w:val="24"/>
          <w:szCs w:val="24"/>
        </w:rPr>
      </w:pPr>
      <w:r>
        <w:rPr>
          <w:rFonts w:cs="XO Thames" w:ascii="XO Thames" w:hAnsi="XO Thames"/>
          <w:sz w:val="24"/>
          <w:szCs w:val="24"/>
        </w:rPr>
        <w:t>Наименование Банка: ОКЦ № 2 СЗГУ Банка России//УФК по Архангельской области и Ненецкому автономному округу, г. Архангельск</w:t>
      </w:r>
    </w:p>
    <w:p>
      <w:pPr>
        <w:pStyle w:val="Normal"/>
        <w:overflowPunct w:val="true"/>
        <w:snapToGrid w:val="false"/>
        <w:spacing w:lineRule="auto" w:line="240" w:before="0" w:after="29"/>
        <w:jc w:val="both"/>
        <w:rPr>
          <w:rFonts w:ascii="XO Thames" w:hAnsi="XO Thames" w:cs="XO Thames"/>
          <w:sz w:val="24"/>
          <w:szCs w:val="24"/>
        </w:rPr>
      </w:pPr>
      <w:r>
        <w:rPr>
          <w:rFonts w:cs="XO Thames" w:ascii="XO Thames" w:hAnsi="XO Thames"/>
          <w:sz w:val="24"/>
          <w:szCs w:val="24"/>
        </w:rPr>
        <w:t>БИК 011117401</w:t>
      </w:r>
    </w:p>
    <w:p>
      <w:pPr>
        <w:pStyle w:val="Normal"/>
        <w:overflowPunct w:val="true"/>
        <w:snapToGrid w:val="false"/>
        <w:spacing w:lineRule="auto" w:line="240" w:before="0" w:after="29"/>
        <w:rPr>
          <w:rFonts w:ascii="XO Thames" w:hAnsi="XO Thames" w:cs="XO Thames"/>
          <w:sz w:val="24"/>
          <w:szCs w:val="24"/>
        </w:rPr>
      </w:pPr>
      <w:r>
        <w:rPr>
          <w:rFonts w:cs="XO Thames" w:ascii="XO Thames" w:hAnsi="XO Thames"/>
          <w:sz w:val="24"/>
          <w:szCs w:val="24"/>
        </w:rPr>
        <w:t>казначейский счет: 03100643000000012400</w:t>
      </w:r>
    </w:p>
    <w:p>
      <w:pPr>
        <w:pStyle w:val="Normal"/>
        <w:snapToGrid w:val="false"/>
        <w:spacing w:lineRule="auto" w:line="240" w:before="0" w:after="0"/>
        <w:rPr>
          <w:rFonts w:eastAsia="Times New Roman" w:cs="Times New Roman"/>
          <w:sz w:val="24"/>
          <w:szCs w:val="24"/>
        </w:rPr>
      </w:pPr>
      <w:r>
        <w:rPr>
          <w:rFonts w:eastAsia="Times New Roman" w:cs="Times New Roman"/>
          <w:sz w:val="24"/>
          <w:szCs w:val="24"/>
        </w:rPr>
        <w:t>тел. (8182) 22-98-56</w:t>
      </w:r>
    </w:p>
    <w:p>
      <w:pPr>
        <w:pStyle w:val="Normal"/>
        <w:shd w:val="clear" w:fill="FFFFFF"/>
        <w:snapToGrid w:val="false"/>
        <w:spacing w:lineRule="auto" w:line="240" w:before="0" w:after="0"/>
        <w:rPr>
          <w:rFonts w:ascii="XO Thames" w:hAnsi="XO Thames" w:eastAsia="Times New Roman" w:cs="XO Thames"/>
          <w:b/>
          <w:sz w:val="24"/>
          <w:szCs w:val="24"/>
        </w:rPr>
      </w:pPr>
      <w:r>
        <w:rPr>
          <w:rFonts w:eastAsia="Times New Roman" w:cs="Times New Roman"/>
          <w:b/>
          <w:sz w:val="24"/>
          <w:szCs w:val="24"/>
          <w:lang w:val="en-US"/>
        </w:rPr>
        <w:t xml:space="preserve">эл.почта: </w:t>
      </w:r>
      <w:hyperlink r:id="rId4">
        <w:r>
          <w:rPr>
            <w:rStyle w:val="Hyperlink"/>
            <w:rFonts w:eastAsia="Times New Roman" w:cs="Times New Roman"/>
            <w:b/>
            <w:sz w:val="24"/>
            <w:szCs w:val="24"/>
            <w:lang w:val="en-US"/>
          </w:rPr>
          <w:t>msch29@29.fsin.gov.ru</w:t>
        </w:r>
      </w:hyperlink>
      <w:r>
        <w:rPr>
          <w:rFonts w:eastAsia="Times New Roman" w:cs="Times New Roman"/>
          <w:b/>
          <w:sz w:val="24"/>
          <w:szCs w:val="24"/>
        </w:rPr>
        <w:t xml:space="preserve"> или    </w:t>
      </w:r>
      <w:hyperlink r:id="rId5">
        <w:r>
          <w:rPr>
            <w:rStyle w:val="Hyperlink"/>
            <w:rFonts w:eastAsia="Times New Roman" w:cs="XO Thames" w:ascii="XO Thames" w:hAnsi="XO Thames"/>
            <w:b/>
            <w:color w:val="0000FF"/>
            <w:sz w:val="24"/>
            <w:szCs w:val="24"/>
            <w:u w:val="single"/>
          </w:rPr>
          <w:t>msch29om@29.fsin.gov.ru</w:t>
        </w:r>
      </w:hyperlink>
    </w:p>
    <w:p>
      <w:pPr>
        <w:pStyle w:val="Normal"/>
        <w:shd w:val="clear" w:fill="FFFFFF"/>
        <w:snapToGrid w:val="false"/>
        <w:spacing w:lineRule="auto" w:line="240" w:before="0" w:after="0"/>
        <w:rPr>
          <w:rFonts w:ascii="XO Thames" w:hAnsi="XO Thames" w:eastAsia="Times New Roman" w:cs="XO Thames"/>
          <w:b/>
          <w:sz w:val="24"/>
          <w:szCs w:val="24"/>
        </w:rPr>
      </w:pPr>
      <w:r>
        <w:rPr>
          <w:rFonts w:eastAsia="Times New Roman" w:cs="XO Thames" w:ascii="XO Thames" w:hAnsi="XO Thames"/>
          <w:b/>
          <w:sz w:val="24"/>
          <w:szCs w:val="24"/>
        </w:rPr>
      </w:r>
    </w:p>
    <w:p>
      <w:pPr>
        <w:pStyle w:val="Normal"/>
        <w:tabs>
          <w:tab w:val="clear" w:pos="708"/>
          <w:tab w:val="left" w:pos="0" w:leader="none"/>
        </w:tabs>
        <w:ind w:firstLine="567" w:right="-2"/>
        <w:jc w:val="center"/>
        <w:rPr>
          <w:b/>
          <w:sz w:val="26"/>
          <w:szCs w:val="26"/>
          <w:lang w:eastAsia="ru-RU"/>
        </w:rPr>
      </w:pPr>
      <w:r>
        <w:rPr>
          <w:b/>
          <w:sz w:val="26"/>
          <w:szCs w:val="26"/>
          <w:lang w:eastAsia="ru-RU"/>
        </w:rPr>
        <w:t>8. Тара, упаковка и маркировка</w:t>
      </w:r>
    </w:p>
    <w:p>
      <w:pPr>
        <w:pStyle w:val="Normal"/>
        <w:tabs>
          <w:tab w:val="clear" w:pos="708"/>
          <w:tab w:val="left" w:pos="0" w:leader="none"/>
        </w:tabs>
        <w:suppressAutoHyphens w:val="true"/>
        <w:ind w:firstLine="567" w:right="-2"/>
        <w:jc w:val="both"/>
        <w:rPr>
          <w:sz w:val="26"/>
          <w:szCs w:val="26"/>
          <w:lang w:eastAsia="ru-RU"/>
        </w:rPr>
      </w:pPr>
      <w:r>
        <w:rPr>
          <w:sz w:val="26"/>
          <w:szCs w:val="26"/>
          <w:lang w:eastAsia="ru-RU"/>
        </w:rPr>
        <w:t>8.1. Товар должен быть затарен и упакован в соответствии с действующими стандартами и техническими условиями таким образом, чтобы обеспечить</w:t>
        <w:br/>
        <w:t>его сохранность при транспортировке различными видами транспорта до пункта</w:t>
        <w:br/>
        <w:t>назначения с учетом многочисленных разгрузок и хранения на складе Заказчика.</w:t>
      </w:r>
    </w:p>
    <w:p>
      <w:pPr>
        <w:pStyle w:val="Normal"/>
        <w:suppressAutoHyphens w:val="true"/>
        <w:ind w:firstLine="567"/>
        <w:jc w:val="both"/>
        <w:rPr>
          <w:sz w:val="26"/>
          <w:szCs w:val="26"/>
          <w:lang w:eastAsia="ru-RU"/>
        </w:rPr>
      </w:pPr>
      <w:r>
        <w:rPr>
          <w:sz w:val="26"/>
          <w:szCs w:val="26"/>
          <w:lang w:eastAsia="ru-RU"/>
        </w:rPr>
        <w:t xml:space="preserve">8.2. Доставка Товара производится в невозвратной таре и (или) упаковке, обеспечивающей сохранность при перевозке и хранении, с сохранением всех защитных знаков производителей. Товар поставляется в таре и упаковке, соответствующей государственным стандартам, техническим условиям и другой нормативно-технической документации. Упаковка товара должна гарантировать его сохранность в пути следования, при транспортировке, и при хранении, содержать необходимую маркировку с полной и доступной информацией о Товаре. Маркировка должна быть нанесена четко, несмываемой краской. </w:t>
      </w:r>
    </w:p>
    <w:p>
      <w:pPr>
        <w:pStyle w:val="Normal"/>
        <w:widowControl w:val="false"/>
        <w:suppressAutoHyphens w:val="false"/>
        <w:spacing w:before="0" w:after="0"/>
        <w:ind w:firstLine="567" w:right="-71"/>
        <w:contextualSpacing/>
        <w:jc w:val="both"/>
        <w:rPr>
          <w:sz w:val="26"/>
          <w:szCs w:val="26"/>
          <w:lang w:eastAsia="ru-RU"/>
        </w:rPr>
      </w:pPr>
      <w:r>
        <w:rPr>
          <w:sz w:val="26"/>
          <w:szCs w:val="26"/>
          <w:lang w:eastAsia="ru-RU"/>
        </w:rPr>
        <w:t>8.3. Тара и упаковка возврату не подлежат, их стоимость включена в цену Контракта.</w:t>
      </w:r>
    </w:p>
    <w:p>
      <w:pPr>
        <w:pStyle w:val="Normal"/>
        <w:suppressAutoHyphens w:val="false"/>
        <w:ind w:firstLine="567" w:right="-2"/>
        <w:jc w:val="both"/>
        <w:rPr>
          <w:sz w:val="26"/>
          <w:szCs w:val="26"/>
          <w:lang w:eastAsia="ru-RU"/>
        </w:rPr>
      </w:pPr>
      <w:r>
        <w:rPr>
          <w:sz w:val="26"/>
          <w:szCs w:val="26"/>
          <w:lang w:eastAsia="ru-RU"/>
        </w:rPr>
        <w:t>8.4.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w:t>
        <w:br/>
        <w:t>и приемке не подлежит.</w:t>
      </w:r>
    </w:p>
    <w:p>
      <w:pPr>
        <w:pStyle w:val="Normal"/>
        <w:suppressAutoHyphens w:val="false"/>
        <w:ind w:firstLine="567" w:right="-2"/>
        <w:jc w:val="both"/>
        <w:rPr>
          <w:sz w:val="26"/>
          <w:szCs w:val="26"/>
          <w:lang w:eastAsia="ru-RU"/>
        </w:rPr>
      </w:pPr>
      <w:r>
        <w:rPr>
          <w:sz w:val="26"/>
          <w:szCs w:val="26"/>
          <w:lang w:eastAsia="ru-RU"/>
        </w:rPr>
      </w:r>
    </w:p>
    <w:p>
      <w:pPr>
        <w:pStyle w:val="Normal"/>
        <w:shd w:val="clear" w:color="auto" w:fill="FFFFFF"/>
        <w:jc w:val="center"/>
        <w:rPr>
          <w:b/>
          <w:sz w:val="26"/>
          <w:szCs w:val="26"/>
        </w:rPr>
      </w:pPr>
      <w:r>
        <w:rPr>
          <w:b/>
          <w:sz w:val="26"/>
          <w:szCs w:val="26"/>
        </w:rPr>
        <w:t>9. Форс-мажорные обстоятельства</w:t>
      </w:r>
    </w:p>
    <w:p>
      <w:pPr>
        <w:pStyle w:val="Normal"/>
        <w:shd w:val="clear" w:color="auto" w:fill="FFFFFF"/>
        <w:ind w:firstLine="567"/>
        <w:jc w:val="both"/>
        <w:rPr>
          <w:sz w:val="26"/>
          <w:szCs w:val="26"/>
        </w:rPr>
      </w:pPr>
      <w:r>
        <w:rPr>
          <w:sz w:val="26"/>
          <w:szCs w:val="26"/>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pPr>
        <w:pStyle w:val="Normal"/>
        <w:shd w:val="clear" w:color="auto" w:fill="FFFFFF"/>
        <w:ind w:firstLine="567"/>
        <w:jc w:val="both"/>
        <w:rPr>
          <w:sz w:val="26"/>
          <w:szCs w:val="26"/>
        </w:rPr>
      </w:pPr>
      <w:r>
        <w:rPr>
          <w:sz w:val="26"/>
          <w:szCs w:val="26"/>
        </w:rPr>
        <w:t>Указанные события должны носить чрезвычайный, непредвиденный</w:t>
        <w:br/>
        <w:t>и непредотвратимый характер, возникнуть после заключения Контракта</w:t>
        <w:br/>
        <w:t>и не зависеть от воли Сторон.</w:t>
      </w:r>
    </w:p>
    <w:p>
      <w:pPr>
        <w:pStyle w:val="Normal"/>
        <w:shd w:val="clear" w:color="auto" w:fill="FFFFFF"/>
        <w:ind w:firstLine="567"/>
        <w:jc w:val="both"/>
        <w:rPr>
          <w:sz w:val="26"/>
          <w:szCs w:val="26"/>
        </w:rPr>
      </w:pPr>
      <w:r>
        <w:rPr>
          <w:sz w:val="26"/>
          <w:szCs w:val="26"/>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w:t>
        <w:br/>
        <w:t>о характере обстоятельств, а также по возможности оценка их влияния</w:t>
        <w:br/>
        <w:t>на возможность исполнения обязательств по Контракту и срок исполнения обязательств.</w:t>
      </w:r>
    </w:p>
    <w:p>
      <w:pPr>
        <w:pStyle w:val="Normal"/>
        <w:shd w:val="clear" w:color="auto" w:fill="FFFFFF"/>
        <w:ind w:firstLine="567"/>
        <w:jc w:val="both"/>
        <w:rPr>
          <w:sz w:val="26"/>
          <w:szCs w:val="26"/>
        </w:rPr>
      </w:pPr>
      <w:r>
        <w:rPr>
          <w:sz w:val="26"/>
          <w:szCs w:val="26"/>
        </w:rPr>
        <w:t>9.3. По прекращении указанных обстоятельств Сторона должна без промедления, но не позднее 3 дней, известить об этом другую Сторону</w:t>
        <w:b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pPr>
        <w:pStyle w:val="Normal"/>
        <w:shd w:val="clear" w:color="auto" w:fill="FFFFFF"/>
        <w:ind w:firstLine="567"/>
        <w:jc w:val="both"/>
        <w:rPr>
          <w:sz w:val="26"/>
          <w:szCs w:val="26"/>
        </w:rPr>
      </w:pPr>
      <w:r>
        <w:rPr>
          <w:sz w:val="26"/>
          <w:szCs w:val="26"/>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pPr>
        <w:pStyle w:val="Normal"/>
        <w:shd w:val="clear" w:color="auto" w:fill="FFFFFF"/>
        <w:ind w:firstLine="567"/>
        <w:jc w:val="both"/>
        <w:rPr>
          <w:sz w:val="26"/>
          <w:szCs w:val="26"/>
        </w:rPr>
      </w:pPr>
      <w:r>
        <w:rPr>
          <w:sz w:val="26"/>
          <w:szCs w:val="26"/>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pPr>
        <w:pStyle w:val="Normal"/>
        <w:shd w:val="clear" w:color="auto" w:fill="FFFFFF"/>
        <w:ind w:firstLine="567"/>
        <w:jc w:val="both"/>
        <w:rPr>
          <w:sz w:val="26"/>
          <w:szCs w:val="26"/>
        </w:rPr>
      </w:pPr>
      <w:r>
        <w:rPr>
          <w:sz w:val="26"/>
          <w:szCs w:val="26"/>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pPr>
        <w:pStyle w:val="Normal"/>
        <w:shd w:val="clear" w:color="auto" w:fill="FFFFFF"/>
        <w:ind w:firstLine="567"/>
        <w:jc w:val="both"/>
        <w:rPr>
          <w:sz w:val="26"/>
          <w:szCs w:val="26"/>
        </w:rPr>
      </w:pPr>
      <w:r>
        <w:rPr>
          <w:sz w:val="26"/>
          <w:szCs w:val="26"/>
        </w:rPr>
      </w:r>
    </w:p>
    <w:p>
      <w:pPr>
        <w:pStyle w:val="Normal"/>
        <w:numPr>
          <w:ilvl w:val="0"/>
          <w:numId w:val="0"/>
        </w:numPr>
        <w:suppressAutoHyphens w:val="false"/>
        <w:ind w:hanging="0" w:left="360"/>
        <w:jc w:val="center"/>
        <w:outlineLvl w:val="0"/>
        <w:rPr>
          <w:b/>
          <w:sz w:val="26"/>
          <w:szCs w:val="26"/>
        </w:rPr>
      </w:pPr>
      <w:r>
        <w:rPr>
          <w:b/>
          <w:sz w:val="26"/>
          <w:szCs w:val="26"/>
        </w:rPr>
        <w:t xml:space="preserve">10. Срок действия, изменение и досрочное расторжение Контракта </w:t>
      </w:r>
    </w:p>
    <w:p>
      <w:pPr>
        <w:pStyle w:val="Normal"/>
        <w:shd w:val="clear" w:color="auto" w:fill="FFFFFF"/>
        <w:ind w:firstLine="567"/>
        <w:jc w:val="both"/>
        <w:rPr>
          <w:sz w:val="26"/>
          <w:szCs w:val="26"/>
        </w:rPr>
      </w:pPr>
      <w:r>
        <w:rPr>
          <w:sz w:val="26"/>
          <w:szCs w:val="26"/>
        </w:rPr>
        <w:t>10.1. Контракт вступает в силу с момента его подписания и действует</w:t>
        <w:br/>
        <w:t>по «3</w:t>
      </w:r>
      <w:r>
        <w:rPr>
          <w:sz w:val="26"/>
          <w:szCs w:val="26"/>
          <w:lang w:val="en-US"/>
        </w:rPr>
        <w:t>0</w:t>
      </w:r>
      <w:r>
        <w:rPr>
          <w:sz w:val="26"/>
          <w:szCs w:val="26"/>
        </w:rPr>
        <w:t>» декабря 202</w:t>
      </w:r>
      <w:r>
        <w:rPr>
          <w:sz w:val="26"/>
          <w:szCs w:val="26"/>
          <w:lang w:val="en-US"/>
        </w:rPr>
        <w:t>6</w:t>
      </w:r>
      <w:r>
        <w:rPr>
          <w:sz w:val="26"/>
          <w:szCs w:val="26"/>
        </w:rPr>
        <w:t xml:space="preserve"> года.</w:t>
      </w:r>
    </w:p>
    <w:p>
      <w:pPr>
        <w:pStyle w:val="Normal"/>
        <w:shd w:val="clear" w:color="auto" w:fill="FFFFFF"/>
        <w:ind w:firstLine="567"/>
        <w:jc w:val="both"/>
        <w:rPr>
          <w:sz w:val="26"/>
          <w:szCs w:val="26"/>
        </w:rPr>
      </w:pPr>
      <w:r>
        <w:rPr>
          <w:sz w:val="26"/>
          <w:szCs w:val="26"/>
        </w:rPr>
        <w:t>10.2. Контракт может быть изменен по соглашению Сторон в случаях, предусмотренных Гражданским кодексом Российской Федерации и Законом</w:t>
        <w:br/>
        <w:t>№ 44-ФЗ.</w:t>
      </w:r>
    </w:p>
    <w:p>
      <w:pPr>
        <w:pStyle w:val="Normal"/>
        <w:shd w:val="clear" w:color="auto" w:fill="FFFFFF"/>
        <w:ind w:firstLine="567"/>
        <w:jc w:val="both"/>
        <w:rPr>
          <w:sz w:val="26"/>
          <w:szCs w:val="26"/>
        </w:rPr>
      </w:pPr>
      <w:r>
        <w:rPr>
          <w:sz w:val="26"/>
          <w:szCs w:val="26"/>
        </w:rPr>
        <w:t>10.3. Все изменения к Контракту действительны, если они оформлены</w:t>
        <w:br/>
        <w:t>в виде дополнительного соглашения к Контракту и подписаны Сторонами. Соответствующие дополнительные соглашения сторон являются неотъемлемой частью Контракта.</w:t>
      </w:r>
    </w:p>
    <w:p>
      <w:pPr>
        <w:pStyle w:val="Normal"/>
        <w:shd w:val="clear" w:color="auto" w:fill="FFFFFF"/>
        <w:ind w:firstLine="567"/>
        <w:jc w:val="both"/>
        <w:rPr>
          <w:sz w:val="26"/>
          <w:szCs w:val="26"/>
        </w:rPr>
      </w:pPr>
      <w:r>
        <w:rPr>
          <w:sz w:val="26"/>
          <w:szCs w:val="26"/>
        </w:rPr>
        <w:t>10.4.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pPr>
        <w:pStyle w:val="Normal"/>
        <w:shd w:val="clear" w:color="auto" w:fill="FFFFFF"/>
        <w:ind w:firstLine="567"/>
        <w:jc w:val="both"/>
        <w:rPr>
          <w:sz w:val="26"/>
          <w:szCs w:val="26"/>
        </w:rPr>
      </w:pPr>
      <w:r>
        <w:rPr>
          <w:sz w:val="26"/>
          <w:szCs w:val="26"/>
        </w:rPr>
        <w:t>10.4.1.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pPr>
        <w:pStyle w:val="Normal"/>
        <w:shd w:val="clear" w:color="auto" w:fill="FFFFFF"/>
        <w:ind w:firstLine="567"/>
        <w:jc w:val="both"/>
        <w:rPr>
          <w:sz w:val="26"/>
          <w:szCs w:val="26"/>
        </w:rPr>
      </w:pPr>
      <w:r>
        <w:rPr>
          <w:sz w:val="26"/>
          <w:szCs w:val="26"/>
        </w:rPr>
        <w:t>10.4.2.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rmal"/>
        <w:shd w:val="clear" w:color="auto" w:fill="FFFFFF"/>
        <w:ind w:firstLine="567"/>
        <w:jc w:val="both"/>
        <w:rPr>
          <w:sz w:val="26"/>
          <w:szCs w:val="26"/>
        </w:rPr>
      </w:pPr>
      <w:r>
        <w:rPr>
          <w:sz w:val="26"/>
          <w:szCs w:val="26"/>
        </w:rPr>
        <w:t>10.4.3.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pPr>
        <w:pStyle w:val="Normal"/>
        <w:shd w:val="clear" w:color="auto" w:fill="FFFFFF"/>
        <w:ind w:firstLine="567"/>
        <w:jc w:val="both"/>
        <w:rPr>
          <w:sz w:val="26"/>
          <w:szCs w:val="26"/>
        </w:rPr>
      </w:pPr>
      <w:r>
        <w:rPr>
          <w:sz w:val="26"/>
          <w:szCs w:val="26"/>
        </w:rPr>
        <w:t>10.5.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pPr>
        <w:pStyle w:val="Normal"/>
        <w:shd w:val="clear" w:color="auto" w:fill="FFFFFF"/>
        <w:ind w:firstLine="567"/>
        <w:jc w:val="both"/>
        <w:rPr>
          <w:sz w:val="26"/>
          <w:szCs w:val="26"/>
        </w:rPr>
      </w:pPr>
      <w:r>
        <w:rPr>
          <w:sz w:val="26"/>
          <w:szCs w:val="26"/>
        </w:rPr>
        <w:t>10.6.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pPr>
        <w:pStyle w:val="Normal"/>
        <w:shd w:val="clear" w:color="auto" w:fill="FFFFFF"/>
        <w:ind w:firstLine="567"/>
        <w:jc w:val="both"/>
        <w:rPr>
          <w:sz w:val="26"/>
          <w:szCs w:val="26"/>
        </w:rPr>
      </w:pPr>
      <w:r>
        <w:rPr>
          <w:sz w:val="26"/>
          <w:szCs w:val="26"/>
        </w:rPr>
        <w:t>10.7.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поставщика.</w:t>
      </w:r>
    </w:p>
    <w:p>
      <w:pPr>
        <w:pStyle w:val="Normal"/>
        <w:shd w:val="clear" w:color="auto" w:fill="FFFFFF"/>
        <w:ind w:firstLine="567"/>
        <w:jc w:val="both"/>
        <w:rPr>
          <w:sz w:val="26"/>
          <w:szCs w:val="26"/>
        </w:rPr>
      </w:pPr>
      <w:r>
        <w:rPr>
          <w:sz w:val="26"/>
          <w:szCs w:val="26"/>
        </w:rPr>
        <w:t>10.8.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случае существенного нарушения Контракта Поставщиком. Нарушение Контракта Поставщиком предполагается существенным в случаях:</w:t>
      </w:r>
    </w:p>
    <w:p>
      <w:pPr>
        <w:pStyle w:val="Normal"/>
        <w:shd w:val="clear" w:color="auto" w:fill="FFFFFF"/>
        <w:ind w:firstLine="567"/>
        <w:jc w:val="both"/>
        <w:rPr>
          <w:sz w:val="26"/>
          <w:szCs w:val="26"/>
        </w:rPr>
      </w:pPr>
      <w:r>
        <w:rPr>
          <w:sz w:val="26"/>
          <w:szCs w:val="26"/>
        </w:rPr>
        <w:t>поставки (передачи) товара ненадлежащего качества с недостатками, которые не могут быть устранены в приемлемый для Государственного заказчика срок;</w:t>
      </w:r>
    </w:p>
    <w:p>
      <w:pPr>
        <w:pStyle w:val="Normal"/>
        <w:shd w:val="clear" w:color="auto" w:fill="FFFFFF"/>
        <w:ind w:firstLine="567"/>
        <w:jc w:val="both"/>
        <w:rPr>
          <w:sz w:val="26"/>
          <w:szCs w:val="26"/>
        </w:rPr>
      </w:pPr>
      <w:r>
        <w:rPr>
          <w:sz w:val="26"/>
          <w:szCs w:val="26"/>
        </w:rPr>
        <w:t>нарушения сроков поставки товара (партии товара).</w:t>
      </w:r>
    </w:p>
    <w:p>
      <w:pPr>
        <w:pStyle w:val="Normal"/>
        <w:shd w:val="clear" w:color="auto" w:fill="FFFFFF"/>
        <w:ind w:firstLine="567"/>
        <w:jc w:val="both"/>
        <w:rPr>
          <w:sz w:val="26"/>
          <w:szCs w:val="26"/>
        </w:rPr>
      </w:pPr>
      <w:r>
        <w:rPr>
          <w:sz w:val="26"/>
          <w:szCs w:val="26"/>
        </w:rPr>
        <w:t xml:space="preserve">10.9.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w:t>
      </w:r>
    </w:p>
    <w:p>
      <w:pPr>
        <w:pStyle w:val="Normal"/>
        <w:shd w:val="clear" w:color="auto" w:fill="FFFFFF"/>
        <w:ind w:firstLine="567"/>
        <w:jc w:val="both"/>
        <w:rPr>
          <w:sz w:val="26"/>
          <w:szCs w:val="26"/>
        </w:rPr>
      </w:pPr>
      <w:r>
        <w:rPr>
          <w:sz w:val="26"/>
          <w:szCs w:val="26"/>
        </w:rPr>
        <w:t>нарушения Государственным заказчиком сроков оплаты товара.</w:t>
      </w:r>
    </w:p>
    <w:p>
      <w:pPr>
        <w:pStyle w:val="Normal"/>
        <w:shd w:val="clear" w:color="auto" w:fill="FFFFFF"/>
        <w:ind w:firstLine="567"/>
        <w:jc w:val="both"/>
        <w:rPr>
          <w:sz w:val="26"/>
          <w:szCs w:val="26"/>
        </w:rPr>
      </w:pPr>
      <w:r>
        <w:rPr>
          <w:sz w:val="26"/>
          <w:szCs w:val="26"/>
        </w:rPr>
      </w:r>
    </w:p>
    <w:p>
      <w:pPr>
        <w:pStyle w:val="Normal"/>
        <w:shd w:val="clear" w:color="auto" w:fill="FFFFFF"/>
        <w:ind w:firstLine="567"/>
        <w:jc w:val="center"/>
        <w:rPr>
          <w:b/>
          <w:sz w:val="26"/>
          <w:szCs w:val="26"/>
        </w:rPr>
      </w:pPr>
      <w:r>
        <w:rPr>
          <w:b/>
          <w:sz w:val="26"/>
          <w:szCs w:val="26"/>
        </w:rPr>
        <w:t>11. Порядок разрешения споров, претензии Сторон</w:t>
      </w:r>
    </w:p>
    <w:p>
      <w:pPr>
        <w:pStyle w:val="Normal"/>
        <w:shd w:val="clear" w:color="auto" w:fill="FFFFFF"/>
        <w:ind w:firstLine="567"/>
        <w:jc w:val="both"/>
        <w:rPr>
          <w:sz w:val="26"/>
          <w:szCs w:val="26"/>
        </w:rPr>
      </w:pPr>
      <w:r>
        <w:rPr>
          <w:sz w:val="26"/>
          <w:szCs w:val="26"/>
        </w:rPr>
        <w:t xml:space="preserve">11.1. Все споры и разногласия, возникающие при исполнении Контракта, решаются Сторонами путем переговоров. </w:t>
      </w:r>
    </w:p>
    <w:p>
      <w:pPr>
        <w:pStyle w:val="Normal"/>
        <w:shd w:val="clear" w:color="auto" w:fill="FFFFFF"/>
        <w:ind w:firstLine="567"/>
        <w:jc w:val="both"/>
        <w:rPr>
          <w:sz w:val="26"/>
          <w:szCs w:val="26"/>
        </w:rPr>
      </w:pPr>
      <w:r>
        <w:rPr>
          <w:sz w:val="26"/>
          <w:szCs w:val="26"/>
        </w:rPr>
        <w:t>11.2. Досудебный порядок урегулирования споров, предусматривающий направление претензии контрагенту, является обязательным.</w:t>
      </w:r>
    </w:p>
    <w:p>
      <w:pPr>
        <w:pStyle w:val="Normal"/>
        <w:shd w:val="clear" w:color="auto" w:fill="FFFFFF"/>
        <w:ind w:firstLine="567"/>
        <w:jc w:val="both"/>
        <w:rPr>
          <w:sz w:val="26"/>
          <w:szCs w:val="26"/>
        </w:rPr>
      </w:pPr>
      <w:r>
        <w:rPr>
          <w:sz w:val="26"/>
          <w:szCs w:val="26"/>
        </w:rPr>
        <w:t>11.3.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pPr>
        <w:pStyle w:val="Normal"/>
        <w:shd w:val="clear" w:color="auto" w:fill="FFFFFF"/>
        <w:ind w:firstLine="567"/>
        <w:jc w:val="both"/>
        <w:rPr>
          <w:sz w:val="26"/>
          <w:szCs w:val="26"/>
        </w:rPr>
      </w:pPr>
      <w:r>
        <w:rPr>
          <w:sz w:val="26"/>
          <w:szCs w:val="26"/>
        </w:rPr>
        <w:t xml:space="preserve">11.4.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    </w:t>
      </w:r>
    </w:p>
    <w:p>
      <w:pPr>
        <w:pStyle w:val="Normal"/>
        <w:shd w:val="clear" w:color="auto" w:fill="FFFFFF"/>
        <w:ind w:firstLine="567"/>
        <w:jc w:val="both"/>
        <w:rPr>
          <w:sz w:val="26"/>
          <w:szCs w:val="26"/>
        </w:rPr>
      </w:pPr>
      <w:r>
        <w:rPr>
          <w:sz w:val="26"/>
          <w:szCs w:val="26"/>
        </w:rPr>
      </w:r>
    </w:p>
    <w:p>
      <w:pPr>
        <w:pStyle w:val="Normal"/>
        <w:shd w:val="clear" w:color="auto" w:fill="FFFFFF"/>
        <w:jc w:val="center"/>
        <w:rPr>
          <w:b/>
          <w:sz w:val="26"/>
          <w:szCs w:val="26"/>
        </w:rPr>
      </w:pPr>
      <w:r>
        <w:rPr>
          <w:b/>
          <w:sz w:val="26"/>
          <w:szCs w:val="26"/>
        </w:rPr>
        <w:t>12. Прочие условия</w:t>
      </w:r>
    </w:p>
    <w:p>
      <w:pPr>
        <w:pStyle w:val="Normal"/>
        <w:widowControl w:val="false"/>
        <w:shd w:val="clear" w:color="auto" w:fill="FFFFFF"/>
        <w:ind w:firstLine="567"/>
        <w:jc w:val="both"/>
        <w:rPr>
          <w:rFonts w:eastAsia="Arial"/>
          <w:sz w:val="26"/>
          <w:szCs w:val="26"/>
          <w:lang w:eastAsia="ru-RU"/>
        </w:rPr>
      </w:pPr>
      <w:r>
        <w:rPr>
          <w:sz w:val="26"/>
          <w:szCs w:val="26"/>
        </w:rPr>
        <w:t>12.1.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r>
        <w:rPr>
          <w:rFonts w:eastAsia="Arial"/>
          <w:sz w:val="26"/>
          <w:szCs w:val="26"/>
          <w:lang w:eastAsia="ru-RU"/>
        </w:rPr>
        <w:t xml:space="preserve">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pPr>
        <w:pStyle w:val="Normal"/>
        <w:widowControl w:val="false"/>
        <w:suppressAutoHyphens w:val="false"/>
        <w:snapToGrid w:val="false"/>
        <w:spacing w:before="0" w:after="0"/>
        <w:ind w:firstLine="567" w:left="34" w:right="-71"/>
        <w:contextualSpacing/>
        <w:jc w:val="both"/>
        <w:rPr>
          <w:sz w:val="26"/>
          <w:szCs w:val="26"/>
        </w:rPr>
      </w:pPr>
      <w:r>
        <w:rPr>
          <w:sz w:val="26"/>
          <w:szCs w:val="26"/>
        </w:rPr>
        <w:t>12.2. При исполнении Контракта не допускается перемена Поставщика,</w:t>
        <w:br/>
        <w:t>за исключением случаев, когда новый Поставщик является правопреемником</w:t>
        <w:br/>
        <w:t>Поставщика по такому Контракту вследствие реорганизации юридического лица в форме преобразования, слияния или присоединения. В случае перемены</w:t>
        <w:br/>
        <w:t xml:space="preserve">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pPr>
        <w:pStyle w:val="Normal"/>
        <w:widowControl w:val="false"/>
        <w:suppressAutoHyphens w:val="true"/>
        <w:snapToGrid w:val="false"/>
        <w:spacing w:before="0" w:after="0"/>
        <w:ind w:firstLine="567" w:left="34" w:right="-71"/>
        <w:contextualSpacing/>
        <w:jc w:val="both"/>
        <w:rPr>
          <w:sz w:val="26"/>
          <w:szCs w:val="26"/>
        </w:rPr>
      </w:pPr>
      <w:r>
        <w:rPr>
          <w:sz w:val="26"/>
          <w:szCs w:val="26"/>
        </w:rPr>
        <w:t>12.3. В случае расторжения Контракта по решению суда или</w:t>
        <w:br/>
        <w:t>в случае одностороннего отказа Государственного заказчика от исполнения</w:t>
        <w:br/>
        <w:t>Контракта в связи с существенным нарушением Поставщиком условий Контракта Государственный заказчик направляет в уполномоченный на осуществление</w:t>
        <w:br/>
        <w:t>контроля в сфере закупок федеральный орган исполнительной власти сведения</w:t>
        <w:br/>
        <w:t>о поставщике для включения их в реестр недобросовестных поставщиков</w:t>
        <w:br/>
        <w:t>(подрядчиков, исполнителей).</w:t>
      </w:r>
    </w:p>
    <w:p>
      <w:pPr>
        <w:pStyle w:val="Normal"/>
        <w:shd w:val="clear" w:color="auto" w:fill="FFFFFF"/>
        <w:ind w:firstLine="567"/>
        <w:jc w:val="both"/>
        <w:rPr>
          <w:sz w:val="26"/>
          <w:szCs w:val="26"/>
        </w:rPr>
      </w:pPr>
      <w:r>
        <w:rPr>
          <w:sz w:val="26"/>
          <w:szCs w:val="26"/>
        </w:rPr>
        <w:t>12.4. Во всем остальном, что не предусмотрено Контрактом, Стороны</w:t>
        <w:br/>
        <w:t>руководствуются законодательством Российской Федерации.</w:t>
      </w:r>
    </w:p>
    <w:p>
      <w:pPr>
        <w:pStyle w:val="Normal"/>
        <w:shd w:val="clear" w:color="auto" w:fill="FFFFFF"/>
        <w:ind w:firstLine="567"/>
        <w:jc w:val="both"/>
        <w:rPr>
          <w:sz w:val="26"/>
          <w:szCs w:val="26"/>
        </w:rPr>
      </w:pPr>
      <w:r>
        <w:rPr>
          <w:sz w:val="26"/>
          <w:szCs w:val="26"/>
        </w:rPr>
        <w:t>12.5. Приложения к Контракту являющиеся его неотъемлемыми частями:</w:t>
      </w:r>
    </w:p>
    <w:p>
      <w:pPr>
        <w:pStyle w:val="Normal"/>
        <w:shd w:val="clear" w:color="auto" w:fill="FFFFFF"/>
        <w:ind w:firstLine="567"/>
        <w:jc w:val="both"/>
        <w:rPr>
          <w:sz w:val="26"/>
          <w:szCs w:val="26"/>
        </w:rPr>
      </w:pPr>
      <w:r>
        <w:rPr>
          <w:sz w:val="26"/>
          <w:szCs w:val="26"/>
        </w:rPr>
        <w:t>Спецификация на поставку почтовых марок (приложение).</w:t>
      </w:r>
    </w:p>
    <w:p>
      <w:pPr>
        <w:pStyle w:val="Normal"/>
        <w:shd w:val="clear" w:color="auto" w:fill="FFFFFF"/>
        <w:ind w:firstLine="567"/>
        <w:jc w:val="both"/>
        <w:rPr>
          <w:sz w:val="26"/>
          <w:szCs w:val="26"/>
        </w:rPr>
      </w:pPr>
      <w:r>
        <w:rPr>
          <w:sz w:val="26"/>
          <w:szCs w:val="26"/>
        </w:rPr>
      </w:r>
    </w:p>
    <w:p>
      <w:pPr>
        <w:pStyle w:val="Normal"/>
        <w:shd w:val="clear" w:color="auto" w:fill="FFFFFF"/>
        <w:ind w:firstLine="708"/>
        <w:jc w:val="center"/>
        <w:rPr>
          <w:sz w:val="26"/>
          <w:szCs w:val="26"/>
        </w:rPr>
      </w:pPr>
      <w:r>
        <w:rPr>
          <w:b/>
          <w:sz w:val="26"/>
          <w:szCs w:val="26"/>
        </w:rPr>
        <w:t>13. Юридические адреса, банковские и отгрузочные</w:t>
      </w:r>
    </w:p>
    <w:p>
      <w:pPr>
        <w:pStyle w:val="Normal"/>
        <w:shd w:val="clear" w:color="auto" w:fill="FFFFFF"/>
        <w:ind w:firstLine="708"/>
        <w:jc w:val="center"/>
        <w:rPr>
          <w:b/>
          <w:sz w:val="26"/>
          <w:szCs w:val="26"/>
        </w:rPr>
      </w:pPr>
      <w:r>
        <w:rPr>
          <w:b/>
          <w:sz w:val="26"/>
          <w:szCs w:val="26"/>
        </w:rPr>
        <w:t>реквизиты Сторон на момент заключения Государственного контракта</w:t>
      </w:r>
    </w:p>
    <w:p>
      <w:pPr>
        <w:pStyle w:val="Normal"/>
        <w:shd w:val="clear" w:color="auto" w:fill="FFFFFF"/>
        <w:snapToGrid w:val="false"/>
        <w:jc w:val="both"/>
        <w:rPr>
          <w:sz w:val="26"/>
          <w:szCs w:val="26"/>
        </w:rPr>
      </w:pPr>
      <w:r>
        <w:rPr>
          <w:sz w:val="26"/>
          <w:szCs w:val="26"/>
        </w:rPr>
        <w:t>Государственный заказчик</w:t>
        <w:tab/>
        <w:tab/>
        <w:t xml:space="preserve">          Поставщик</w:t>
      </w:r>
    </w:p>
    <w:tbl>
      <w:tblPr>
        <w:tblW w:w="9465" w:type="dxa"/>
        <w:jc w:val="left"/>
        <w:tblInd w:w="103" w:type="dxa"/>
        <w:tblLayout w:type="fixed"/>
        <w:tblCellMar>
          <w:top w:w="0" w:type="dxa"/>
          <w:left w:w="108" w:type="dxa"/>
          <w:bottom w:w="0" w:type="dxa"/>
          <w:right w:w="108" w:type="dxa"/>
        </w:tblCellMar>
        <w:tblLook w:val="0000" w:firstRow="0" w:noVBand="0" w:lastRow="0" w:firstColumn="0" w:lastColumn="0" w:noHBand="0"/>
      </w:tblPr>
      <w:tblGrid>
        <w:gridCol w:w="4870"/>
        <w:gridCol w:w="4595"/>
      </w:tblGrid>
      <w:tr>
        <w:trPr/>
        <w:tc>
          <w:tcPr>
            <w:tcW w:w="4870"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both"/>
              <w:rPr>
                <w:rFonts w:ascii="XO Thames" w:hAnsi="XO Thames" w:cs="XO Thames"/>
                <w:b/>
                <w:sz w:val="24"/>
                <w:szCs w:val="24"/>
              </w:rPr>
            </w:pPr>
            <w:r>
              <w:rPr>
                <w:rFonts w:cs="XO Thames" w:ascii="XO Thames" w:hAnsi="XO Thames"/>
                <w:b/>
                <w:sz w:val="24"/>
                <w:szCs w:val="24"/>
              </w:rPr>
              <w:t>Государственный заказчик</w:t>
            </w:r>
          </w:p>
          <w:p>
            <w:pPr>
              <w:pStyle w:val="Normal"/>
              <w:overflowPunct w:val="true"/>
              <w:snapToGrid w:val="false"/>
              <w:spacing w:lineRule="auto" w:line="240" w:before="0" w:after="29"/>
              <w:jc w:val="both"/>
              <w:rPr>
                <w:rFonts w:ascii="XO Thames" w:hAnsi="XO Thames" w:cs="XO Thames"/>
                <w:b/>
                <w:sz w:val="24"/>
                <w:szCs w:val="24"/>
              </w:rPr>
            </w:pPr>
            <w:r>
              <w:rPr>
                <w:rFonts w:cs="XO Thames" w:ascii="XO Thames" w:hAnsi="XO Thames"/>
                <w:b/>
                <w:sz w:val="24"/>
                <w:szCs w:val="24"/>
              </w:rPr>
              <w:t>Федеральное казенное учреждение здравоохранения «Медико-санитарная часть № 29 Федеральной службы исполнения наказаний» (ФКУЗ МСЧ-29 ФСИН России)</w:t>
            </w:r>
          </w:p>
          <w:p>
            <w:pPr>
              <w:pStyle w:val="Normal"/>
              <w:overflowPunct w:val="true"/>
              <w:snapToGrid w:val="false"/>
              <w:spacing w:lineRule="auto" w:line="240" w:before="0" w:after="29"/>
              <w:jc w:val="both"/>
              <w:rPr>
                <w:rFonts w:ascii="XO Thames" w:hAnsi="XO Thames" w:cs="XO Thames"/>
                <w:sz w:val="24"/>
                <w:szCs w:val="24"/>
              </w:rPr>
            </w:pPr>
            <w:r>
              <w:rPr>
                <w:rFonts w:cs="XO Thames" w:ascii="XO Thames" w:hAnsi="XO Thames"/>
                <w:sz w:val="24"/>
                <w:szCs w:val="24"/>
              </w:rPr>
              <w:t>163020 г. Архангельск, Никольский, д. 27</w:t>
            </w:r>
          </w:p>
          <w:p>
            <w:pPr>
              <w:pStyle w:val="Normal"/>
              <w:overflowPunct w:val="true"/>
              <w:snapToGrid w:val="false"/>
              <w:spacing w:lineRule="auto" w:line="240" w:before="0" w:after="29"/>
              <w:jc w:val="both"/>
              <w:rPr>
                <w:rFonts w:ascii="XO Thames" w:hAnsi="XO Thames" w:cs="XO Thames"/>
                <w:sz w:val="24"/>
                <w:szCs w:val="24"/>
              </w:rPr>
            </w:pPr>
            <w:r>
              <w:rPr>
                <w:rFonts w:cs="XO Thames" w:ascii="XO Thames" w:hAnsi="XO Thames"/>
                <w:sz w:val="24"/>
                <w:szCs w:val="24"/>
              </w:rPr>
              <w:t>ИНН 2912000516 КПП 290101001</w:t>
            </w:r>
          </w:p>
          <w:p>
            <w:pPr>
              <w:pStyle w:val="Normal"/>
              <w:overflowPunct w:val="true"/>
              <w:snapToGrid w:val="false"/>
              <w:spacing w:lineRule="auto" w:line="240" w:before="0" w:after="29"/>
              <w:jc w:val="both"/>
              <w:rPr>
                <w:rFonts w:ascii="XO Thames" w:hAnsi="XO Thames" w:cs="XO Thames"/>
                <w:sz w:val="24"/>
                <w:szCs w:val="24"/>
              </w:rPr>
            </w:pPr>
            <w:r>
              <w:rPr>
                <w:rFonts w:cs="XO Thames" w:ascii="XO Thames" w:hAnsi="XO Thames"/>
                <w:sz w:val="24"/>
                <w:szCs w:val="24"/>
              </w:rPr>
              <w:t>ОКПО 08584516 ОГРН 1022901320012</w:t>
            </w:r>
          </w:p>
          <w:p>
            <w:pPr>
              <w:pStyle w:val="Normal"/>
              <w:overflowPunct w:val="true"/>
              <w:snapToGrid w:val="false"/>
              <w:spacing w:lineRule="auto" w:line="240" w:before="0" w:after="29"/>
              <w:jc w:val="both"/>
              <w:rPr>
                <w:rFonts w:ascii="XO Thames" w:hAnsi="XO Thames" w:cs="XO Thames"/>
                <w:sz w:val="24"/>
                <w:szCs w:val="24"/>
                <w:lang w:val="ru-RU"/>
              </w:rPr>
            </w:pPr>
            <w:r>
              <w:rPr>
                <w:rFonts w:cs="XO Thames" w:ascii="XO Thames" w:hAnsi="XO Thames"/>
                <w:sz w:val="24"/>
                <w:szCs w:val="24"/>
                <w:lang w:val="ru-RU"/>
              </w:rPr>
              <w:t>лицевой счет 03241293740</w:t>
            </w:r>
          </w:p>
          <w:p>
            <w:pPr>
              <w:pStyle w:val="Normal"/>
              <w:overflowPunct w:val="true"/>
              <w:snapToGrid w:val="false"/>
              <w:spacing w:lineRule="auto" w:line="240" w:before="0" w:after="29"/>
              <w:jc w:val="both"/>
              <w:rPr>
                <w:rFonts w:ascii="XO Thames" w:hAnsi="XO Thames" w:cs="XO Thames"/>
                <w:sz w:val="24"/>
                <w:szCs w:val="24"/>
              </w:rPr>
            </w:pPr>
            <w:r>
              <w:rPr>
                <w:rFonts w:cs="XO Thames" w:ascii="XO Thames" w:hAnsi="XO Thames"/>
                <w:sz w:val="24"/>
                <w:szCs w:val="24"/>
              </w:rPr>
              <w:t>Единый казначейский счет: 40102810745370000024</w:t>
            </w:r>
          </w:p>
          <w:p>
            <w:pPr>
              <w:pStyle w:val="Normal"/>
              <w:overflowPunct w:val="true"/>
              <w:snapToGrid w:val="false"/>
              <w:spacing w:lineRule="auto" w:line="240" w:before="0" w:after="29"/>
              <w:jc w:val="both"/>
              <w:rPr>
                <w:rFonts w:ascii="XO Thames" w:hAnsi="XO Thames" w:cs="XO Thames"/>
                <w:sz w:val="24"/>
                <w:szCs w:val="24"/>
              </w:rPr>
            </w:pPr>
            <w:r>
              <w:rPr>
                <w:rFonts w:cs="XO Thames" w:ascii="XO Thames" w:hAnsi="XO Thames"/>
                <w:sz w:val="24"/>
                <w:szCs w:val="24"/>
              </w:rPr>
              <w:t>Наименование Банка: ОКЦ № 1 ВВГУ Банка России//УФК по Нижегородской области,                          г. Нижний Новгород</w:t>
            </w:r>
          </w:p>
          <w:p>
            <w:pPr>
              <w:pStyle w:val="Normal"/>
              <w:overflowPunct w:val="true"/>
              <w:snapToGrid w:val="false"/>
              <w:spacing w:lineRule="auto" w:line="240" w:before="0" w:after="29"/>
              <w:jc w:val="both"/>
              <w:rPr>
                <w:rFonts w:ascii="XO Thames" w:hAnsi="XO Thames" w:cs="XO Thames"/>
                <w:sz w:val="24"/>
                <w:szCs w:val="24"/>
              </w:rPr>
            </w:pPr>
            <w:r>
              <w:rPr>
                <w:rFonts w:cs="XO Thames" w:ascii="XO Thames" w:hAnsi="XO Thames"/>
                <w:sz w:val="24"/>
                <w:szCs w:val="24"/>
              </w:rPr>
              <w:t>БИК 012202102</w:t>
            </w:r>
          </w:p>
          <w:p>
            <w:pPr>
              <w:pStyle w:val="Normal"/>
              <w:overflowPunct w:val="true"/>
              <w:snapToGrid w:val="false"/>
              <w:spacing w:lineRule="auto" w:line="240" w:before="0" w:after="29"/>
              <w:rPr>
                <w:rFonts w:ascii="XO Thames" w:hAnsi="XO Thames" w:cs="XO Thames"/>
                <w:sz w:val="24"/>
                <w:szCs w:val="24"/>
              </w:rPr>
            </w:pPr>
            <w:r>
              <w:rPr>
                <w:rFonts w:cs="XO Thames" w:ascii="XO Thames" w:hAnsi="XO Thames"/>
                <w:sz w:val="24"/>
                <w:szCs w:val="24"/>
              </w:rPr>
              <w:t>казначейский счет: 03211643000000013244</w:t>
            </w:r>
          </w:p>
          <w:p>
            <w:pPr>
              <w:pStyle w:val="Normal"/>
              <w:snapToGrid w:val="false"/>
              <w:spacing w:lineRule="auto" w:line="240" w:before="0" w:after="0"/>
              <w:rPr>
                <w:rFonts w:eastAsia="Times New Roman" w:cs="Times New Roman"/>
                <w:sz w:val="24"/>
                <w:szCs w:val="24"/>
              </w:rPr>
            </w:pPr>
            <w:r>
              <w:rPr>
                <w:rFonts w:eastAsia="Times New Roman" w:cs="Times New Roman"/>
                <w:sz w:val="24"/>
                <w:szCs w:val="24"/>
              </w:rPr>
              <w:t>тел. (8182) 22-98-89 (доб. 38-33)</w:t>
            </w:r>
          </w:p>
          <w:p>
            <w:pPr>
              <w:pStyle w:val="Normal"/>
              <w:snapToGrid w:val="false"/>
              <w:spacing w:lineRule="auto" w:line="240" w:before="0" w:after="0"/>
              <w:rPr>
                <w:rFonts w:eastAsia="Times New Roman" w:cs="Times New Roman"/>
                <w:sz w:val="24"/>
                <w:szCs w:val="24"/>
              </w:rPr>
            </w:pPr>
            <w:r>
              <w:rPr>
                <w:rFonts w:eastAsia="Times New Roman" w:cs="Times New Roman"/>
                <w:sz w:val="24"/>
                <w:szCs w:val="24"/>
              </w:rPr>
              <w:t>тел. аптеки филиала «Больница»</w:t>
            </w:r>
          </w:p>
          <w:p>
            <w:pPr>
              <w:pStyle w:val="Normal"/>
              <w:snapToGrid w:val="false"/>
              <w:spacing w:lineRule="auto" w:line="240" w:before="0" w:after="0"/>
              <w:rPr>
                <w:rFonts w:eastAsia="Times New Roman" w:cs="Times New Roman"/>
                <w:sz w:val="24"/>
                <w:szCs w:val="24"/>
              </w:rPr>
            </w:pPr>
            <w:r>
              <w:rPr>
                <w:rFonts w:eastAsia="Times New Roman" w:cs="Times New Roman"/>
                <w:sz w:val="24"/>
                <w:szCs w:val="24"/>
              </w:rPr>
              <w:t>(8182) 22-98-89 (доб. 38-56)</w:t>
            </w:r>
          </w:p>
          <w:p>
            <w:pPr>
              <w:pStyle w:val="Normal"/>
              <w:shd w:val="clear" w:fill="FFFFFF"/>
              <w:snapToGrid w:val="false"/>
              <w:spacing w:lineRule="auto" w:line="240" w:before="0" w:after="0"/>
              <w:rPr>
                <w:rFonts w:ascii="XO Thames" w:hAnsi="XO Thames" w:eastAsia="Times New Roman" w:cs="XO Thames"/>
                <w:b/>
                <w:color w:val="365F91"/>
              </w:rPr>
            </w:pPr>
            <w:r>
              <w:rPr>
                <w:rFonts w:eastAsia="Times New Roman" w:cs="Times New Roman"/>
                <w:b/>
                <w:lang w:val="en-US"/>
              </w:rPr>
              <w:t xml:space="preserve">эл.почта: </w:t>
            </w:r>
            <w:hyperlink r:id="rId6">
              <w:r>
                <w:rPr>
                  <w:rStyle w:val="Hyperlink"/>
                  <w:rFonts w:eastAsia="Times New Roman" w:cs="Times New Roman"/>
                  <w:b/>
                  <w:lang w:val="en-US"/>
                </w:rPr>
                <w:t>msch29@29.fsin.gov.ru</w:t>
              </w:r>
            </w:hyperlink>
            <w:r>
              <w:rPr>
                <w:rFonts w:eastAsia="Times New Roman" w:cs="Times New Roman"/>
                <w:b/>
              </w:rPr>
              <w:t xml:space="preserve"> или    </w:t>
            </w:r>
            <w:hyperlink r:id="rId7">
              <w:r>
                <w:rPr>
                  <w:rStyle w:val="Hyperlink"/>
                  <w:rFonts w:eastAsia="Times New Roman" w:cs="XO Thames" w:ascii="XO Thames" w:hAnsi="XO Thames"/>
                  <w:b/>
                  <w:color w:val="0000FF"/>
                  <w:u w:val="single"/>
                </w:rPr>
                <w:t>msch29om@29.fsin.gov.ru</w:t>
              </w:r>
            </w:hyperlink>
          </w:p>
        </w:tc>
        <w:tc>
          <w:tcPr>
            <w:tcW w:w="45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both"/>
              <w:rPr>
                <w:sz w:val="26"/>
                <w:szCs w:val="26"/>
              </w:rPr>
            </w:pPr>
            <w:r>
              <w:rPr>
                <w:sz w:val="26"/>
                <w:szCs w:val="26"/>
              </w:rPr>
              <w:t>___________________________________ ___________________________________</w:t>
            </w:r>
          </w:p>
          <w:p>
            <w:pPr>
              <w:pStyle w:val="Normal"/>
              <w:widowControl w:val="false"/>
              <w:snapToGrid w:val="false"/>
              <w:jc w:val="both"/>
              <w:rPr>
                <w:sz w:val="26"/>
                <w:szCs w:val="26"/>
              </w:rPr>
            </w:pPr>
            <w:r>
              <w:rPr>
                <w:sz w:val="26"/>
                <w:szCs w:val="26"/>
              </w:rPr>
              <w:t>___________________________________</w:t>
            </w:r>
          </w:p>
          <w:p>
            <w:pPr>
              <w:pStyle w:val="Normal"/>
              <w:widowControl w:val="false"/>
              <w:snapToGrid w:val="false"/>
              <w:jc w:val="both"/>
              <w:rPr>
                <w:sz w:val="26"/>
                <w:szCs w:val="26"/>
              </w:rPr>
            </w:pPr>
            <w:r>
              <w:rPr>
                <w:sz w:val="26"/>
                <w:szCs w:val="26"/>
              </w:rPr>
              <w:t>адрес: ____________________________</w:t>
            </w:r>
          </w:p>
          <w:p>
            <w:pPr>
              <w:pStyle w:val="Normal"/>
              <w:widowControl w:val="false"/>
              <w:ind w:hanging="0" w:right="114"/>
              <w:rPr>
                <w:sz w:val="26"/>
                <w:szCs w:val="26"/>
              </w:rPr>
            </w:pPr>
            <w:r>
              <w:rPr>
                <w:sz w:val="26"/>
                <w:szCs w:val="26"/>
              </w:rPr>
              <w:t>ИНН/КПП ________</w:t>
            </w:r>
            <w:r>
              <w:rPr>
                <w:sz w:val="19"/>
                <w:szCs w:val="19"/>
              </w:rPr>
              <w:t xml:space="preserve"> </w:t>
            </w:r>
            <w:r>
              <w:rPr>
                <w:sz w:val="26"/>
                <w:szCs w:val="26"/>
              </w:rPr>
              <w:t>/ ___________</w:t>
            </w:r>
          </w:p>
          <w:p>
            <w:pPr>
              <w:pStyle w:val="Normal"/>
              <w:widowControl w:val="false"/>
              <w:snapToGrid w:val="false"/>
              <w:jc w:val="both"/>
              <w:rPr>
                <w:sz w:val="26"/>
                <w:szCs w:val="26"/>
              </w:rPr>
            </w:pPr>
            <w:r>
              <w:rPr>
                <w:sz w:val="26"/>
                <w:szCs w:val="26"/>
              </w:rPr>
              <w:t>р/с ____________________</w:t>
            </w:r>
          </w:p>
          <w:p>
            <w:pPr>
              <w:pStyle w:val="Normal"/>
              <w:widowControl w:val="false"/>
              <w:snapToGrid w:val="false"/>
              <w:jc w:val="both"/>
              <w:rPr>
                <w:sz w:val="26"/>
                <w:szCs w:val="26"/>
              </w:rPr>
            </w:pPr>
            <w:r>
              <w:rPr>
                <w:sz w:val="26"/>
                <w:szCs w:val="26"/>
              </w:rPr>
              <w:t>к/с ____________________</w:t>
            </w:r>
          </w:p>
          <w:p>
            <w:pPr>
              <w:pStyle w:val="Normal"/>
              <w:widowControl w:val="false"/>
              <w:ind w:hanging="0" w:right="114"/>
              <w:rPr>
                <w:sz w:val="26"/>
                <w:szCs w:val="26"/>
              </w:rPr>
            </w:pPr>
            <w:r>
              <w:rPr>
                <w:sz w:val="26"/>
                <w:szCs w:val="26"/>
              </w:rPr>
              <w:t>БИК ________   __________________________________</w:t>
            </w:r>
          </w:p>
          <w:p>
            <w:pPr>
              <w:pStyle w:val="Normal"/>
              <w:widowControl w:val="false"/>
              <w:snapToGrid w:val="false"/>
              <w:jc w:val="both"/>
              <w:rPr>
                <w:sz w:val="19"/>
                <w:szCs w:val="19"/>
              </w:rPr>
            </w:pPr>
            <w:r>
              <w:rPr>
                <w:sz w:val="26"/>
                <w:szCs w:val="26"/>
              </w:rPr>
              <w:t>ОКПО ____________</w:t>
            </w:r>
          </w:p>
          <w:p>
            <w:pPr>
              <w:pStyle w:val="Normal"/>
              <w:widowControl w:val="false"/>
              <w:snapToGrid w:val="false"/>
              <w:jc w:val="both"/>
              <w:rPr>
                <w:sz w:val="26"/>
                <w:szCs w:val="26"/>
              </w:rPr>
            </w:pPr>
            <w:r>
              <w:rPr>
                <w:sz w:val="26"/>
                <w:szCs w:val="26"/>
              </w:rPr>
              <w:t>ОГРН _____________</w:t>
            </w:r>
          </w:p>
          <w:p>
            <w:pPr>
              <w:pStyle w:val="Normal"/>
              <w:widowControl w:val="false"/>
              <w:snapToGrid w:val="false"/>
              <w:jc w:val="both"/>
              <w:rPr>
                <w:sz w:val="26"/>
                <w:szCs w:val="26"/>
              </w:rPr>
            </w:pPr>
            <w:r>
              <w:rPr>
                <w:sz w:val="26"/>
                <w:szCs w:val="26"/>
              </w:rPr>
              <w:t>Дата постановки на налоговый учет __________ г.</w:t>
            </w:r>
          </w:p>
          <w:p>
            <w:pPr>
              <w:pStyle w:val="Normal"/>
              <w:widowControl w:val="false"/>
              <w:ind w:hanging="0" w:right="114"/>
              <w:rPr>
                <w:sz w:val="26"/>
                <w:szCs w:val="26"/>
              </w:rPr>
            </w:pPr>
            <w:r>
              <w:rPr>
                <w:sz w:val="26"/>
                <w:szCs w:val="26"/>
              </w:rPr>
              <w:t>Тел./факс: ____________________________</w:t>
            </w:r>
          </w:p>
          <w:p>
            <w:pPr>
              <w:pStyle w:val="Normal"/>
              <w:widowControl w:val="false"/>
              <w:ind w:hanging="0" w:right="114"/>
              <w:rPr>
                <w:sz w:val="26"/>
                <w:szCs w:val="26"/>
              </w:rPr>
            </w:pPr>
            <w:r>
              <w:rPr>
                <w:sz w:val="26"/>
                <w:szCs w:val="26"/>
              </w:rPr>
              <w:t>________________</w:t>
            </w:r>
          </w:p>
          <w:p>
            <w:pPr>
              <w:pStyle w:val="Normal"/>
              <w:widowControl w:val="false"/>
              <w:shd w:val="clear" w:color="auto" w:fill="FFFFFF"/>
              <w:snapToGrid w:val="false"/>
              <w:jc w:val="both"/>
              <w:rPr>
                <w:sz w:val="26"/>
                <w:szCs w:val="26"/>
              </w:rPr>
            </w:pPr>
            <w:r>
              <w:rPr>
                <w:sz w:val="26"/>
                <w:szCs w:val="26"/>
              </w:rPr>
              <w:t>Эл почта ______________________</w:t>
            </w:r>
          </w:p>
        </w:tc>
      </w:tr>
    </w:tbl>
    <w:p>
      <w:pPr>
        <w:pStyle w:val="Normal"/>
        <w:shd w:val="clear" w:color="auto" w:fill="FFFFFF"/>
        <w:jc w:val="both"/>
        <w:rPr>
          <w:sz w:val="12"/>
          <w:szCs w:val="12"/>
        </w:rPr>
      </w:pPr>
      <w:r>
        <w:rPr>
          <w:sz w:val="12"/>
          <w:szCs w:val="12"/>
        </w:rPr>
      </w:r>
    </w:p>
    <w:p>
      <w:pPr>
        <w:pStyle w:val="Normal"/>
        <w:shd w:val="clear" w:color="auto" w:fill="FFFFFF"/>
        <w:jc w:val="both"/>
        <w:rPr>
          <w:sz w:val="26"/>
          <w:szCs w:val="26"/>
        </w:rPr>
      </w:pPr>
      <w:r>
        <w:rPr>
          <w:sz w:val="26"/>
          <w:szCs w:val="26"/>
        </w:rPr>
      </w:r>
    </w:p>
    <w:p>
      <w:pPr>
        <w:pStyle w:val="Normal"/>
        <w:shd w:val="clear" w:color="auto" w:fill="FFFFFF"/>
        <w:jc w:val="both"/>
        <w:rPr>
          <w:sz w:val="26"/>
          <w:szCs w:val="26"/>
        </w:rPr>
      </w:pPr>
      <w:r>
        <w:rPr>
          <w:sz w:val="26"/>
          <w:szCs w:val="26"/>
        </w:rPr>
        <w:t xml:space="preserve">Государственный заказчик        </w:t>
        <w:tab/>
        <w:tab/>
        <w:t xml:space="preserve">           Поставщик</w:t>
      </w:r>
    </w:p>
    <w:p>
      <w:pPr>
        <w:pStyle w:val="Normal"/>
        <w:shd w:val="clear" w:color="auto" w:fill="FFFFFF"/>
        <w:jc w:val="both"/>
        <w:rPr>
          <w:sz w:val="26"/>
          <w:szCs w:val="26"/>
        </w:rPr>
      </w:pPr>
      <w:r>
        <w:rPr>
          <w:sz w:val="26"/>
          <w:szCs w:val="26"/>
        </w:rPr>
      </w:r>
    </w:p>
    <w:p>
      <w:pPr>
        <w:pStyle w:val="Normal"/>
        <w:shd w:val="clear" w:color="auto" w:fill="FFFFFF"/>
        <w:jc w:val="both"/>
        <w:rPr>
          <w:sz w:val="26"/>
          <w:szCs w:val="26"/>
        </w:rPr>
      </w:pPr>
      <w:r>
        <w:rPr>
          <w:sz w:val="26"/>
          <w:szCs w:val="26"/>
        </w:rPr>
        <w:t>______________</w:t>
        <w:tab/>
        <w:t xml:space="preserve">                                            ______________ </w:t>
      </w:r>
    </w:p>
    <w:p>
      <w:pPr>
        <w:pStyle w:val="Normal"/>
        <w:shd w:val="clear" w:color="auto" w:fill="FFFFFF"/>
        <w:jc w:val="both"/>
        <w:rPr>
          <w:sz w:val="26"/>
          <w:szCs w:val="26"/>
        </w:rPr>
      </w:pPr>
      <w:r>
        <w:rPr>
          <w:sz w:val="26"/>
          <w:szCs w:val="26"/>
        </w:rPr>
        <w:t>М.П.</w:t>
        <w:tab/>
        <w:tab/>
        <w:tab/>
        <w:tab/>
        <w:tab/>
        <w:tab/>
        <w:tab/>
        <w:t>М.П.</w:t>
      </w:r>
    </w:p>
    <w:p>
      <w:pPr>
        <w:pStyle w:val="Normal"/>
        <w:suppressAutoHyphens w:val="false"/>
        <w:spacing w:lineRule="auto" w:line="276" w:before="0" w:after="200"/>
        <w:rPr>
          <w:rFonts w:eastAsia="Calibri"/>
          <w:sz w:val="26"/>
          <w:szCs w:val="26"/>
          <w:lang w:eastAsia="en-US"/>
        </w:rPr>
      </w:pPr>
      <w:r>
        <w:rPr>
          <w:rFonts w:eastAsia="Calibri"/>
          <w:sz w:val="26"/>
          <w:szCs w:val="26"/>
          <w:lang w:eastAsia="en-US"/>
        </w:rPr>
      </w:r>
      <w:r>
        <w:br w:type="page"/>
      </w:r>
    </w:p>
    <w:p>
      <w:pPr>
        <w:pStyle w:val="Normal"/>
        <w:spacing w:before="0" w:after="0"/>
        <w:ind w:hanging="0" w:left="5896"/>
        <w:jc w:val="right"/>
        <w:rPr/>
      </w:pPr>
      <w:r>
        <w:rPr>
          <w:rFonts w:eastAsia="Calibri"/>
          <w:sz w:val="26"/>
          <w:szCs w:val="26"/>
          <w:lang w:eastAsia="en-US"/>
        </w:rPr>
        <w:t xml:space="preserve">Приложение </w:t>
      </w:r>
    </w:p>
    <w:p>
      <w:pPr>
        <w:pStyle w:val="Normal"/>
        <w:suppressAutoHyphens w:val="false"/>
        <w:ind w:hanging="0" w:left="5896"/>
        <w:jc w:val="right"/>
        <w:rPr/>
      </w:pPr>
      <w:r>
        <w:rPr>
          <w:rFonts w:eastAsia="Calibri"/>
          <w:sz w:val="26"/>
          <w:szCs w:val="26"/>
          <w:lang w:eastAsia="en-US"/>
        </w:rPr>
        <w:t xml:space="preserve">к Государственному контракту </w:t>
      </w:r>
    </w:p>
    <w:p>
      <w:pPr>
        <w:pStyle w:val="Normal"/>
        <w:suppressAutoHyphens w:val="false"/>
        <w:ind w:hanging="0" w:left="6066"/>
        <w:jc w:val="right"/>
        <w:rPr/>
      </w:pPr>
      <w:r>
        <w:rPr>
          <w:rFonts w:eastAsia="Calibri"/>
          <w:sz w:val="26"/>
          <w:szCs w:val="26"/>
          <w:lang w:eastAsia="en-US"/>
        </w:rPr>
        <w:t>от «__» ________202</w:t>
      </w:r>
      <w:r>
        <w:rPr>
          <w:rFonts w:eastAsia="Calibri"/>
          <w:sz w:val="26"/>
          <w:szCs w:val="26"/>
          <w:lang w:val="en-US" w:eastAsia="en-US"/>
        </w:rPr>
        <w:t>6</w:t>
      </w:r>
      <w:r>
        <w:rPr>
          <w:rFonts w:eastAsia="Calibri"/>
          <w:sz w:val="26"/>
          <w:szCs w:val="26"/>
          <w:lang w:eastAsia="en-US"/>
        </w:rPr>
        <w:t xml:space="preserve"> г. №___</w:t>
      </w:r>
    </w:p>
    <w:p>
      <w:pPr>
        <w:pStyle w:val="Normal"/>
        <w:shd w:val="clear" w:color="auto" w:fill="FFFFFF"/>
        <w:jc w:val="right"/>
        <w:rPr>
          <w:sz w:val="26"/>
          <w:szCs w:val="26"/>
        </w:rPr>
      </w:pPr>
      <w:r>
        <w:rPr>
          <w:sz w:val="26"/>
          <w:szCs w:val="26"/>
        </w:rPr>
      </w:r>
    </w:p>
    <w:p>
      <w:pPr>
        <w:pStyle w:val="Normal"/>
        <w:shd w:val="clear" w:color="auto" w:fill="FFFFFF"/>
        <w:jc w:val="right"/>
        <w:rPr>
          <w:sz w:val="26"/>
          <w:szCs w:val="26"/>
        </w:rPr>
      </w:pPr>
      <w:r>
        <w:rPr>
          <w:sz w:val="26"/>
          <w:szCs w:val="26"/>
        </w:rPr>
      </w:r>
    </w:p>
    <w:p>
      <w:pPr>
        <w:pStyle w:val="Normal"/>
        <w:jc w:val="center"/>
        <w:rPr>
          <w:b/>
          <w:bCs/>
          <w:sz w:val="26"/>
          <w:szCs w:val="26"/>
        </w:rPr>
      </w:pPr>
      <w:r>
        <w:rPr>
          <w:b/>
          <w:bCs/>
          <w:sz w:val="26"/>
          <w:szCs w:val="26"/>
          <w:lang w:eastAsia="ru-RU"/>
        </w:rPr>
        <w:t xml:space="preserve">Спецификация на поставку </w:t>
      </w:r>
      <w:r>
        <w:rPr>
          <w:b/>
          <w:bCs/>
          <w:sz w:val="26"/>
          <w:szCs w:val="26"/>
        </w:rPr>
        <w:t>почтовых марок</w:t>
      </w:r>
    </w:p>
    <w:p>
      <w:pPr>
        <w:pStyle w:val="Normal"/>
        <w:jc w:val="center"/>
        <w:rPr>
          <w:b/>
          <w:bCs/>
          <w:sz w:val="26"/>
          <w:szCs w:val="26"/>
          <w:lang w:eastAsia="ru-RU"/>
        </w:rPr>
      </w:pPr>
      <w:r>
        <w:rPr>
          <w:b/>
          <w:bCs/>
          <w:sz w:val="26"/>
          <w:szCs w:val="26"/>
          <w:lang w:eastAsia="ru-RU"/>
        </w:rPr>
      </w:r>
    </w:p>
    <w:tbl>
      <w:tblPr>
        <w:tblW w:w="5000" w:type="pct"/>
        <w:jc w:val="left"/>
        <w:tblInd w:w="55" w:type="dxa"/>
        <w:tblLayout w:type="fixed"/>
        <w:tblCellMar>
          <w:top w:w="55" w:type="dxa"/>
          <w:left w:w="55" w:type="dxa"/>
          <w:bottom w:w="55" w:type="dxa"/>
          <w:right w:w="55" w:type="dxa"/>
        </w:tblCellMar>
      </w:tblPr>
      <w:tblGrid>
        <w:gridCol w:w="854"/>
        <w:gridCol w:w="1696"/>
        <w:gridCol w:w="1011"/>
        <w:gridCol w:w="1763"/>
        <w:gridCol w:w="856"/>
        <w:gridCol w:w="942"/>
        <w:gridCol w:w="1187"/>
        <w:gridCol w:w="0"/>
        <w:gridCol w:w="1189"/>
      </w:tblGrid>
      <w:tr>
        <w:trPr/>
        <w:tc>
          <w:tcPr>
            <w:tcW w:w="854" w:type="dxa"/>
            <w:tcBorders>
              <w:top w:val="single" w:sz="4" w:space="0" w:color="000000"/>
              <w:left w:val="single" w:sz="4" w:space="0" w:color="000000"/>
              <w:bottom w:val="single" w:sz="4" w:space="0" w:color="000000"/>
            </w:tcBorders>
          </w:tcPr>
          <w:p>
            <w:pPr>
              <w:pStyle w:val="Normal"/>
              <w:widowControl w:val="false"/>
              <w:suppressAutoHyphens w:val="false"/>
              <w:bidi w:val="0"/>
              <w:spacing w:before="0" w:after="0"/>
              <w:ind w:hanging="0" w:left="-170" w:right="0"/>
              <w:jc w:val="center"/>
              <w:rPr>
                <w:b/>
                <w:bCs/>
                <w:color w:val="000000"/>
                <w:sz w:val="24"/>
                <w:szCs w:val="24"/>
                <w:lang w:eastAsia="ru-RU"/>
              </w:rPr>
            </w:pPr>
            <w:r>
              <w:rPr>
                <w:b/>
                <w:bCs/>
                <w:color w:val="000000"/>
                <w:sz w:val="24"/>
                <w:szCs w:val="24"/>
                <w:lang w:eastAsia="ru-RU"/>
              </w:rPr>
              <w:t xml:space="preserve">№ </w:t>
            </w:r>
            <w:r>
              <w:rPr>
                <w:b/>
                <w:bCs/>
                <w:color w:val="000000"/>
                <w:sz w:val="24"/>
                <w:szCs w:val="24"/>
                <w:lang w:eastAsia="ru-RU"/>
              </w:rPr>
              <w:t>п/п</w:t>
            </w:r>
          </w:p>
          <w:p>
            <w:pPr>
              <w:pStyle w:val="Normal"/>
              <w:widowControl w:val="false"/>
              <w:suppressAutoHyphens w:val="false"/>
              <w:bidi w:val="0"/>
              <w:spacing w:before="0" w:after="0"/>
              <w:ind w:hanging="0" w:left="-170" w:right="0"/>
              <w:jc w:val="center"/>
              <w:rPr>
                <w:b/>
                <w:bCs/>
                <w:color w:val="000000"/>
                <w:sz w:val="24"/>
                <w:szCs w:val="24"/>
                <w:lang w:eastAsia="ru-RU"/>
              </w:rPr>
            </w:pPr>
            <w:r>
              <w:rPr>
                <w:b/>
                <w:bCs/>
                <w:color w:val="000000"/>
                <w:sz w:val="24"/>
                <w:szCs w:val="24"/>
                <w:lang w:eastAsia="ru-RU"/>
              </w:rPr>
            </w:r>
          </w:p>
        </w:tc>
        <w:tc>
          <w:tcPr>
            <w:tcW w:w="1696" w:type="dxa"/>
            <w:tcBorders>
              <w:top w:val="single" w:sz="4" w:space="0" w:color="000000"/>
              <w:left w:val="single" w:sz="4" w:space="0" w:color="000000"/>
              <w:bottom w:val="single" w:sz="4" w:space="0" w:color="000000"/>
            </w:tcBorders>
          </w:tcPr>
          <w:p>
            <w:pPr>
              <w:pStyle w:val="Normal"/>
              <w:widowControl w:val="false"/>
              <w:suppressAutoHyphens w:val="false"/>
              <w:jc w:val="center"/>
              <w:rPr>
                <w:b/>
                <w:sz w:val="24"/>
                <w:szCs w:val="24"/>
              </w:rPr>
            </w:pPr>
            <w:r>
              <w:rPr>
                <w:b/>
                <w:bCs/>
                <w:color w:val="000000"/>
                <w:sz w:val="24"/>
                <w:szCs w:val="24"/>
                <w:lang w:eastAsia="ru-RU"/>
              </w:rPr>
              <w:t>Наименование товара</w:t>
            </w:r>
          </w:p>
        </w:tc>
        <w:tc>
          <w:tcPr>
            <w:tcW w:w="1011" w:type="dxa"/>
            <w:tcBorders>
              <w:top w:val="single" w:sz="4" w:space="0" w:color="000000"/>
              <w:left w:val="single" w:sz="4" w:space="0" w:color="000000"/>
              <w:bottom w:val="single" w:sz="4" w:space="0" w:color="000000"/>
            </w:tcBorders>
          </w:tcPr>
          <w:p>
            <w:pPr>
              <w:pStyle w:val="Normal"/>
              <w:widowControl w:val="false"/>
              <w:suppressAutoHyphens w:val="false"/>
              <w:jc w:val="center"/>
              <w:rPr>
                <w:b/>
                <w:sz w:val="24"/>
                <w:szCs w:val="24"/>
              </w:rPr>
            </w:pPr>
            <w:r>
              <w:rPr>
                <w:b/>
                <w:sz w:val="24"/>
                <w:szCs w:val="24"/>
              </w:rPr>
              <w:t>КТРУ</w:t>
            </w:r>
          </w:p>
        </w:tc>
        <w:tc>
          <w:tcPr>
            <w:tcW w:w="1763" w:type="dxa"/>
            <w:tcBorders>
              <w:top w:val="single" w:sz="4" w:space="0" w:color="000000"/>
              <w:left w:val="single" w:sz="4" w:space="0" w:color="000000"/>
              <w:bottom w:val="single" w:sz="4" w:space="0" w:color="000000"/>
            </w:tcBorders>
          </w:tcPr>
          <w:p>
            <w:pPr>
              <w:pStyle w:val="Normal"/>
              <w:widowControl w:val="false"/>
              <w:suppressAutoHyphens w:val="false"/>
              <w:jc w:val="center"/>
              <w:rPr>
                <w:b/>
                <w:sz w:val="24"/>
                <w:szCs w:val="24"/>
              </w:rPr>
            </w:pPr>
            <w:r>
              <w:rPr>
                <w:b/>
                <w:bCs/>
                <w:color w:val="000000"/>
                <w:sz w:val="24"/>
                <w:szCs w:val="24"/>
                <w:lang w:eastAsia="ru-RU"/>
              </w:rPr>
              <w:t>Характеристики товара, работы, услуги</w:t>
            </w:r>
          </w:p>
        </w:tc>
        <w:tc>
          <w:tcPr>
            <w:tcW w:w="856" w:type="dxa"/>
            <w:tcBorders>
              <w:top w:val="single" w:sz="4" w:space="0" w:color="000000"/>
              <w:left w:val="single" w:sz="4" w:space="0" w:color="000000"/>
              <w:bottom w:val="single" w:sz="4" w:space="0" w:color="000000"/>
            </w:tcBorders>
          </w:tcPr>
          <w:p>
            <w:pPr>
              <w:pStyle w:val="Normal"/>
              <w:widowControl w:val="false"/>
              <w:jc w:val="center"/>
              <w:rPr>
                <w:b/>
                <w:sz w:val="24"/>
                <w:szCs w:val="24"/>
              </w:rPr>
            </w:pPr>
            <w:r>
              <w:rPr>
                <w:b/>
                <w:sz w:val="24"/>
                <w:szCs w:val="24"/>
              </w:rPr>
              <w:t>ед.</w:t>
            </w:r>
            <w:r>
              <w:rPr>
                <w:b/>
                <w:sz w:val="24"/>
                <w:szCs w:val="24"/>
                <w:lang w:val="en-US"/>
              </w:rPr>
              <w:t xml:space="preserve"> </w:t>
            </w:r>
            <w:r>
              <w:rPr>
                <w:b/>
                <w:sz w:val="24"/>
                <w:szCs w:val="24"/>
              </w:rPr>
              <w:t>изм.</w:t>
            </w:r>
          </w:p>
        </w:tc>
        <w:tc>
          <w:tcPr>
            <w:tcW w:w="942" w:type="dxa"/>
            <w:tcBorders>
              <w:top w:val="single" w:sz="4" w:space="0" w:color="000000"/>
              <w:left w:val="single" w:sz="4" w:space="0" w:color="000000"/>
              <w:bottom w:val="single" w:sz="4" w:space="0" w:color="000000"/>
            </w:tcBorders>
          </w:tcPr>
          <w:p>
            <w:pPr>
              <w:pStyle w:val="Normal"/>
              <w:widowControl w:val="false"/>
              <w:jc w:val="center"/>
              <w:rPr>
                <w:b/>
                <w:sz w:val="24"/>
                <w:szCs w:val="24"/>
              </w:rPr>
            </w:pPr>
            <w:r>
              <w:rPr>
                <w:b/>
                <w:sz w:val="24"/>
                <w:szCs w:val="24"/>
              </w:rPr>
              <w:t>Кол-во</w:t>
            </w:r>
          </w:p>
        </w:tc>
        <w:tc>
          <w:tcPr>
            <w:tcW w:w="1187" w:type="dxa"/>
            <w:gridSpan w:val="2"/>
            <w:tcBorders>
              <w:top w:val="single" w:sz="4" w:space="0" w:color="000000"/>
              <w:left w:val="single" w:sz="4" w:space="0" w:color="000000"/>
              <w:bottom w:val="single" w:sz="4" w:space="0" w:color="000000"/>
            </w:tcBorders>
          </w:tcPr>
          <w:p>
            <w:pPr>
              <w:pStyle w:val="Normal"/>
              <w:widowControl w:val="false"/>
              <w:jc w:val="center"/>
              <w:rPr>
                <w:b/>
                <w:bCs/>
                <w:sz w:val="24"/>
                <w:szCs w:val="24"/>
              </w:rPr>
            </w:pPr>
            <w:r>
              <w:rPr>
                <w:b/>
                <w:bCs/>
                <w:sz w:val="24"/>
                <w:szCs w:val="24"/>
              </w:rPr>
              <w:t xml:space="preserve">Цена за ед. </w:t>
            </w:r>
            <w:bookmarkStart w:id="3" w:name="_GoBack1_Копия_1"/>
            <w:bookmarkEnd w:id="3"/>
            <w:r>
              <w:rPr>
                <w:b/>
                <w:bCs/>
                <w:sz w:val="24"/>
                <w:szCs w:val="24"/>
              </w:rPr>
              <w:t>(в руб.)</w:t>
            </w:r>
          </w:p>
        </w:tc>
        <w:tc>
          <w:tcPr>
            <w:tcW w:w="118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20" w:leader="none"/>
              </w:tabs>
              <w:suppressAutoHyphens w:val="true"/>
              <w:bidi w:val="0"/>
              <w:spacing w:before="0" w:after="0"/>
              <w:ind w:hanging="454" w:left="0" w:right="0"/>
              <w:jc w:val="center"/>
              <w:rPr>
                <w:b/>
                <w:bCs/>
                <w:sz w:val="24"/>
                <w:szCs w:val="24"/>
              </w:rPr>
            </w:pPr>
            <w:r>
              <w:rPr>
                <w:b/>
                <w:bCs/>
                <w:sz w:val="24"/>
                <w:szCs w:val="24"/>
              </w:rPr>
              <w:t>Сумма</w:t>
            </w:r>
          </w:p>
          <w:p>
            <w:pPr>
              <w:pStyle w:val="Normal"/>
              <w:widowControl w:val="false"/>
              <w:tabs>
                <w:tab w:val="clear" w:pos="708"/>
                <w:tab w:val="left" w:pos="0" w:leader="none"/>
              </w:tabs>
              <w:suppressAutoHyphens w:val="true"/>
              <w:bidi w:val="0"/>
              <w:spacing w:before="0" w:after="0"/>
              <w:ind w:hanging="170" w:left="0" w:right="-57"/>
              <w:jc w:val="center"/>
              <w:rPr>
                <w:b/>
                <w:bCs/>
                <w:sz w:val="24"/>
                <w:szCs w:val="24"/>
              </w:rPr>
            </w:pPr>
            <w:r>
              <w:rPr/>
              <w:t>(в руб.)</w:t>
            </w:r>
          </w:p>
        </w:tc>
      </w:tr>
      <w:tr>
        <w:trPr/>
        <w:tc>
          <w:tcPr>
            <w:tcW w:w="854" w:type="dxa"/>
            <w:tcBorders>
              <w:left w:val="single" w:sz="4" w:space="0" w:color="000000"/>
              <w:bottom w:val="single" w:sz="4" w:space="0" w:color="000000"/>
            </w:tcBorders>
          </w:tcPr>
          <w:p>
            <w:pPr>
              <w:pStyle w:val="user5"/>
              <w:numPr>
                <w:ilvl w:val="0"/>
                <w:numId w:val="2"/>
              </w:numPr>
              <w:rPr/>
            </w:pPr>
            <w:r>
              <w:rPr/>
            </w:r>
          </w:p>
        </w:tc>
        <w:tc>
          <w:tcPr>
            <w:tcW w:w="1696" w:type="dxa"/>
            <w:tcBorders>
              <w:left w:val="single" w:sz="4" w:space="0" w:color="000000"/>
              <w:bottom w:val="single" w:sz="4" w:space="0" w:color="000000"/>
            </w:tcBorders>
          </w:tcPr>
          <w:p>
            <w:pPr>
              <w:pStyle w:val="Normal"/>
              <w:widowControl w:val="false"/>
              <w:rPr>
                <w:rFonts w:eastAsia="Calibri"/>
                <w:sz w:val="21"/>
                <w:szCs w:val="21"/>
              </w:rPr>
            </w:pPr>
            <w:r>
              <w:rPr>
                <w:rFonts w:eastAsia="Calibri"/>
                <w:sz w:val="21"/>
                <w:szCs w:val="21"/>
              </w:rPr>
              <w:t>Почтовые марки негашеные номиналом 100 руб.</w:t>
            </w:r>
          </w:p>
        </w:tc>
        <w:tc>
          <w:tcPr>
            <w:tcW w:w="1011" w:type="dxa"/>
            <w:tcBorders>
              <w:left w:val="single" w:sz="4" w:space="0" w:color="000000"/>
              <w:bottom w:val="single" w:sz="4" w:space="0" w:color="000000"/>
            </w:tcBorders>
          </w:tcPr>
          <w:p>
            <w:pPr>
              <w:pStyle w:val="Normal"/>
              <w:widowControl w:val="false"/>
              <w:rPr/>
            </w:pPr>
            <w:hyperlink r:id="rId8" w:tgtFrame="_blank">
              <w:r>
                <w:rPr>
                  <w:rStyle w:val="Hyperlink"/>
                  <w:rFonts w:eastAsia="Calibri"/>
                  <w:sz w:val="21"/>
                  <w:szCs w:val="21"/>
                </w:rPr>
                <w:t>58.19.14.110-00000001</w:t>
              </w:r>
            </w:hyperlink>
          </w:p>
        </w:tc>
        <w:tc>
          <w:tcPr>
            <w:tcW w:w="1763" w:type="dxa"/>
            <w:tcBorders>
              <w:left w:val="single" w:sz="4" w:space="0" w:color="000000"/>
              <w:bottom w:val="single" w:sz="4" w:space="0" w:color="000000"/>
            </w:tcBorders>
          </w:tcPr>
          <w:p>
            <w:pPr>
              <w:pStyle w:val="Normal"/>
              <w:widowControl w:val="false"/>
              <w:rPr>
                <w:rFonts w:eastAsia="Calibri"/>
                <w:sz w:val="21"/>
                <w:szCs w:val="21"/>
              </w:rPr>
            </w:pPr>
            <w:r>
              <w:rPr>
                <w:rFonts w:eastAsia="Calibri"/>
                <w:sz w:val="21"/>
                <w:szCs w:val="21"/>
              </w:rPr>
              <w:t>Вид марки</w:t>
            </w:r>
          </w:p>
          <w:p>
            <w:pPr>
              <w:pStyle w:val="Normal"/>
              <w:widowControl w:val="false"/>
              <w:rPr>
                <w:rFonts w:eastAsia="Calibri"/>
                <w:sz w:val="21"/>
                <w:szCs w:val="21"/>
              </w:rPr>
            </w:pPr>
            <w:r>
              <w:rPr>
                <w:rFonts w:eastAsia="Calibri"/>
                <w:sz w:val="21"/>
                <w:szCs w:val="21"/>
              </w:rPr>
              <w:t>(характеристика является обязательной для применения): Стандартная.</w:t>
            </w:r>
          </w:p>
          <w:p>
            <w:pPr>
              <w:pStyle w:val="Normal"/>
              <w:widowControl w:val="false"/>
              <w:rPr>
                <w:rFonts w:eastAsia="Calibri"/>
                <w:sz w:val="21"/>
                <w:szCs w:val="21"/>
              </w:rPr>
            </w:pPr>
            <w:r>
              <w:rPr>
                <w:rFonts w:eastAsia="Calibri"/>
                <w:sz w:val="21"/>
                <w:szCs w:val="21"/>
              </w:rPr>
              <w:t>Номинал</w:t>
            </w:r>
          </w:p>
          <w:p>
            <w:pPr>
              <w:pStyle w:val="Normal"/>
              <w:widowControl w:val="false"/>
              <w:rPr>
                <w:rFonts w:eastAsia="Calibri"/>
                <w:sz w:val="21"/>
                <w:szCs w:val="21"/>
              </w:rPr>
            </w:pPr>
            <w:r>
              <w:rPr>
                <w:rFonts w:eastAsia="Calibri"/>
                <w:sz w:val="21"/>
                <w:szCs w:val="21"/>
              </w:rPr>
              <w:t>(характеристика является обязательной для применения): 100 рублей;</w:t>
            </w:r>
          </w:p>
          <w:p>
            <w:pPr>
              <w:pStyle w:val="Normal"/>
              <w:widowControl w:val="false"/>
              <w:rPr>
                <w:rFonts w:eastAsia="Calibri"/>
                <w:sz w:val="21"/>
                <w:szCs w:val="21"/>
              </w:rPr>
            </w:pPr>
            <w:r>
              <w:rPr>
                <w:rFonts w:eastAsia="Calibri"/>
                <w:sz w:val="21"/>
                <w:szCs w:val="21"/>
              </w:rPr>
              <w:t>Основа бумаги: Самоклеящаяся;</w:t>
            </w:r>
          </w:p>
          <w:p>
            <w:pPr>
              <w:pStyle w:val="Normal"/>
              <w:widowControl w:val="false"/>
              <w:rPr>
                <w:rFonts w:eastAsia="Calibri"/>
                <w:sz w:val="21"/>
                <w:szCs w:val="21"/>
              </w:rPr>
            </w:pPr>
            <w:r>
              <w:rPr>
                <w:rFonts w:eastAsia="Calibri"/>
                <w:sz w:val="21"/>
                <w:szCs w:val="21"/>
              </w:rPr>
              <w:t>Отметка о гашении</w:t>
            </w:r>
          </w:p>
          <w:p>
            <w:pPr>
              <w:pStyle w:val="Normal"/>
              <w:widowControl w:val="false"/>
              <w:rPr>
                <w:rFonts w:eastAsia="Calibri"/>
                <w:sz w:val="21"/>
                <w:szCs w:val="21"/>
              </w:rPr>
            </w:pPr>
            <w:r>
              <w:rPr>
                <w:rFonts w:eastAsia="Calibri"/>
                <w:sz w:val="21"/>
                <w:szCs w:val="21"/>
              </w:rPr>
              <w:t>(характеристика является обязательной для применения) : нет.</w:t>
            </w:r>
          </w:p>
        </w:tc>
        <w:tc>
          <w:tcPr>
            <w:tcW w:w="856" w:type="dxa"/>
            <w:tcBorders>
              <w:left w:val="single" w:sz="4" w:space="0" w:color="000000"/>
              <w:bottom w:val="single" w:sz="4" w:space="0" w:color="000000"/>
            </w:tcBorders>
          </w:tcPr>
          <w:p>
            <w:pPr>
              <w:pStyle w:val="Normal"/>
              <w:widowControl w:val="false"/>
              <w:jc w:val="center"/>
              <w:rPr>
                <w:sz w:val="24"/>
                <w:szCs w:val="24"/>
              </w:rPr>
            </w:pPr>
            <w:r>
              <w:rPr>
                <w:sz w:val="24"/>
                <w:szCs w:val="24"/>
              </w:rPr>
              <w:t>шт</w:t>
            </w:r>
          </w:p>
        </w:tc>
        <w:tc>
          <w:tcPr>
            <w:tcW w:w="942" w:type="dxa"/>
            <w:tcBorders>
              <w:left w:val="single" w:sz="4" w:space="0" w:color="000000"/>
              <w:bottom w:val="single" w:sz="4" w:space="0" w:color="000000"/>
            </w:tcBorders>
          </w:tcPr>
          <w:p>
            <w:pPr>
              <w:pStyle w:val="Normal"/>
              <w:widowControl w:val="false"/>
              <w:jc w:val="center"/>
              <w:rPr>
                <w:rFonts w:eastAsia="Calibri"/>
                <w:sz w:val="21"/>
                <w:szCs w:val="21"/>
                <w:lang w:val="en-US"/>
              </w:rPr>
            </w:pPr>
            <w:r>
              <w:rPr>
                <w:rFonts w:eastAsia="Calibri"/>
                <w:sz w:val="21"/>
                <w:szCs w:val="21"/>
                <w:lang w:val="en-US"/>
              </w:rPr>
              <w:t>60</w:t>
            </w:r>
          </w:p>
        </w:tc>
        <w:tc>
          <w:tcPr>
            <w:tcW w:w="1187" w:type="dxa"/>
            <w:gridSpan w:val="2"/>
            <w:tcBorders>
              <w:left w:val="single" w:sz="4" w:space="0" w:color="000000"/>
              <w:bottom w:val="single" w:sz="4" w:space="0" w:color="000000"/>
            </w:tcBorders>
          </w:tcPr>
          <w:p>
            <w:pPr>
              <w:pStyle w:val="user5"/>
              <w:rPr/>
            </w:pPr>
            <w:r>
              <w:rPr/>
            </w:r>
          </w:p>
        </w:tc>
        <w:tc>
          <w:tcPr>
            <w:tcW w:w="1189" w:type="dxa"/>
            <w:tcBorders>
              <w:left w:val="single" w:sz="4" w:space="0" w:color="000000"/>
              <w:bottom w:val="single" w:sz="4" w:space="0" w:color="000000"/>
              <w:right w:val="single" w:sz="4" w:space="0" w:color="000000"/>
            </w:tcBorders>
          </w:tcPr>
          <w:p>
            <w:pPr>
              <w:pStyle w:val="user5"/>
              <w:rPr/>
            </w:pPr>
            <w:r>
              <w:rPr/>
            </w:r>
          </w:p>
        </w:tc>
      </w:tr>
      <w:tr>
        <w:trPr/>
        <w:tc>
          <w:tcPr>
            <w:tcW w:w="854" w:type="dxa"/>
            <w:tcBorders>
              <w:left w:val="single" w:sz="4" w:space="0" w:color="000000"/>
              <w:bottom w:val="single" w:sz="4" w:space="0" w:color="000000"/>
            </w:tcBorders>
          </w:tcPr>
          <w:p>
            <w:pPr>
              <w:pStyle w:val="user5"/>
              <w:numPr>
                <w:ilvl w:val="0"/>
                <w:numId w:val="2"/>
              </w:numPr>
              <w:suppressAutoHyphens w:val="true"/>
              <w:bidi w:val="0"/>
              <w:spacing w:before="0" w:after="0"/>
              <w:jc w:val="left"/>
              <w:rPr>
                <w:rFonts w:ascii="Times New Roman" w:hAnsi="Times New Roman" w:eastAsia="Times New Roman" w:cs="Times New Roman"/>
                <w:color w:val="auto"/>
                <w:kern w:val="0"/>
                <w:sz w:val="28"/>
                <w:szCs w:val="28"/>
                <w:lang w:val="ru-RU" w:eastAsia="zh-CN" w:bidi="ar-SA"/>
              </w:rPr>
            </w:pPr>
            <w:r>
              <w:rPr>
                <w:rFonts w:eastAsia="Times New Roman" w:cs="Times New Roman"/>
                <w:color w:val="auto"/>
                <w:kern w:val="0"/>
                <w:sz w:val="28"/>
                <w:szCs w:val="28"/>
                <w:lang w:val="ru-RU" w:eastAsia="zh-CN" w:bidi="ar-SA"/>
              </w:rPr>
            </w:r>
          </w:p>
        </w:tc>
        <w:tc>
          <w:tcPr>
            <w:tcW w:w="1696" w:type="dxa"/>
            <w:tcBorders>
              <w:left w:val="single" w:sz="4" w:space="0" w:color="000000"/>
              <w:bottom w:val="single" w:sz="4" w:space="0" w:color="000000"/>
            </w:tcBorders>
          </w:tcPr>
          <w:p>
            <w:pPr>
              <w:pStyle w:val="Normal"/>
              <w:widowControl w:val="false"/>
              <w:rPr>
                <w:rFonts w:eastAsia="Calibri"/>
                <w:sz w:val="21"/>
                <w:szCs w:val="21"/>
              </w:rPr>
            </w:pPr>
            <w:r>
              <w:rPr>
                <w:rFonts w:eastAsia="Calibri"/>
                <w:sz w:val="21"/>
                <w:szCs w:val="21"/>
              </w:rPr>
              <w:t>Почтовые марки негашеные номиналом 50 руб.</w:t>
            </w:r>
          </w:p>
        </w:tc>
        <w:tc>
          <w:tcPr>
            <w:tcW w:w="1011" w:type="dxa"/>
            <w:tcBorders>
              <w:left w:val="single" w:sz="4" w:space="0" w:color="000000"/>
              <w:bottom w:val="single" w:sz="4" w:space="0" w:color="000000"/>
            </w:tcBorders>
          </w:tcPr>
          <w:p>
            <w:pPr>
              <w:pStyle w:val="Normal"/>
              <w:widowControl w:val="false"/>
              <w:rPr/>
            </w:pPr>
            <w:hyperlink r:id="rId9" w:tgtFrame="_blank">
              <w:r>
                <w:rPr>
                  <w:rStyle w:val="Hyperlink"/>
                  <w:rFonts w:eastAsia="Calibri"/>
                  <w:sz w:val="21"/>
                  <w:szCs w:val="21"/>
                </w:rPr>
                <w:t>58.19.14.110-00000001</w:t>
              </w:r>
            </w:hyperlink>
          </w:p>
        </w:tc>
        <w:tc>
          <w:tcPr>
            <w:tcW w:w="1763" w:type="dxa"/>
            <w:tcBorders>
              <w:left w:val="single" w:sz="4" w:space="0" w:color="000000"/>
              <w:bottom w:val="single" w:sz="4" w:space="0" w:color="000000"/>
            </w:tcBorders>
          </w:tcPr>
          <w:p>
            <w:pPr>
              <w:pStyle w:val="Normal"/>
              <w:widowControl w:val="false"/>
              <w:rPr>
                <w:rFonts w:eastAsia="Calibri"/>
                <w:sz w:val="21"/>
                <w:szCs w:val="21"/>
              </w:rPr>
            </w:pPr>
            <w:r>
              <w:rPr>
                <w:rFonts w:eastAsia="Calibri"/>
                <w:sz w:val="21"/>
                <w:szCs w:val="21"/>
              </w:rPr>
              <w:t>Вид марки</w:t>
            </w:r>
          </w:p>
          <w:p>
            <w:pPr>
              <w:pStyle w:val="Normal"/>
              <w:widowControl w:val="false"/>
              <w:rPr>
                <w:rFonts w:eastAsia="Calibri"/>
                <w:sz w:val="21"/>
                <w:szCs w:val="21"/>
              </w:rPr>
            </w:pPr>
            <w:r>
              <w:rPr>
                <w:rFonts w:eastAsia="Calibri"/>
                <w:sz w:val="21"/>
                <w:szCs w:val="21"/>
              </w:rPr>
              <w:t>(характеристика является обязательной для применения): Стандартная.</w:t>
            </w:r>
          </w:p>
          <w:p>
            <w:pPr>
              <w:pStyle w:val="Normal"/>
              <w:widowControl w:val="false"/>
              <w:rPr>
                <w:rFonts w:eastAsia="Calibri"/>
                <w:sz w:val="21"/>
                <w:szCs w:val="21"/>
              </w:rPr>
            </w:pPr>
            <w:r>
              <w:rPr>
                <w:rFonts w:eastAsia="Calibri"/>
                <w:sz w:val="21"/>
                <w:szCs w:val="21"/>
              </w:rPr>
              <w:t>Номинал</w:t>
            </w:r>
          </w:p>
          <w:p>
            <w:pPr>
              <w:pStyle w:val="Normal"/>
              <w:widowControl w:val="false"/>
              <w:rPr>
                <w:rFonts w:eastAsia="Calibri"/>
                <w:sz w:val="21"/>
                <w:szCs w:val="21"/>
              </w:rPr>
            </w:pPr>
            <w:r>
              <w:rPr>
                <w:rFonts w:eastAsia="Calibri"/>
                <w:sz w:val="21"/>
                <w:szCs w:val="21"/>
              </w:rPr>
              <w:t>(характеристика является обязательной для применения): 50 рублей;</w:t>
            </w:r>
          </w:p>
          <w:p>
            <w:pPr>
              <w:pStyle w:val="Normal"/>
              <w:widowControl w:val="false"/>
              <w:rPr>
                <w:rFonts w:eastAsia="Calibri"/>
                <w:sz w:val="21"/>
                <w:szCs w:val="21"/>
              </w:rPr>
            </w:pPr>
            <w:r>
              <w:rPr>
                <w:rFonts w:eastAsia="Calibri"/>
                <w:sz w:val="21"/>
                <w:szCs w:val="21"/>
              </w:rPr>
              <w:t>Основа бумаги: Самоклеящаяся;</w:t>
            </w:r>
          </w:p>
          <w:p>
            <w:pPr>
              <w:pStyle w:val="Normal"/>
              <w:widowControl w:val="false"/>
              <w:rPr>
                <w:rFonts w:eastAsia="Calibri"/>
                <w:sz w:val="21"/>
                <w:szCs w:val="21"/>
              </w:rPr>
            </w:pPr>
            <w:r>
              <w:rPr>
                <w:rFonts w:eastAsia="Calibri"/>
                <w:sz w:val="21"/>
                <w:szCs w:val="21"/>
              </w:rPr>
              <w:t>Отметка о гашении</w:t>
            </w:r>
          </w:p>
          <w:p>
            <w:pPr>
              <w:pStyle w:val="Normal"/>
              <w:widowControl w:val="false"/>
              <w:rPr>
                <w:rFonts w:eastAsia="Calibri"/>
                <w:sz w:val="21"/>
                <w:szCs w:val="21"/>
              </w:rPr>
            </w:pPr>
            <w:r>
              <w:rPr>
                <w:rFonts w:eastAsia="Calibri"/>
                <w:sz w:val="21"/>
                <w:szCs w:val="21"/>
              </w:rPr>
              <w:t>(характеристика является обязательной для применения) : нет.</w:t>
            </w:r>
          </w:p>
        </w:tc>
        <w:tc>
          <w:tcPr>
            <w:tcW w:w="856" w:type="dxa"/>
            <w:tcBorders>
              <w:left w:val="single" w:sz="4" w:space="0" w:color="000000"/>
              <w:bottom w:val="single" w:sz="4" w:space="0" w:color="000000"/>
            </w:tcBorders>
          </w:tcPr>
          <w:p>
            <w:pPr>
              <w:pStyle w:val="Normal"/>
              <w:widowControl w:val="false"/>
              <w:jc w:val="center"/>
              <w:rPr>
                <w:sz w:val="24"/>
                <w:szCs w:val="24"/>
              </w:rPr>
            </w:pPr>
            <w:r>
              <w:rPr>
                <w:sz w:val="24"/>
                <w:szCs w:val="24"/>
              </w:rPr>
              <w:t>шт</w:t>
            </w:r>
          </w:p>
        </w:tc>
        <w:tc>
          <w:tcPr>
            <w:tcW w:w="942" w:type="dxa"/>
            <w:tcBorders>
              <w:left w:val="single" w:sz="4" w:space="0" w:color="000000"/>
              <w:bottom w:val="single" w:sz="4" w:space="0" w:color="000000"/>
            </w:tcBorders>
          </w:tcPr>
          <w:p>
            <w:pPr>
              <w:pStyle w:val="Normal"/>
              <w:widowControl w:val="false"/>
              <w:jc w:val="center"/>
              <w:rPr>
                <w:rFonts w:eastAsia="Calibri"/>
                <w:sz w:val="21"/>
                <w:szCs w:val="21"/>
                <w:lang w:val="en-US"/>
              </w:rPr>
            </w:pPr>
            <w:r>
              <w:rPr>
                <w:rFonts w:eastAsia="Calibri"/>
                <w:sz w:val="21"/>
                <w:szCs w:val="21"/>
                <w:lang w:val="en-US"/>
              </w:rPr>
              <w:t>104</w:t>
            </w:r>
          </w:p>
        </w:tc>
        <w:tc>
          <w:tcPr>
            <w:tcW w:w="1187" w:type="dxa"/>
            <w:gridSpan w:val="2"/>
            <w:tcBorders>
              <w:left w:val="single" w:sz="4" w:space="0" w:color="000000"/>
              <w:bottom w:val="single" w:sz="4" w:space="0" w:color="000000"/>
            </w:tcBorders>
          </w:tcPr>
          <w:p>
            <w:pPr>
              <w:pStyle w:val="user5"/>
              <w:rPr/>
            </w:pPr>
            <w:r>
              <w:rPr/>
            </w:r>
          </w:p>
        </w:tc>
        <w:tc>
          <w:tcPr>
            <w:tcW w:w="1189" w:type="dxa"/>
            <w:tcBorders>
              <w:left w:val="single" w:sz="4" w:space="0" w:color="000000"/>
              <w:bottom w:val="single" w:sz="4" w:space="0" w:color="000000"/>
              <w:right w:val="single" w:sz="4" w:space="0" w:color="000000"/>
            </w:tcBorders>
          </w:tcPr>
          <w:p>
            <w:pPr>
              <w:pStyle w:val="user5"/>
              <w:rPr/>
            </w:pPr>
            <w:r>
              <w:rPr/>
            </w:r>
          </w:p>
        </w:tc>
      </w:tr>
      <w:tr>
        <w:trPr/>
        <w:tc>
          <w:tcPr>
            <w:tcW w:w="854" w:type="dxa"/>
            <w:tcBorders>
              <w:left w:val="single" w:sz="4" w:space="0" w:color="000000"/>
              <w:bottom w:val="single" w:sz="4" w:space="0" w:color="000000"/>
            </w:tcBorders>
          </w:tcPr>
          <w:p>
            <w:pPr>
              <w:pStyle w:val="user5"/>
              <w:numPr>
                <w:ilvl w:val="0"/>
                <w:numId w:val="2"/>
              </w:numPr>
              <w:suppressAutoHyphens w:val="true"/>
              <w:bidi w:val="0"/>
              <w:spacing w:before="0" w:after="0"/>
              <w:jc w:val="left"/>
              <w:rPr>
                <w:rFonts w:ascii="Times New Roman" w:hAnsi="Times New Roman" w:eastAsia="Times New Roman" w:cs="Times New Roman"/>
                <w:color w:val="auto"/>
                <w:kern w:val="0"/>
                <w:sz w:val="28"/>
                <w:szCs w:val="28"/>
                <w:lang w:val="ru-RU" w:eastAsia="zh-CN" w:bidi="ar-SA"/>
              </w:rPr>
            </w:pPr>
            <w:r>
              <w:rPr>
                <w:rFonts w:eastAsia="Times New Roman" w:cs="Times New Roman"/>
                <w:color w:val="auto"/>
                <w:kern w:val="0"/>
                <w:sz w:val="28"/>
                <w:szCs w:val="28"/>
                <w:lang w:val="ru-RU" w:eastAsia="zh-CN" w:bidi="ar-SA"/>
              </w:rPr>
            </w:r>
          </w:p>
        </w:tc>
        <w:tc>
          <w:tcPr>
            <w:tcW w:w="1696" w:type="dxa"/>
            <w:tcBorders>
              <w:left w:val="single" w:sz="4" w:space="0" w:color="000000"/>
              <w:bottom w:val="single" w:sz="4" w:space="0" w:color="000000"/>
            </w:tcBorders>
          </w:tcPr>
          <w:p>
            <w:pPr>
              <w:pStyle w:val="Normal"/>
              <w:widowControl w:val="false"/>
              <w:rPr>
                <w:rFonts w:eastAsia="Calibri"/>
                <w:sz w:val="21"/>
                <w:szCs w:val="21"/>
              </w:rPr>
            </w:pPr>
            <w:r>
              <w:rPr>
                <w:rFonts w:eastAsia="Calibri"/>
                <w:sz w:val="21"/>
                <w:szCs w:val="21"/>
              </w:rPr>
              <w:t>Почтовые марки негашеные номиналом 25 руб.</w:t>
            </w:r>
          </w:p>
        </w:tc>
        <w:tc>
          <w:tcPr>
            <w:tcW w:w="1011" w:type="dxa"/>
            <w:tcBorders>
              <w:left w:val="single" w:sz="4" w:space="0" w:color="000000"/>
              <w:bottom w:val="single" w:sz="4" w:space="0" w:color="000000"/>
            </w:tcBorders>
          </w:tcPr>
          <w:p>
            <w:pPr>
              <w:pStyle w:val="Normal"/>
              <w:widowControl w:val="false"/>
              <w:rPr/>
            </w:pPr>
            <w:hyperlink r:id="rId10" w:tgtFrame="_blank">
              <w:r>
                <w:rPr>
                  <w:rStyle w:val="Hyperlink"/>
                  <w:rFonts w:eastAsia="Calibri"/>
                  <w:sz w:val="21"/>
                  <w:szCs w:val="21"/>
                </w:rPr>
                <w:t>58.19.14.110-00000001</w:t>
              </w:r>
            </w:hyperlink>
          </w:p>
        </w:tc>
        <w:tc>
          <w:tcPr>
            <w:tcW w:w="1763" w:type="dxa"/>
            <w:tcBorders>
              <w:left w:val="single" w:sz="4" w:space="0" w:color="000000"/>
              <w:bottom w:val="single" w:sz="4" w:space="0" w:color="000000"/>
            </w:tcBorders>
          </w:tcPr>
          <w:p>
            <w:pPr>
              <w:pStyle w:val="Normal"/>
              <w:widowControl w:val="false"/>
              <w:rPr>
                <w:rFonts w:eastAsia="Calibri"/>
                <w:sz w:val="21"/>
                <w:szCs w:val="21"/>
              </w:rPr>
            </w:pPr>
            <w:r>
              <w:rPr>
                <w:rFonts w:eastAsia="Calibri"/>
                <w:sz w:val="21"/>
                <w:szCs w:val="21"/>
              </w:rPr>
              <w:t>Вид марки</w:t>
            </w:r>
          </w:p>
          <w:p>
            <w:pPr>
              <w:pStyle w:val="Normal"/>
              <w:widowControl w:val="false"/>
              <w:rPr>
                <w:rFonts w:eastAsia="Calibri"/>
                <w:sz w:val="21"/>
                <w:szCs w:val="21"/>
              </w:rPr>
            </w:pPr>
            <w:r>
              <w:rPr>
                <w:rFonts w:eastAsia="Calibri"/>
                <w:sz w:val="21"/>
                <w:szCs w:val="21"/>
              </w:rPr>
              <w:t>(характеристика является обязательной для применения): Стандартная.</w:t>
            </w:r>
          </w:p>
          <w:p>
            <w:pPr>
              <w:pStyle w:val="Normal"/>
              <w:widowControl w:val="false"/>
              <w:rPr>
                <w:rFonts w:eastAsia="Calibri"/>
                <w:sz w:val="21"/>
                <w:szCs w:val="21"/>
              </w:rPr>
            </w:pPr>
            <w:r>
              <w:rPr>
                <w:rFonts w:eastAsia="Calibri"/>
                <w:sz w:val="21"/>
                <w:szCs w:val="21"/>
              </w:rPr>
              <w:t>Номинал</w:t>
            </w:r>
          </w:p>
          <w:p>
            <w:pPr>
              <w:pStyle w:val="Normal"/>
              <w:widowControl w:val="false"/>
              <w:rPr>
                <w:rFonts w:eastAsia="Calibri"/>
                <w:sz w:val="21"/>
                <w:szCs w:val="21"/>
              </w:rPr>
            </w:pPr>
            <w:r>
              <w:rPr>
                <w:rFonts w:eastAsia="Calibri"/>
                <w:sz w:val="21"/>
                <w:szCs w:val="21"/>
              </w:rPr>
              <w:t>(характеристика является обязательной для применения): 25 рублей;</w:t>
            </w:r>
          </w:p>
          <w:p>
            <w:pPr>
              <w:pStyle w:val="Normal"/>
              <w:widowControl w:val="false"/>
              <w:rPr>
                <w:rFonts w:eastAsia="Calibri"/>
                <w:sz w:val="21"/>
                <w:szCs w:val="21"/>
              </w:rPr>
            </w:pPr>
            <w:r>
              <w:rPr>
                <w:rFonts w:eastAsia="Calibri"/>
                <w:sz w:val="21"/>
                <w:szCs w:val="21"/>
              </w:rPr>
              <w:t>Основа бумаги: Самоклеящаяся;</w:t>
            </w:r>
          </w:p>
          <w:p>
            <w:pPr>
              <w:pStyle w:val="Normal"/>
              <w:widowControl w:val="false"/>
              <w:rPr>
                <w:rFonts w:eastAsia="Calibri"/>
                <w:sz w:val="21"/>
                <w:szCs w:val="21"/>
              </w:rPr>
            </w:pPr>
            <w:r>
              <w:rPr>
                <w:rFonts w:eastAsia="Calibri"/>
                <w:sz w:val="21"/>
                <w:szCs w:val="21"/>
              </w:rPr>
              <w:t>Отметка о гашении</w:t>
            </w:r>
          </w:p>
          <w:p>
            <w:pPr>
              <w:pStyle w:val="Normal"/>
              <w:widowControl w:val="false"/>
              <w:rPr>
                <w:rFonts w:eastAsia="Calibri"/>
                <w:sz w:val="21"/>
                <w:szCs w:val="21"/>
              </w:rPr>
            </w:pPr>
            <w:r>
              <w:rPr>
                <w:rFonts w:eastAsia="Calibri"/>
                <w:sz w:val="21"/>
                <w:szCs w:val="21"/>
              </w:rPr>
              <w:t>(характеристика является обязательной для применения) : нет.</w:t>
            </w:r>
          </w:p>
        </w:tc>
        <w:tc>
          <w:tcPr>
            <w:tcW w:w="856" w:type="dxa"/>
            <w:tcBorders>
              <w:left w:val="single" w:sz="4" w:space="0" w:color="000000"/>
              <w:bottom w:val="single" w:sz="4" w:space="0" w:color="000000"/>
            </w:tcBorders>
          </w:tcPr>
          <w:p>
            <w:pPr>
              <w:pStyle w:val="Normal"/>
              <w:widowControl w:val="false"/>
              <w:jc w:val="center"/>
              <w:rPr>
                <w:sz w:val="24"/>
                <w:szCs w:val="24"/>
              </w:rPr>
            </w:pPr>
            <w:r>
              <w:rPr>
                <w:sz w:val="24"/>
                <w:szCs w:val="24"/>
              </w:rPr>
              <w:t>шт</w:t>
            </w:r>
          </w:p>
        </w:tc>
        <w:tc>
          <w:tcPr>
            <w:tcW w:w="942" w:type="dxa"/>
            <w:tcBorders>
              <w:left w:val="single" w:sz="4" w:space="0" w:color="000000"/>
              <w:bottom w:val="single" w:sz="4" w:space="0" w:color="000000"/>
            </w:tcBorders>
          </w:tcPr>
          <w:p>
            <w:pPr>
              <w:pStyle w:val="Normal"/>
              <w:widowControl w:val="false"/>
              <w:jc w:val="center"/>
              <w:rPr>
                <w:rFonts w:eastAsia="Calibri"/>
                <w:sz w:val="21"/>
                <w:szCs w:val="21"/>
                <w:lang w:val="en-US"/>
              </w:rPr>
            </w:pPr>
            <w:r>
              <w:rPr>
                <w:rFonts w:eastAsia="Calibri"/>
                <w:sz w:val="21"/>
                <w:szCs w:val="21"/>
                <w:lang w:val="en-US"/>
              </w:rPr>
              <w:t>600</w:t>
            </w:r>
          </w:p>
        </w:tc>
        <w:tc>
          <w:tcPr>
            <w:tcW w:w="1187" w:type="dxa"/>
            <w:gridSpan w:val="2"/>
            <w:tcBorders>
              <w:left w:val="single" w:sz="4" w:space="0" w:color="000000"/>
              <w:bottom w:val="single" w:sz="4" w:space="0" w:color="000000"/>
            </w:tcBorders>
          </w:tcPr>
          <w:p>
            <w:pPr>
              <w:pStyle w:val="user5"/>
              <w:rPr/>
            </w:pPr>
            <w:r>
              <w:rPr/>
            </w:r>
          </w:p>
        </w:tc>
        <w:tc>
          <w:tcPr>
            <w:tcW w:w="1189" w:type="dxa"/>
            <w:tcBorders>
              <w:left w:val="single" w:sz="4" w:space="0" w:color="000000"/>
              <w:bottom w:val="single" w:sz="4" w:space="0" w:color="000000"/>
              <w:right w:val="single" w:sz="4" w:space="0" w:color="000000"/>
            </w:tcBorders>
          </w:tcPr>
          <w:p>
            <w:pPr>
              <w:pStyle w:val="user5"/>
              <w:rPr/>
            </w:pPr>
            <w:r>
              <w:rPr/>
            </w:r>
          </w:p>
        </w:tc>
      </w:tr>
      <w:tr>
        <w:trPr/>
        <w:tc>
          <w:tcPr>
            <w:tcW w:w="854" w:type="dxa"/>
            <w:tcBorders>
              <w:left w:val="single" w:sz="4" w:space="0" w:color="000000"/>
              <w:bottom w:val="single" w:sz="4" w:space="0" w:color="000000"/>
            </w:tcBorders>
          </w:tcPr>
          <w:p>
            <w:pPr>
              <w:pStyle w:val="user5"/>
              <w:numPr>
                <w:ilvl w:val="0"/>
                <w:numId w:val="2"/>
              </w:numPr>
              <w:suppressAutoHyphens w:val="true"/>
              <w:bidi w:val="0"/>
              <w:spacing w:before="0" w:after="0"/>
              <w:jc w:val="left"/>
              <w:rPr>
                <w:rFonts w:ascii="Times New Roman" w:hAnsi="Times New Roman" w:eastAsia="Times New Roman" w:cs="Times New Roman"/>
                <w:color w:val="auto"/>
                <w:kern w:val="0"/>
                <w:sz w:val="28"/>
                <w:szCs w:val="28"/>
                <w:lang w:val="ru-RU" w:eastAsia="zh-CN" w:bidi="ar-SA"/>
              </w:rPr>
            </w:pPr>
            <w:r>
              <w:rPr>
                <w:rFonts w:eastAsia="Times New Roman" w:cs="Times New Roman"/>
                <w:color w:val="auto"/>
                <w:kern w:val="0"/>
                <w:sz w:val="28"/>
                <w:szCs w:val="28"/>
                <w:lang w:val="ru-RU" w:eastAsia="zh-CN" w:bidi="ar-SA"/>
              </w:rPr>
            </w:r>
          </w:p>
        </w:tc>
        <w:tc>
          <w:tcPr>
            <w:tcW w:w="1696" w:type="dxa"/>
            <w:tcBorders>
              <w:left w:val="single" w:sz="4" w:space="0" w:color="000000"/>
              <w:bottom w:val="single" w:sz="4" w:space="0" w:color="000000"/>
            </w:tcBorders>
          </w:tcPr>
          <w:p>
            <w:pPr>
              <w:pStyle w:val="Normal"/>
              <w:widowControl w:val="false"/>
              <w:rPr>
                <w:rFonts w:eastAsia="Calibri"/>
                <w:sz w:val="21"/>
                <w:szCs w:val="21"/>
              </w:rPr>
            </w:pPr>
            <w:r>
              <w:rPr>
                <w:rFonts w:eastAsia="Calibri"/>
                <w:sz w:val="21"/>
                <w:szCs w:val="21"/>
              </w:rPr>
              <w:t>Почтовые марки негашеные номиналом 10 руб.</w:t>
            </w:r>
          </w:p>
        </w:tc>
        <w:tc>
          <w:tcPr>
            <w:tcW w:w="1011" w:type="dxa"/>
            <w:tcBorders>
              <w:left w:val="single" w:sz="4" w:space="0" w:color="000000"/>
              <w:bottom w:val="single" w:sz="4" w:space="0" w:color="000000"/>
            </w:tcBorders>
          </w:tcPr>
          <w:p>
            <w:pPr>
              <w:pStyle w:val="Normal"/>
              <w:widowControl w:val="false"/>
              <w:rPr/>
            </w:pPr>
            <w:hyperlink r:id="rId11" w:tgtFrame="_blank">
              <w:r>
                <w:rPr>
                  <w:rStyle w:val="Hyperlink"/>
                  <w:rFonts w:eastAsia="Calibri"/>
                  <w:sz w:val="21"/>
                  <w:szCs w:val="21"/>
                </w:rPr>
                <w:t>58.19.14.110-00000001</w:t>
              </w:r>
            </w:hyperlink>
          </w:p>
        </w:tc>
        <w:tc>
          <w:tcPr>
            <w:tcW w:w="1763" w:type="dxa"/>
            <w:tcBorders>
              <w:left w:val="single" w:sz="4" w:space="0" w:color="000000"/>
              <w:bottom w:val="single" w:sz="4" w:space="0" w:color="000000"/>
            </w:tcBorders>
          </w:tcPr>
          <w:p>
            <w:pPr>
              <w:pStyle w:val="Normal"/>
              <w:widowControl w:val="false"/>
              <w:rPr>
                <w:rFonts w:eastAsia="Calibri"/>
                <w:sz w:val="21"/>
                <w:szCs w:val="21"/>
              </w:rPr>
            </w:pPr>
            <w:r>
              <w:rPr>
                <w:rFonts w:eastAsia="Calibri"/>
                <w:sz w:val="21"/>
                <w:szCs w:val="21"/>
              </w:rPr>
              <w:t>Вид марки</w:t>
            </w:r>
          </w:p>
          <w:p>
            <w:pPr>
              <w:pStyle w:val="Normal"/>
              <w:widowControl w:val="false"/>
              <w:rPr>
                <w:rFonts w:eastAsia="Calibri"/>
                <w:sz w:val="21"/>
                <w:szCs w:val="21"/>
              </w:rPr>
            </w:pPr>
            <w:r>
              <w:rPr>
                <w:rFonts w:eastAsia="Calibri"/>
                <w:sz w:val="21"/>
                <w:szCs w:val="21"/>
              </w:rPr>
              <w:t>(характеристика является обязательной для применения): Стандартная.</w:t>
            </w:r>
          </w:p>
          <w:p>
            <w:pPr>
              <w:pStyle w:val="Normal"/>
              <w:widowControl w:val="false"/>
              <w:rPr>
                <w:rFonts w:eastAsia="Calibri"/>
                <w:sz w:val="21"/>
                <w:szCs w:val="21"/>
              </w:rPr>
            </w:pPr>
            <w:r>
              <w:rPr>
                <w:rFonts w:eastAsia="Calibri"/>
                <w:sz w:val="21"/>
                <w:szCs w:val="21"/>
              </w:rPr>
              <w:t>Номинал</w:t>
            </w:r>
          </w:p>
          <w:p>
            <w:pPr>
              <w:pStyle w:val="Normal"/>
              <w:widowControl w:val="false"/>
              <w:rPr>
                <w:rFonts w:eastAsia="Calibri"/>
                <w:sz w:val="21"/>
                <w:szCs w:val="21"/>
              </w:rPr>
            </w:pPr>
            <w:r>
              <w:rPr>
                <w:rFonts w:eastAsia="Calibri"/>
                <w:sz w:val="21"/>
                <w:szCs w:val="21"/>
              </w:rPr>
              <w:t>(характеристика является обязательной для применения): 10 рублей;</w:t>
            </w:r>
          </w:p>
          <w:p>
            <w:pPr>
              <w:pStyle w:val="Normal"/>
              <w:widowControl w:val="false"/>
              <w:rPr>
                <w:rFonts w:eastAsia="Calibri"/>
                <w:sz w:val="21"/>
                <w:szCs w:val="21"/>
              </w:rPr>
            </w:pPr>
            <w:r>
              <w:rPr>
                <w:rFonts w:eastAsia="Calibri"/>
                <w:sz w:val="21"/>
                <w:szCs w:val="21"/>
              </w:rPr>
              <w:t>Основа бумаги: Самоклеящаяся;</w:t>
            </w:r>
          </w:p>
          <w:p>
            <w:pPr>
              <w:pStyle w:val="Normal"/>
              <w:widowControl w:val="false"/>
              <w:rPr>
                <w:rFonts w:eastAsia="Calibri"/>
                <w:sz w:val="21"/>
                <w:szCs w:val="21"/>
              </w:rPr>
            </w:pPr>
            <w:r>
              <w:rPr>
                <w:rFonts w:eastAsia="Calibri"/>
                <w:sz w:val="21"/>
                <w:szCs w:val="21"/>
              </w:rPr>
              <w:t>Отметка о гашении</w:t>
            </w:r>
          </w:p>
          <w:p>
            <w:pPr>
              <w:pStyle w:val="Normal"/>
              <w:widowControl w:val="false"/>
              <w:rPr>
                <w:rFonts w:eastAsia="Calibri"/>
                <w:sz w:val="21"/>
                <w:szCs w:val="21"/>
              </w:rPr>
            </w:pPr>
            <w:r>
              <w:rPr>
                <w:rFonts w:eastAsia="Calibri"/>
                <w:sz w:val="21"/>
                <w:szCs w:val="21"/>
              </w:rPr>
              <w:t>(характеристика является обязательной для применения) : нет.</w:t>
            </w:r>
          </w:p>
        </w:tc>
        <w:tc>
          <w:tcPr>
            <w:tcW w:w="856" w:type="dxa"/>
            <w:tcBorders>
              <w:left w:val="single" w:sz="4" w:space="0" w:color="000000"/>
              <w:bottom w:val="single" w:sz="4" w:space="0" w:color="000000"/>
            </w:tcBorders>
          </w:tcPr>
          <w:p>
            <w:pPr>
              <w:pStyle w:val="Normal"/>
              <w:widowControl w:val="false"/>
              <w:jc w:val="center"/>
              <w:rPr>
                <w:sz w:val="24"/>
                <w:szCs w:val="24"/>
              </w:rPr>
            </w:pPr>
            <w:r>
              <w:rPr>
                <w:sz w:val="24"/>
                <w:szCs w:val="24"/>
              </w:rPr>
              <w:t>шт</w:t>
            </w:r>
          </w:p>
        </w:tc>
        <w:tc>
          <w:tcPr>
            <w:tcW w:w="942" w:type="dxa"/>
            <w:tcBorders>
              <w:left w:val="single" w:sz="4" w:space="0" w:color="000000"/>
              <w:bottom w:val="single" w:sz="4" w:space="0" w:color="000000"/>
            </w:tcBorders>
          </w:tcPr>
          <w:p>
            <w:pPr>
              <w:pStyle w:val="Normal"/>
              <w:widowControl w:val="false"/>
              <w:jc w:val="center"/>
              <w:rPr>
                <w:rFonts w:eastAsia="Calibri"/>
                <w:sz w:val="21"/>
                <w:szCs w:val="21"/>
                <w:lang w:val="en-US"/>
              </w:rPr>
            </w:pPr>
            <w:r>
              <w:rPr>
                <w:rFonts w:eastAsia="Calibri"/>
                <w:sz w:val="21"/>
                <w:szCs w:val="21"/>
                <w:lang w:val="en-US"/>
              </w:rPr>
              <w:t>500</w:t>
            </w:r>
          </w:p>
        </w:tc>
        <w:tc>
          <w:tcPr>
            <w:tcW w:w="1187" w:type="dxa"/>
            <w:gridSpan w:val="2"/>
            <w:tcBorders>
              <w:left w:val="single" w:sz="4" w:space="0" w:color="000000"/>
              <w:bottom w:val="single" w:sz="4" w:space="0" w:color="000000"/>
            </w:tcBorders>
          </w:tcPr>
          <w:p>
            <w:pPr>
              <w:pStyle w:val="user5"/>
              <w:rPr/>
            </w:pPr>
            <w:r>
              <w:rPr/>
            </w:r>
          </w:p>
        </w:tc>
        <w:tc>
          <w:tcPr>
            <w:tcW w:w="1189" w:type="dxa"/>
            <w:tcBorders>
              <w:left w:val="single" w:sz="4" w:space="0" w:color="000000"/>
              <w:bottom w:val="single" w:sz="4" w:space="0" w:color="000000"/>
              <w:right w:val="single" w:sz="4" w:space="0" w:color="000000"/>
            </w:tcBorders>
          </w:tcPr>
          <w:p>
            <w:pPr>
              <w:pStyle w:val="user5"/>
              <w:rPr/>
            </w:pPr>
            <w:r>
              <w:rPr/>
            </w:r>
          </w:p>
        </w:tc>
      </w:tr>
      <w:tr>
        <w:trPr/>
        <w:tc>
          <w:tcPr>
            <w:tcW w:w="854" w:type="dxa"/>
            <w:tcBorders>
              <w:left w:val="single" w:sz="4" w:space="0" w:color="000000"/>
              <w:bottom w:val="single" w:sz="4" w:space="0" w:color="000000"/>
            </w:tcBorders>
          </w:tcPr>
          <w:p>
            <w:pPr>
              <w:pStyle w:val="user5"/>
              <w:numPr>
                <w:ilvl w:val="0"/>
                <w:numId w:val="2"/>
              </w:numPr>
              <w:suppressAutoHyphens w:val="true"/>
              <w:bidi w:val="0"/>
              <w:spacing w:before="0" w:after="0"/>
              <w:jc w:val="left"/>
              <w:rPr>
                <w:rFonts w:ascii="Times New Roman" w:hAnsi="Times New Roman" w:eastAsia="Times New Roman" w:cs="Times New Roman"/>
                <w:color w:val="auto"/>
                <w:kern w:val="0"/>
                <w:sz w:val="28"/>
                <w:szCs w:val="28"/>
                <w:lang w:val="ru-RU" w:eastAsia="zh-CN" w:bidi="ar-SA"/>
              </w:rPr>
            </w:pPr>
            <w:r>
              <w:rPr>
                <w:rFonts w:eastAsia="Times New Roman" w:cs="Times New Roman"/>
                <w:color w:val="auto"/>
                <w:kern w:val="0"/>
                <w:sz w:val="28"/>
                <w:szCs w:val="28"/>
                <w:lang w:val="ru-RU" w:eastAsia="zh-CN" w:bidi="ar-SA"/>
              </w:rPr>
            </w:r>
          </w:p>
        </w:tc>
        <w:tc>
          <w:tcPr>
            <w:tcW w:w="1696" w:type="dxa"/>
            <w:tcBorders>
              <w:left w:val="single" w:sz="4" w:space="0" w:color="000000"/>
              <w:bottom w:val="single" w:sz="4" w:space="0" w:color="000000"/>
            </w:tcBorders>
          </w:tcPr>
          <w:p>
            <w:pPr>
              <w:pStyle w:val="Normal"/>
              <w:widowControl w:val="false"/>
              <w:rPr>
                <w:rFonts w:eastAsia="Calibri"/>
                <w:sz w:val="21"/>
                <w:szCs w:val="21"/>
              </w:rPr>
            </w:pPr>
            <w:r>
              <w:rPr>
                <w:rFonts w:eastAsia="Calibri"/>
                <w:sz w:val="21"/>
                <w:szCs w:val="21"/>
              </w:rPr>
              <w:t>Почтовые марки негашеные номиналом 6 руб.</w:t>
            </w:r>
          </w:p>
        </w:tc>
        <w:tc>
          <w:tcPr>
            <w:tcW w:w="1011" w:type="dxa"/>
            <w:tcBorders>
              <w:left w:val="single" w:sz="4" w:space="0" w:color="000000"/>
              <w:bottom w:val="single" w:sz="4" w:space="0" w:color="000000"/>
            </w:tcBorders>
          </w:tcPr>
          <w:p>
            <w:pPr>
              <w:pStyle w:val="Normal"/>
              <w:widowControl w:val="false"/>
              <w:rPr/>
            </w:pPr>
            <w:hyperlink r:id="rId12" w:tgtFrame="_blank">
              <w:r>
                <w:rPr>
                  <w:rStyle w:val="Hyperlink"/>
                  <w:rFonts w:eastAsia="Calibri"/>
                  <w:sz w:val="21"/>
                  <w:szCs w:val="21"/>
                </w:rPr>
                <w:t>58.19.14.110-00000001</w:t>
              </w:r>
            </w:hyperlink>
          </w:p>
        </w:tc>
        <w:tc>
          <w:tcPr>
            <w:tcW w:w="1763" w:type="dxa"/>
            <w:tcBorders>
              <w:left w:val="single" w:sz="4" w:space="0" w:color="000000"/>
              <w:bottom w:val="single" w:sz="4" w:space="0" w:color="000000"/>
            </w:tcBorders>
          </w:tcPr>
          <w:p>
            <w:pPr>
              <w:pStyle w:val="Normal"/>
              <w:widowControl w:val="false"/>
              <w:rPr>
                <w:rFonts w:eastAsia="Calibri"/>
                <w:sz w:val="21"/>
                <w:szCs w:val="21"/>
              </w:rPr>
            </w:pPr>
            <w:r>
              <w:rPr>
                <w:rFonts w:eastAsia="Calibri"/>
                <w:sz w:val="21"/>
                <w:szCs w:val="21"/>
              </w:rPr>
              <w:t>Вид марки</w:t>
            </w:r>
          </w:p>
          <w:p>
            <w:pPr>
              <w:pStyle w:val="Normal"/>
              <w:widowControl w:val="false"/>
              <w:rPr>
                <w:rFonts w:eastAsia="Calibri"/>
                <w:sz w:val="21"/>
                <w:szCs w:val="21"/>
              </w:rPr>
            </w:pPr>
            <w:r>
              <w:rPr>
                <w:rFonts w:eastAsia="Calibri"/>
                <w:sz w:val="21"/>
                <w:szCs w:val="21"/>
              </w:rPr>
              <w:t>(характеристика является обязательной для применения): Стандартная.</w:t>
            </w:r>
          </w:p>
          <w:p>
            <w:pPr>
              <w:pStyle w:val="Normal"/>
              <w:widowControl w:val="false"/>
              <w:rPr>
                <w:rFonts w:eastAsia="Calibri"/>
                <w:sz w:val="21"/>
                <w:szCs w:val="21"/>
              </w:rPr>
            </w:pPr>
            <w:r>
              <w:rPr>
                <w:rFonts w:eastAsia="Calibri"/>
                <w:sz w:val="21"/>
                <w:szCs w:val="21"/>
              </w:rPr>
              <w:t>Номинал</w:t>
            </w:r>
          </w:p>
          <w:p>
            <w:pPr>
              <w:pStyle w:val="Normal"/>
              <w:widowControl w:val="false"/>
              <w:rPr>
                <w:rFonts w:eastAsia="Calibri"/>
                <w:sz w:val="21"/>
                <w:szCs w:val="21"/>
              </w:rPr>
            </w:pPr>
            <w:r>
              <w:rPr>
                <w:rFonts w:eastAsia="Calibri"/>
                <w:sz w:val="21"/>
                <w:szCs w:val="21"/>
              </w:rPr>
              <w:t>(характеристика является обязательной для применения): 6 рублей;</w:t>
            </w:r>
          </w:p>
          <w:p>
            <w:pPr>
              <w:pStyle w:val="Normal"/>
              <w:widowControl w:val="false"/>
              <w:rPr>
                <w:rFonts w:eastAsia="Calibri"/>
                <w:sz w:val="21"/>
                <w:szCs w:val="21"/>
              </w:rPr>
            </w:pPr>
            <w:r>
              <w:rPr>
                <w:rFonts w:eastAsia="Calibri"/>
                <w:sz w:val="21"/>
                <w:szCs w:val="21"/>
              </w:rPr>
              <w:t>Основа бумаги: Самоклеящаяся;</w:t>
            </w:r>
          </w:p>
          <w:p>
            <w:pPr>
              <w:pStyle w:val="Normal"/>
              <w:widowControl w:val="false"/>
              <w:rPr>
                <w:rFonts w:eastAsia="Calibri"/>
                <w:sz w:val="21"/>
                <w:szCs w:val="21"/>
              </w:rPr>
            </w:pPr>
            <w:r>
              <w:rPr>
                <w:rFonts w:eastAsia="Calibri"/>
                <w:sz w:val="21"/>
                <w:szCs w:val="21"/>
              </w:rPr>
              <w:t>Отметка о гашении</w:t>
            </w:r>
          </w:p>
          <w:p>
            <w:pPr>
              <w:pStyle w:val="Normal"/>
              <w:widowControl w:val="false"/>
              <w:rPr>
                <w:rFonts w:eastAsia="Calibri"/>
                <w:sz w:val="21"/>
                <w:szCs w:val="21"/>
              </w:rPr>
            </w:pPr>
            <w:r>
              <w:rPr>
                <w:rFonts w:eastAsia="Calibri"/>
                <w:sz w:val="21"/>
                <w:szCs w:val="21"/>
              </w:rPr>
              <w:t>(характеристика является обязательной для применения) : нет.</w:t>
            </w:r>
          </w:p>
        </w:tc>
        <w:tc>
          <w:tcPr>
            <w:tcW w:w="856" w:type="dxa"/>
            <w:tcBorders>
              <w:left w:val="single" w:sz="4" w:space="0" w:color="000000"/>
              <w:bottom w:val="single" w:sz="4" w:space="0" w:color="000000"/>
            </w:tcBorders>
          </w:tcPr>
          <w:p>
            <w:pPr>
              <w:pStyle w:val="Normal"/>
              <w:widowControl w:val="false"/>
              <w:jc w:val="center"/>
              <w:rPr>
                <w:sz w:val="24"/>
                <w:szCs w:val="24"/>
              </w:rPr>
            </w:pPr>
            <w:r>
              <w:rPr>
                <w:sz w:val="24"/>
                <w:szCs w:val="24"/>
              </w:rPr>
              <w:t>шт</w:t>
            </w:r>
          </w:p>
        </w:tc>
        <w:tc>
          <w:tcPr>
            <w:tcW w:w="942" w:type="dxa"/>
            <w:tcBorders>
              <w:left w:val="single" w:sz="4" w:space="0" w:color="000000"/>
              <w:bottom w:val="single" w:sz="4" w:space="0" w:color="000000"/>
            </w:tcBorders>
          </w:tcPr>
          <w:p>
            <w:pPr>
              <w:pStyle w:val="Normal"/>
              <w:widowControl w:val="false"/>
              <w:jc w:val="center"/>
              <w:rPr>
                <w:rFonts w:eastAsia="Calibri"/>
                <w:sz w:val="21"/>
                <w:szCs w:val="21"/>
                <w:lang w:val="en-US"/>
              </w:rPr>
            </w:pPr>
            <w:r>
              <w:rPr>
                <w:rFonts w:eastAsia="Calibri"/>
                <w:sz w:val="21"/>
                <w:szCs w:val="21"/>
                <w:lang w:val="en-US"/>
              </w:rPr>
              <w:t>500</w:t>
            </w:r>
          </w:p>
        </w:tc>
        <w:tc>
          <w:tcPr>
            <w:tcW w:w="1187" w:type="dxa"/>
            <w:gridSpan w:val="2"/>
            <w:tcBorders>
              <w:left w:val="single" w:sz="4" w:space="0" w:color="000000"/>
              <w:bottom w:val="single" w:sz="4" w:space="0" w:color="000000"/>
            </w:tcBorders>
          </w:tcPr>
          <w:p>
            <w:pPr>
              <w:pStyle w:val="user5"/>
              <w:rPr/>
            </w:pPr>
            <w:r>
              <w:rPr/>
            </w:r>
          </w:p>
        </w:tc>
        <w:tc>
          <w:tcPr>
            <w:tcW w:w="1189" w:type="dxa"/>
            <w:tcBorders>
              <w:left w:val="single" w:sz="4" w:space="0" w:color="000000"/>
              <w:bottom w:val="single" w:sz="4" w:space="0" w:color="000000"/>
              <w:right w:val="single" w:sz="4" w:space="0" w:color="000000"/>
            </w:tcBorders>
          </w:tcPr>
          <w:p>
            <w:pPr>
              <w:pStyle w:val="user5"/>
              <w:rPr/>
            </w:pPr>
            <w:r>
              <w:rPr/>
            </w:r>
          </w:p>
        </w:tc>
      </w:tr>
      <w:tr>
        <w:trPr/>
        <w:tc>
          <w:tcPr>
            <w:tcW w:w="854" w:type="dxa"/>
            <w:tcBorders>
              <w:left w:val="single" w:sz="4" w:space="0" w:color="000000"/>
              <w:bottom w:val="single" w:sz="4" w:space="0" w:color="000000"/>
            </w:tcBorders>
          </w:tcPr>
          <w:p>
            <w:pPr>
              <w:pStyle w:val="user5"/>
              <w:numPr>
                <w:ilvl w:val="0"/>
                <w:numId w:val="2"/>
              </w:numPr>
              <w:suppressAutoHyphens w:val="true"/>
              <w:bidi w:val="0"/>
              <w:spacing w:before="0" w:after="0"/>
              <w:jc w:val="left"/>
              <w:rPr>
                <w:rFonts w:ascii="Times New Roman" w:hAnsi="Times New Roman" w:eastAsia="Times New Roman" w:cs="Times New Roman"/>
                <w:color w:val="auto"/>
                <w:kern w:val="0"/>
                <w:sz w:val="28"/>
                <w:szCs w:val="28"/>
                <w:lang w:val="ru-RU" w:eastAsia="zh-CN" w:bidi="ar-SA"/>
              </w:rPr>
            </w:pPr>
            <w:r>
              <w:rPr>
                <w:rFonts w:eastAsia="Times New Roman" w:cs="Times New Roman"/>
                <w:color w:val="auto"/>
                <w:kern w:val="0"/>
                <w:sz w:val="28"/>
                <w:szCs w:val="28"/>
                <w:lang w:val="ru-RU" w:eastAsia="zh-CN" w:bidi="ar-SA"/>
              </w:rPr>
            </w:r>
          </w:p>
        </w:tc>
        <w:tc>
          <w:tcPr>
            <w:tcW w:w="1696" w:type="dxa"/>
            <w:tcBorders>
              <w:left w:val="single" w:sz="4" w:space="0" w:color="000000"/>
              <w:bottom w:val="single" w:sz="4" w:space="0" w:color="000000"/>
            </w:tcBorders>
          </w:tcPr>
          <w:p>
            <w:pPr>
              <w:pStyle w:val="Normal"/>
              <w:widowControl w:val="false"/>
              <w:rPr>
                <w:rFonts w:eastAsia="Calibri"/>
                <w:sz w:val="21"/>
                <w:szCs w:val="21"/>
              </w:rPr>
            </w:pPr>
            <w:r>
              <w:rPr>
                <w:rFonts w:eastAsia="Calibri"/>
                <w:sz w:val="21"/>
                <w:szCs w:val="21"/>
              </w:rPr>
              <w:t>Почтовые марки негашеные номиналом 5 руб.</w:t>
            </w:r>
          </w:p>
        </w:tc>
        <w:tc>
          <w:tcPr>
            <w:tcW w:w="1011" w:type="dxa"/>
            <w:tcBorders>
              <w:left w:val="single" w:sz="4" w:space="0" w:color="000000"/>
              <w:bottom w:val="single" w:sz="4" w:space="0" w:color="000000"/>
            </w:tcBorders>
          </w:tcPr>
          <w:p>
            <w:pPr>
              <w:pStyle w:val="Normal"/>
              <w:widowControl w:val="false"/>
              <w:rPr/>
            </w:pPr>
            <w:hyperlink r:id="rId13" w:tgtFrame="_blank">
              <w:r>
                <w:rPr>
                  <w:rStyle w:val="Hyperlink"/>
                  <w:rFonts w:eastAsia="Calibri"/>
                  <w:sz w:val="21"/>
                  <w:szCs w:val="21"/>
                </w:rPr>
                <w:t>58.19.14.110-00000001</w:t>
              </w:r>
            </w:hyperlink>
          </w:p>
        </w:tc>
        <w:tc>
          <w:tcPr>
            <w:tcW w:w="1763" w:type="dxa"/>
            <w:tcBorders>
              <w:left w:val="single" w:sz="4" w:space="0" w:color="000000"/>
              <w:bottom w:val="single" w:sz="4" w:space="0" w:color="000000"/>
            </w:tcBorders>
          </w:tcPr>
          <w:p>
            <w:pPr>
              <w:pStyle w:val="Normal"/>
              <w:widowControl w:val="false"/>
              <w:rPr>
                <w:rFonts w:eastAsia="Calibri"/>
                <w:sz w:val="21"/>
                <w:szCs w:val="21"/>
              </w:rPr>
            </w:pPr>
            <w:r>
              <w:rPr>
                <w:rFonts w:eastAsia="Calibri"/>
                <w:sz w:val="21"/>
                <w:szCs w:val="21"/>
              </w:rPr>
              <w:t>Вид марки</w:t>
            </w:r>
          </w:p>
          <w:p>
            <w:pPr>
              <w:pStyle w:val="Normal"/>
              <w:widowControl w:val="false"/>
              <w:rPr>
                <w:rFonts w:eastAsia="Calibri"/>
                <w:sz w:val="21"/>
                <w:szCs w:val="21"/>
              </w:rPr>
            </w:pPr>
            <w:r>
              <w:rPr>
                <w:rFonts w:eastAsia="Calibri"/>
                <w:sz w:val="21"/>
                <w:szCs w:val="21"/>
              </w:rPr>
              <w:t>(характеристика является обязательной для применения): Стандартная.</w:t>
            </w:r>
          </w:p>
          <w:p>
            <w:pPr>
              <w:pStyle w:val="Normal"/>
              <w:widowControl w:val="false"/>
              <w:rPr>
                <w:rFonts w:eastAsia="Calibri"/>
                <w:sz w:val="21"/>
                <w:szCs w:val="21"/>
              </w:rPr>
            </w:pPr>
            <w:r>
              <w:rPr>
                <w:rFonts w:eastAsia="Calibri"/>
                <w:sz w:val="21"/>
                <w:szCs w:val="21"/>
              </w:rPr>
              <w:t>Номинал</w:t>
            </w:r>
          </w:p>
          <w:p>
            <w:pPr>
              <w:pStyle w:val="Normal"/>
              <w:widowControl w:val="false"/>
              <w:rPr>
                <w:rFonts w:eastAsia="Calibri"/>
                <w:sz w:val="21"/>
                <w:szCs w:val="21"/>
              </w:rPr>
            </w:pPr>
            <w:r>
              <w:rPr>
                <w:rFonts w:eastAsia="Calibri"/>
                <w:sz w:val="21"/>
                <w:szCs w:val="21"/>
              </w:rPr>
              <w:t>(характеристика является обязательной для применения): 5 рублей;</w:t>
            </w:r>
          </w:p>
          <w:p>
            <w:pPr>
              <w:pStyle w:val="Normal"/>
              <w:widowControl w:val="false"/>
              <w:rPr>
                <w:rFonts w:eastAsia="Calibri"/>
                <w:sz w:val="21"/>
                <w:szCs w:val="21"/>
              </w:rPr>
            </w:pPr>
            <w:r>
              <w:rPr>
                <w:rFonts w:eastAsia="Calibri"/>
                <w:sz w:val="21"/>
                <w:szCs w:val="21"/>
              </w:rPr>
              <w:t>Основа бумаги: Самоклеящаяся;</w:t>
            </w:r>
          </w:p>
          <w:p>
            <w:pPr>
              <w:pStyle w:val="Normal"/>
              <w:widowControl w:val="false"/>
              <w:rPr>
                <w:rFonts w:eastAsia="Calibri"/>
                <w:sz w:val="21"/>
                <w:szCs w:val="21"/>
              </w:rPr>
            </w:pPr>
            <w:r>
              <w:rPr>
                <w:rFonts w:eastAsia="Calibri"/>
                <w:sz w:val="21"/>
                <w:szCs w:val="21"/>
              </w:rPr>
              <w:t>Отметка о гашении</w:t>
            </w:r>
          </w:p>
          <w:p>
            <w:pPr>
              <w:pStyle w:val="Normal"/>
              <w:widowControl w:val="false"/>
              <w:rPr>
                <w:rFonts w:eastAsia="Calibri"/>
                <w:sz w:val="21"/>
                <w:szCs w:val="21"/>
              </w:rPr>
            </w:pPr>
            <w:r>
              <w:rPr>
                <w:rFonts w:eastAsia="Calibri"/>
                <w:sz w:val="21"/>
                <w:szCs w:val="21"/>
              </w:rPr>
              <w:t>(характеристика является обязательной для применения) : нет.</w:t>
            </w:r>
          </w:p>
        </w:tc>
        <w:tc>
          <w:tcPr>
            <w:tcW w:w="856" w:type="dxa"/>
            <w:tcBorders>
              <w:left w:val="single" w:sz="4" w:space="0" w:color="000000"/>
              <w:bottom w:val="single" w:sz="4" w:space="0" w:color="000000"/>
            </w:tcBorders>
          </w:tcPr>
          <w:p>
            <w:pPr>
              <w:pStyle w:val="Normal"/>
              <w:widowControl w:val="false"/>
              <w:jc w:val="center"/>
              <w:rPr>
                <w:sz w:val="24"/>
                <w:szCs w:val="24"/>
              </w:rPr>
            </w:pPr>
            <w:r>
              <w:rPr>
                <w:sz w:val="24"/>
                <w:szCs w:val="24"/>
              </w:rPr>
              <w:t>шт</w:t>
            </w:r>
          </w:p>
        </w:tc>
        <w:tc>
          <w:tcPr>
            <w:tcW w:w="942" w:type="dxa"/>
            <w:tcBorders>
              <w:left w:val="single" w:sz="4" w:space="0" w:color="000000"/>
              <w:bottom w:val="single" w:sz="4" w:space="0" w:color="000000"/>
            </w:tcBorders>
          </w:tcPr>
          <w:p>
            <w:pPr>
              <w:pStyle w:val="Normal"/>
              <w:widowControl w:val="false"/>
              <w:jc w:val="center"/>
              <w:rPr>
                <w:rFonts w:eastAsia="Calibri"/>
                <w:sz w:val="21"/>
                <w:szCs w:val="21"/>
                <w:lang w:val="en-US"/>
              </w:rPr>
            </w:pPr>
            <w:r>
              <w:rPr>
                <w:rFonts w:eastAsia="Calibri"/>
                <w:sz w:val="21"/>
                <w:szCs w:val="21"/>
                <w:lang w:val="en-US"/>
              </w:rPr>
              <w:t>500</w:t>
            </w:r>
          </w:p>
        </w:tc>
        <w:tc>
          <w:tcPr>
            <w:tcW w:w="1187" w:type="dxa"/>
            <w:gridSpan w:val="2"/>
            <w:tcBorders>
              <w:left w:val="single" w:sz="4" w:space="0" w:color="000000"/>
              <w:bottom w:val="single" w:sz="4" w:space="0" w:color="000000"/>
            </w:tcBorders>
          </w:tcPr>
          <w:p>
            <w:pPr>
              <w:pStyle w:val="user5"/>
              <w:rPr/>
            </w:pPr>
            <w:r>
              <w:rPr/>
            </w:r>
          </w:p>
        </w:tc>
        <w:tc>
          <w:tcPr>
            <w:tcW w:w="1189" w:type="dxa"/>
            <w:tcBorders>
              <w:left w:val="single" w:sz="4" w:space="0" w:color="000000"/>
              <w:bottom w:val="single" w:sz="4" w:space="0" w:color="000000"/>
              <w:right w:val="single" w:sz="4" w:space="0" w:color="000000"/>
            </w:tcBorders>
          </w:tcPr>
          <w:p>
            <w:pPr>
              <w:pStyle w:val="user5"/>
              <w:rPr/>
            </w:pPr>
            <w:r>
              <w:rPr/>
            </w:r>
          </w:p>
        </w:tc>
      </w:tr>
      <w:tr>
        <w:trPr/>
        <w:tc>
          <w:tcPr>
            <w:tcW w:w="854" w:type="dxa"/>
            <w:tcBorders>
              <w:left w:val="single" w:sz="4" w:space="0" w:color="000000"/>
              <w:bottom w:val="single" w:sz="4" w:space="0" w:color="000000"/>
            </w:tcBorders>
          </w:tcPr>
          <w:p>
            <w:pPr>
              <w:pStyle w:val="user5"/>
              <w:numPr>
                <w:ilvl w:val="0"/>
                <w:numId w:val="2"/>
              </w:numPr>
              <w:suppressAutoHyphens w:val="true"/>
              <w:bidi w:val="0"/>
              <w:spacing w:before="0" w:after="0"/>
              <w:jc w:val="left"/>
              <w:rPr>
                <w:rFonts w:ascii="Times New Roman" w:hAnsi="Times New Roman" w:eastAsia="Times New Roman" w:cs="Times New Roman"/>
                <w:color w:val="auto"/>
                <w:kern w:val="0"/>
                <w:sz w:val="28"/>
                <w:szCs w:val="28"/>
                <w:lang w:val="ru-RU" w:eastAsia="zh-CN" w:bidi="ar-SA"/>
              </w:rPr>
            </w:pPr>
            <w:r>
              <w:rPr>
                <w:rFonts w:eastAsia="Times New Roman" w:cs="Times New Roman"/>
                <w:color w:val="auto"/>
                <w:kern w:val="0"/>
                <w:sz w:val="28"/>
                <w:szCs w:val="28"/>
                <w:lang w:val="ru-RU" w:eastAsia="zh-CN" w:bidi="ar-SA"/>
              </w:rPr>
            </w:r>
          </w:p>
        </w:tc>
        <w:tc>
          <w:tcPr>
            <w:tcW w:w="1696" w:type="dxa"/>
            <w:tcBorders>
              <w:left w:val="single" w:sz="4" w:space="0" w:color="000000"/>
              <w:bottom w:val="single" w:sz="4" w:space="0" w:color="000000"/>
            </w:tcBorders>
          </w:tcPr>
          <w:p>
            <w:pPr>
              <w:pStyle w:val="Normal"/>
              <w:widowControl w:val="false"/>
              <w:rPr>
                <w:rFonts w:eastAsia="Calibri"/>
                <w:sz w:val="21"/>
                <w:szCs w:val="21"/>
              </w:rPr>
            </w:pPr>
            <w:r>
              <w:rPr>
                <w:rFonts w:eastAsia="Calibri"/>
                <w:sz w:val="21"/>
                <w:szCs w:val="21"/>
              </w:rPr>
              <w:t>Почтовые марки негашеные номиналом 4 руб.</w:t>
            </w:r>
          </w:p>
        </w:tc>
        <w:tc>
          <w:tcPr>
            <w:tcW w:w="1011" w:type="dxa"/>
            <w:tcBorders>
              <w:left w:val="single" w:sz="4" w:space="0" w:color="000000"/>
              <w:bottom w:val="single" w:sz="4" w:space="0" w:color="000000"/>
            </w:tcBorders>
          </w:tcPr>
          <w:p>
            <w:pPr>
              <w:pStyle w:val="Normal"/>
              <w:widowControl w:val="false"/>
              <w:rPr/>
            </w:pPr>
            <w:hyperlink r:id="rId14" w:tgtFrame="_blank">
              <w:r>
                <w:rPr>
                  <w:rStyle w:val="Hyperlink"/>
                  <w:rFonts w:eastAsia="Calibri"/>
                  <w:sz w:val="21"/>
                  <w:szCs w:val="21"/>
                </w:rPr>
                <w:t>58.19.14.110-00000001</w:t>
              </w:r>
            </w:hyperlink>
          </w:p>
        </w:tc>
        <w:tc>
          <w:tcPr>
            <w:tcW w:w="1763" w:type="dxa"/>
            <w:tcBorders>
              <w:left w:val="single" w:sz="4" w:space="0" w:color="000000"/>
              <w:bottom w:val="single" w:sz="4" w:space="0" w:color="000000"/>
            </w:tcBorders>
          </w:tcPr>
          <w:p>
            <w:pPr>
              <w:pStyle w:val="Normal"/>
              <w:widowControl w:val="false"/>
              <w:rPr>
                <w:rFonts w:eastAsia="Calibri"/>
                <w:sz w:val="21"/>
                <w:szCs w:val="21"/>
              </w:rPr>
            </w:pPr>
            <w:r>
              <w:rPr>
                <w:rFonts w:eastAsia="Calibri"/>
                <w:sz w:val="21"/>
                <w:szCs w:val="21"/>
              </w:rPr>
              <w:t>Вид марки</w:t>
            </w:r>
          </w:p>
          <w:p>
            <w:pPr>
              <w:pStyle w:val="Normal"/>
              <w:widowControl w:val="false"/>
              <w:rPr>
                <w:rFonts w:eastAsia="Calibri"/>
                <w:sz w:val="21"/>
                <w:szCs w:val="21"/>
              </w:rPr>
            </w:pPr>
            <w:r>
              <w:rPr>
                <w:rFonts w:eastAsia="Calibri"/>
                <w:sz w:val="21"/>
                <w:szCs w:val="21"/>
              </w:rPr>
              <w:t>(характеристика является обязательной для применения): Стандартная.</w:t>
            </w:r>
          </w:p>
          <w:p>
            <w:pPr>
              <w:pStyle w:val="Normal"/>
              <w:widowControl w:val="false"/>
              <w:rPr>
                <w:rFonts w:eastAsia="Calibri"/>
                <w:sz w:val="21"/>
                <w:szCs w:val="21"/>
              </w:rPr>
            </w:pPr>
            <w:r>
              <w:rPr>
                <w:rFonts w:eastAsia="Calibri"/>
                <w:sz w:val="21"/>
                <w:szCs w:val="21"/>
              </w:rPr>
              <w:t>Номинал</w:t>
            </w:r>
          </w:p>
          <w:p>
            <w:pPr>
              <w:pStyle w:val="Normal"/>
              <w:widowControl w:val="false"/>
              <w:rPr>
                <w:rFonts w:eastAsia="Calibri"/>
                <w:sz w:val="21"/>
                <w:szCs w:val="21"/>
              </w:rPr>
            </w:pPr>
            <w:r>
              <w:rPr>
                <w:rFonts w:eastAsia="Calibri"/>
                <w:sz w:val="21"/>
                <w:szCs w:val="21"/>
              </w:rPr>
              <w:t>(характеристика является обязательной для применения): 4 рубля;</w:t>
            </w:r>
          </w:p>
          <w:p>
            <w:pPr>
              <w:pStyle w:val="Normal"/>
              <w:widowControl w:val="false"/>
              <w:rPr>
                <w:rFonts w:eastAsia="Calibri"/>
                <w:sz w:val="21"/>
                <w:szCs w:val="21"/>
              </w:rPr>
            </w:pPr>
            <w:r>
              <w:rPr>
                <w:rFonts w:eastAsia="Calibri"/>
                <w:sz w:val="21"/>
                <w:szCs w:val="21"/>
              </w:rPr>
              <w:t>Основа бумаги: Самоклеящаяся;</w:t>
            </w:r>
          </w:p>
          <w:p>
            <w:pPr>
              <w:pStyle w:val="Normal"/>
              <w:widowControl w:val="false"/>
              <w:rPr>
                <w:rFonts w:eastAsia="Calibri"/>
                <w:sz w:val="21"/>
                <w:szCs w:val="21"/>
              </w:rPr>
            </w:pPr>
            <w:r>
              <w:rPr>
                <w:rFonts w:eastAsia="Calibri"/>
                <w:sz w:val="21"/>
                <w:szCs w:val="21"/>
              </w:rPr>
              <w:t>Отметка о гашении</w:t>
            </w:r>
          </w:p>
          <w:p>
            <w:pPr>
              <w:pStyle w:val="Normal"/>
              <w:widowControl w:val="false"/>
              <w:rPr>
                <w:rFonts w:eastAsia="Calibri"/>
                <w:sz w:val="21"/>
                <w:szCs w:val="21"/>
              </w:rPr>
            </w:pPr>
            <w:r>
              <w:rPr>
                <w:rFonts w:eastAsia="Calibri"/>
                <w:sz w:val="21"/>
                <w:szCs w:val="21"/>
              </w:rPr>
              <w:t>(характеристика является обязательной для применения) : нет.</w:t>
            </w:r>
          </w:p>
        </w:tc>
        <w:tc>
          <w:tcPr>
            <w:tcW w:w="856" w:type="dxa"/>
            <w:tcBorders>
              <w:left w:val="single" w:sz="4" w:space="0" w:color="000000"/>
              <w:bottom w:val="single" w:sz="4" w:space="0" w:color="000000"/>
            </w:tcBorders>
          </w:tcPr>
          <w:p>
            <w:pPr>
              <w:pStyle w:val="Normal"/>
              <w:widowControl w:val="false"/>
              <w:jc w:val="center"/>
              <w:rPr>
                <w:sz w:val="24"/>
                <w:szCs w:val="24"/>
              </w:rPr>
            </w:pPr>
            <w:r>
              <w:rPr>
                <w:sz w:val="24"/>
                <w:szCs w:val="24"/>
              </w:rPr>
              <w:t>шт</w:t>
            </w:r>
          </w:p>
        </w:tc>
        <w:tc>
          <w:tcPr>
            <w:tcW w:w="942" w:type="dxa"/>
            <w:tcBorders>
              <w:left w:val="single" w:sz="4" w:space="0" w:color="000000"/>
              <w:bottom w:val="single" w:sz="4" w:space="0" w:color="000000"/>
            </w:tcBorders>
          </w:tcPr>
          <w:p>
            <w:pPr>
              <w:pStyle w:val="Normal"/>
              <w:widowControl w:val="false"/>
              <w:jc w:val="center"/>
              <w:rPr>
                <w:rFonts w:eastAsia="Calibri"/>
                <w:sz w:val="21"/>
                <w:szCs w:val="21"/>
                <w:lang w:val="en-US"/>
              </w:rPr>
            </w:pPr>
            <w:r>
              <w:rPr>
                <w:rFonts w:eastAsia="Calibri"/>
                <w:sz w:val="21"/>
                <w:szCs w:val="21"/>
                <w:lang w:val="en-US"/>
              </w:rPr>
              <w:t>300</w:t>
            </w:r>
          </w:p>
        </w:tc>
        <w:tc>
          <w:tcPr>
            <w:tcW w:w="1187" w:type="dxa"/>
            <w:gridSpan w:val="2"/>
            <w:tcBorders>
              <w:left w:val="single" w:sz="4" w:space="0" w:color="000000"/>
              <w:bottom w:val="single" w:sz="4" w:space="0" w:color="000000"/>
            </w:tcBorders>
          </w:tcPr>
          <w:p>
            <w:pPr>
              <w:pStyle w:val="user5"/>
              <w:rPr/>
            </w:pPr>
            <w:r>
              <w:rPr/>
            </w:r>
          </w:p>
        </w:tc>
        <w:tc>
          <w:tcPr>
            <w:tcW w:w="1189" w:type="dxa"/>
            <w:tcBorders>
              <w:left w:val="single" w:sz="4" w:space="0" w:color="000000"/>
              <w:bottom w:val="single" w:sz="4" w:space="0" w:color="000000"/>
              <w:right w:val="single" w:sz="4" w:space="0" w:color="000000"/>
            </w:tcBorders>
          </w:tcPr>
          <w:p>
            <w:pPr>
              <w:pStyle w:val="user5"/>
              <w:rPr/>
            </w:pPr>
            <w:r>
              <w:rPr/>
            </w:r>
          </w:p>
        </w:tc>
      </w:tr>
      <w:tr>
        <w:trPr/>
        <w:tc>
          <w:tcPr>
            <w:tcW w:w="854" w:type="dxa"/>
            <w:tcBorders>
              <w:left w:val="single" w:sz="4" w:space="0" w:color="000000"/>
              <w:bottom w:val="single" w:sz="4" w:space="0" w:color="000000"/>
            </w:tcBorders>
          </w:tcPr>
          <w:p>
            <w:pPr>
              <w:pStyle w:val="user5"/>
              <w:numPr>
                <w:ilvl w:val="0"/>
                <w:numId w:val="2"/>
              </w:numPr>
              <w:suppressAutoHyphens w:val="true"/>
              <w:bidi w:val="0"/>
              <w:spacing w:before="0" w:after="0"/>
              <w:jc w:val="left"/>
              <w:rPr>
                <w:rFonts w:ascii="Times New Roman" w:hAnsi="Times New Roman" w:eastAsia="Times New Roman" w:cs="Times New Roman"/>
                <w:color w:val="auto"/>
                <w:kern w:val="0"/>
                <w:sz w:val="28"/>
                <w:szCs w:val="28"/>
                <w:lang w:val="ru-RU" w:eastAsia="zh-CN" w:bidi="ar-SA"/>
              </w:rPr>
            </w:pPr>
            <w:r>
              <w:rPr>
                <w:rFonts w:eastAsia="Times New Roman" w:cs="Times New Roman"/>
                <w:color w:val="auto"/>
                <w:kern w:val="0"/>
                <w:sz w:val="28"/>
                <w:szCs w:val="28"/>
                <w:lang w:val="ru-RU" w:eastAsia="zh-CN" w:bidi="ar-SA"/>
              </w:rPr>
            </w:r>
          </w:p>
        </w:tc>
        <w:tc>
          <w:tcPr>
            <w:tcW w:w="1696" w:type="dxa"/>
            <w:tcBorders>
              <w:left w:val="single" w:sz="4" w:space="0" w:color="000000"/>
              <w:bottom w:val="single" w:sz="4" w:space="0" w:color="000000"/>
            </w:tcBorders>
          </w:tcPr>
          <w:p>
            <w:pPr>
              <w:pStyle w:val="Normal"/>
              <w:widowControl w:val="false"/>
              <w:rPr>
                <w:rFonts w:eastAsia="Calibri"/>
                <w:sz w:val="21"/>
                <w:szCs w:val="21"/>
              </w:rPr>
            </w:pPr>
            <w:r>
              <w:rPr>
                <w:rFonts w:eastAsia="Calibri"/>
                <w:sz w:val="21"/>
                <w:szCs w:val="21"/>
              </w:rPr>
              <w:t>Почтовые марки негашеные номиналом 3 руб.</w:t>
            </w:r>
          </w:p>
        </w:tc>
        <w:tc>
          <w:tcPr>
            <w:tcW w:w="1011" w:type="dxa"/>
            <w:tcBorders>
              <w:left w:val="single" w:sz="4" w:space="0" w:color="000000"/>
              <w:bottom w:val="single" w:sz="4" w:space="0" w:color="000000"/>
            </w:tcBorders>
          </w:tcPr>
          <w:p>
            <w:pPr>
              <w:pStyle w:val="Normal"/>
              <w:widowControl w:val="false"/>
              <w:rPr/>
            </w:pPr>
            <w:hyperlink r:id="rId15" w:tgtFrame="_blank">
              <w:r>
                <w:rPr>
                  <w:rStyle w:val="Hyperlink"/>
                  <w:rFonts w:eastAsia="Calibri"/>
                  <w:sz w:val="21"/>
                  <w:szCs w:val="21"/>
                </w:rPr>
                <w:t>58.19.14.110-00000001</w:t>
              </w:r>
            </w:hyperlink>
          </w:p>
        </w:tc>
        <w:tc>
          <w:tcPr>
            <w:tcW w:w="1763" w:type="dxa"/>
            <w:tcBorders>
              <w:left w:val="single" w:sz="4" w:space="0" w:color="000000"/>
              <w:bottom w:val="single" w:sz="4" w:space="0" w:color="000000"/>
            </w:tcBorders>
          </w:tcPr>
          <w:p>
            <w:pPr>
              <w:pStyle w:val="Normal"/>
              <w:widowControl w:val="false"/>
              <w:rPr>
                <w:rFonts w:eastAsia="Calibri"/>
                <w:sz w:val="21"/>
                <w:szCs w:val="21"/>
              </w:rPr>
            </w:pPr>
            <w:r>
              <w:rPr>
                <w:rFonts w:eastAsia="Calibri"/>
                <w:sz w:val="21"/>
                <w:szCs w:val="21"/>
              </w:rPr>
              <w:t>Вид марки</w:t>
            </w:r>
          </w:p>
          <w:p>
            <w:pPr>
              <w:pStyle w:val="Normal"/>
              <w:widowControl w:val="false"/>
              <w:rPr>
                <w:rFonts w:eastAsia="Calibri"/>
                <w:sz w:val="21"/>
                <w:szCs w:val="21"/>
              </w:rPr>
            </w:pPr>
            <w:r>
              <w:rPr>
                <w:rFonts w:eastAsia="Calibri"/>
                <w:sz w:val="21"/>
                <w:szCs w:val="21"/>
              </w:rPr>
              <w:t>(характеристика является обязательной для применения): Стандартная.</w:t>
            </w:r>
          </w:p>
          <w:p>
            <w:pPr>
              <w:pStyle w:val="Normal"/>
              <w:widowControl w:val="false"/>
              <w:rPr>
                <w:rFonts w:eastAsia="Calibri"/>
                <w:sz w:val="21"/>
                <w:szCs w:val="21"/>
              </w:rPr>
            </w:pPr>
            <w:r>
              <w:rPr>
                <w:rFonts w:eastAsia="Calibri"/>
                <w:sz w:val="21"/>
                <w:szCs w:val="21"/>
              </w:rPr>
              <w:t>Номинал</w:t>
            </w:r>
          </w:p>
          <w:p>
            <w:pPr>
              <w:pStyle w:val="Normal"/>
              <w:widowControl w:val="false"/>
              <w:rPr>
                <w:rFonts w:eastAsia="Calibri"/>
                <w:sz w:val="21"/>
                <w:szCs w:val="21"/>
              </w:rPr>
            </w:pPr>
            <w:r>
              <w:rPr>
                <w:rFonts w:eastAsia="Calibri"/>
                <w:sz w:val="21"/>
                <w:szCs w:val="21"/>
              </w:rPr>
              <w:t>(характеристика является обязательной для применения): 3 рубля;</w:t>
            </w:r>
          </w:p>
          <w:p>
            <w:pPr>
              <w:pStyle w:val="Normal"/>
              <w:widowControl w:val="false"/>
              <w:rPr>
                <w:rFonts w:eastAsia="Calibri"/>
                <w:sz w:val="21"/>
                <w:szCs w:val="21"/>
              </w:rPr>
            </w:pPr>
            <w:r>
              <w:rPr>
                <w:rFonts w:eastAsia="Calibri"/>
                <w:sz w:val="21"/>
                <w:szCs w:val="21"/>
              </w:rPr>
              <w:t>Основа бумаги: Самоклеящаяся;</w:t>
            </w:r>
          </w:p>
          <w:p>
            <w:pPr>
              <w:pStyle w:val="Normal"/>
              <w:widowControl w:val="false"/>
              <w:rPr>
                <w:rFonts w:eastAsia="Calibri"/>
                <w:sz w:val="21"/>
                <w:szCs w:val="21"/>
              </w:rPr>
            </w:pPr>
            <w:r>
              <w:rPr>
                <w:rFonts w:eastAsia="Calibri"/>
                <w:sz w:val="21"/>
                <w:szCs w:val="21"/>
              </w:rPr>
              <w:t>Отметка о гашении</w:t>
            </w:r>
          </w:p>
          <w:p>
            <w:pPr>
              <w:pStyle w:val="Normal"/>
              <w:widowControl w:val="false"/>
              <w:rPr>
                <w:rFonts w:eastAsia="Calibri"/>
                <w:sz w:val="21"/>
                <w:szCs w:val="21"/>
              </w:rPr>
            </w:pPr>
            <w:r>
              <w:rPr>
                <w:rFonts w:eastAsia="Calibri"/>
                <w:sz w:val="21"/>
                <w:szCs w:val="21"/>
              </w:rPr>
              <w:t>(характеристика является обязательной для применения) : нет.</w:t>
            </w:r>
          </w:p>
        </w:tc>
        <w:tc>
          <w:tcPr>
            <w:tcW w:w="856" w:type="dxa"/>
            <w:tcBorders>
              <w:left w:val="single" w:sz="4" w:space="0" w:color="000000"/>
              <w:bottom w:val="single" w:sz="4" w:space="0" w:color="000000"/>
            </w:tcBorders>
          </w:tcPr>
          <w:p>
            <w:pPr>
              <w:pStyle w:val="Normal"/>
              <w:widowControl w:val="false"/>
              <w:jc w:val="center"/>
              <w:rPr>
                <w:sz w:val="24"/>
                <w:szCs w:val="24"/>
              </w:rPr>
            </w:pPr>
            <w:r>
              <w:rPr>
                <w:sz w:val="24"/>
                <w:szCs w:val="24"/>
              </w:rPr>
              <w:t>шт</w:t>
            </w:r>
          </w:p>
        </w:tc>
        <w:tc>
          <w:tcPr>
            <w:tcW w:w="942" w:type="dxa"/>
            <w:tcBorders>
              <w:left w:val="single" w:sz="4" w:space="0" w:color="000000"/>
              <w:bottom w:val="single" w:sz="4" w:space="0" w:color="000000"/>
            </w:tcBorders>
          </w:tcPr>
          <w:p>
            <w:pPr>
              <w:pStyle w:val="Normal"/>
              <w:widowControl w:val="false"/>
              <w:jc w:val="center"/>
              <w:rPr>
                <w:rFonts w:eastAsia="Calibri"/>
                <w:sz w:val="21"/>
                <w:szCs w:val="21"/>
                <w:lang w:val="en-US"/>
              </w:rPr>
            </w:pPr>
            <w:r>
              <w:rPr>
                <w:rFonts w:eastAsia="Calibri"/>
                <w:sz w:val="21"/>
                <w:szCs w:val="21"/>
                <w:lang w:val="en-US"/>
              </w:rPr>
              <w:t>300</w:t>
            </w:r>
          </w:p>
        </w:tc>
        <w:tc>
          <w:tcPr>
            <w:tcW w:w="1187" w:type="dxa"/>
            <w:gridSpan w:val="2"/>
            <w:tcBorders>
              <w:left w:val="single" w:sz="4" w:space="0" w:color="000000"/>
              <w:bottom w:val="single" w:sz="4" w:space="0" w:color="000000"/>
            </w:tcBorders>
          </w:tcPr>
          <w:p>
            <w:pPr>
              <w:pStyle w:val="user5"/>
              <w:rPr/>
            </w:pPr>
            <w:r>
              <w:rPr/>
            </w:r>
          </w:p>
        </w:tc>
        <w:tc>
          <w:tcPr>
            <w:tcW w:w="1189" w:type="dxa"/>
            <w:tcBorders>
              <w:left w:val="single" w:sz="4" w:space="0" w:color="000000"/>
              <w:bottom w:val="single" w:sz="4" w:space="0" w:color="000000"/>
              <w:right w:val="single" w:sz="4" w:space="0" w:color="000000"/>
            </w:tcBorders>
          </w:tcPr>
          <w:p>
            <w:pPr>
              <w:pStyle w:val="user5"/>
              <w:rPr/>
            </w:pPr>
            <w:r>
              <w:rPr/>
            </w:r>
          </w:p>
        </w:tc>
      </w:tr>
      <w:tr>
        <w:trPr/>
        <w:tc>
          <w:tcPr>
            <w:tcW w:w="854" w:type="dxa"/>
            <w:tcBorders>
              <w:left w:val="single" w:sz="4" w:space="0" w:color="000000"/>
              <w:bottom w:val="single" w:sz="4" w:space="0" w:color="000000"/>
            </w:tcBorders>
          </w:tcPr>
          <w:p>
            <w:pPr>
              <w:pStyle w:val="user5"/>
              <w:numPr>
                <w:ilvl w:val="0"/>
                <w:numId w:val="2"/>
              </w:numPr>
              <w:suppressAutoHyphens w:val="true"/>
              <w:bidi w:val="0"/>
              <w:spacing w:before="0" w:after="0"/>
              <w:jc w:val="left"/>
              <w:rPr>
                <w:rFonts w:ascii="Times New Roman" w:hAnsi="Times New Roman" w:eastAsia="Times New Roman" w:cs="Times New Roman"/>
                <w:color w:val="auto"/>
                <w:kern w:val="0"/>
                <w:sz w:val="28"/>
                <w:szCs w:val="28"/>
                <w:lang w:val="ru-RU" w:eastAsia="zh-CN" w:bidi="ar-SA"/>
              </w:rPr>
            </w:pPr>
            <w:r>
              <w:rPr>
                <w:rFonts w:eastAsia="Times New Roman" w:cs="Times New Roman"/>
                <w:color w:val="auto"/>
                <w:kern w:val="0"/>
                <w:sz w:val="28"/>
                <w:szCs w:val="28"/>
                <w:lang w:val="ru-RU" w:eastAsia="zh-CN" w:bidi="ar-SA"/>
              </w:rPr>
            </w:r>
          </w:p>
        </w:tc>
        <w:tc>
          <w:tcPr>
            <w:tcW w:w="1696" w:type="dxa"/>
            <w:tcBorders>
              <w:left w:val="single" w:sz="4" w:space="0" w:color="000000"/>
              <w:bottom w:val="single" w:sz="4" w:space="0" w:color="000000"/>
            </w:tcBorders>
          </w:tcPr>
          <w:p>
            <w:pPr>
              <w:pStyle w:val="Normal"/>
              <w:widowControl w:val="false"/>
              <w:rPr>
                <w:rFonts w:eastAsia="Calibri"/>
                <w:sz w:val="21"/>
                <w:szCs w:val="21"/>
              </w:rPr>
            </w:pPr>
            <w:r>
              <w:rPr>
                <w:rFonts w:eastAsia="Calibri"/>
                <w:sz w:val="21"/>
                <w:szCs w:val="21"/>
              </w:rPr>
              <w:t>Почтовые марки негашеные номиналом 2 руб.</w:t>
            </w:r>
          </w:p>
        </w:tc>
        <w:tc>
          <w:tcPr>
            <w:tcW w:w="1011" w:type="dxa"/>
            <w:tcBorders>
              <w:left w:val="single" w:sz="4" w:space="0" w:color="000000"/>
              <w:bottom w:val="single" w:sz="4" w:space="0" w:color="000000"/>
            </w:tcBorders>
          </w:tcPr>
          <w:p>
            <w:pPr>
              <w:pStyle w:val="Normal"/>
              <w:widowControl w:val="false"/>
              <w:rPr/>
            </w:pPr>
            <w:hyperlink r:id="rId16" w:tgtFrame="_blank">
              <w:r>
                <w:rPr>
                  <w:rStyle w:val="Hyperlink"/>
                  <w:rFonts w:eastAsia="Calibri"/>
                  <w:sz w:val="21"/>
                  <w:szCs w:val="21"/>
                </w:rPr>
                <w:t>58.19.14.110-00000001</w:t>
              </w:r>
            </w:hyperlink>
          </w:p>
        </w:tc>
        <w:tc>
          <w:tcPr>
            <w:tcW w:w="1763" w:type="dxa"/>
            <w:tcBorders>
              <w:left w:val="single" w:sz="4" w:space="0" w:color="000000"/>
              <w:bottom w:val="single" w:sz="4" w:space="0" w:color="000000"/>
            </w:tcBorders>
          </w:tcPr>
          <w:p>
            <w:pPr>
              <w:pStyle w:val="Normal"/>
              <w:widowControl w:val="false"/>
              <w:rPr>
                <w:rFonts w:eastAsia="Calibri"/>
                <w:sz w:val="21"/>
                <w:szCs w:val="21"/>
              </w:rPr>
            </w:pPr>
            <w:r>
              <w:rPr>
                <w:rFonts w:eastAsia="Calibri"/>
                <w:sz w:val="21"/>
                <w:szCs w:val="21"/>
              </w:rPr>
              <w:t>Вид марки</w:t>
            </w:r>
          </w:p>
          <w:p>
            <w:pPr>
              <w:pStyle w:val="Normal"/>
              <w:widowControl w:val="false"/>
              <w:rPr>
                <w:rFonts w:eastAsia="Calibri"/>
                <w:sz w:val="21"/>
                <w:szCs w:val="21"/>
              </w:rPr>
            </w:pPr>
            <w:r>
              <w:rPr>
                <w:rFonts w:eastAsia="Calibri"/>
                <w:sz w:val="21"/>
                <w:szCs w:val="21"/>
              </w:rPr>
              <w:t>(характеристика является обязательной для применения): Стандартная.</w:t>
            </w:r>
          </w:p>
          <w:p>
            <w:pPr>
              <w:pStyle w:val="Normal"/>
              <w:widowControl w:val="false"/>
              <w:rPr>
                <w:rFonts w:eastAsia="Calibri"/>
                <w:sz w:val="21"/>
                <w:szCs w:val="21"/>
              </w:rPr>
            </w:pPr>
            <w:r>
              <w:rPr>
                <w:rFonts w:eastAsia="Calibri"/>
                <w:sz w:val="21"/>
                <w:szCs w:val="21"/>
              </w:rPr>
              <w:t>Номинал</w:t>
            </w:r>
          </w:p>
          <w:p>
            <w:pPr>
              <w:pStyle w:val="Normal"/>
              <w:widowControl w:val="false"/>
              <w:rPr>
                <w:rFonts w:eastAsia="Calibri"/>
                <w:sz w:val="21"/>
                <w:szCs w:val="21"/>
              </w:rPr>
            </w:pPr>
            <w:r>
              <w:rPr>
                <w:rFonts w:eastAsia="Calibri"/>
                <w:sz w:val="21"/>
                <w:szCs w:val="21"/>
              </w:rPr>
              <w:t>(характеристика является обязательной для применения): 2 рубля;</w:t>
            </w:r>
          </w:p>
          <w:p>
            <w:pPr>
              <w:pStyle w:val="Normal"/>
              <w:widowControl w:val="false"/>
              <w:rPr>
                <w:rFonts w:eastAsia="Calibri"/>
                <w:sz w:val="21"/>
                <w:szCs w:val="21"/>
              </w:rPr>
            </w:pPr>
            <w:r>
              <w:rPr>
                <w:rFonts w:eastAsia="Calibri"/>
                <w:sz w:val="21"/>
                <w:szCs w:val="21"/>
              </w:rPr>
              <w:t>Основа бумаги: Самоклеящаяся;</w:t>
            </w:r>
          </w:p>
          <w:p>
            <w:pPr>
              <w:pStyle w:val="Normal"/>
              <w:widowControl w:val="false"/>
              <w:rPr>
                <w:rFonts w:eastAsia="Calibri"/>
                <w:sz w:val="21"/>
                <w:szCs w:val="21"/>
              </w:rPr>
            </w:pPr>
            <w:r>
              <w:rPr>
                <w:rFonts w:eastAsia="Calibri"/>
                <w:sz w:val="21"/>
                <w:szCs w:val="21"/>
              </w:rPr>
              <w:t>Отметка о гашении</w:t>
            </w:r>
          </w:p>
          <w:p>
            <w:pPr>
              <w:pStyle w:val="Normal"/>
              <w:widowControl w:val="false"/>
              <w:rPr>
                <w:rFonts w:eastAsia="Calibri"/>
                <w:sz w:val="21"/>
                <w:szCs w:val="21"/>
              </w:rPr>
            </w:pPr>
            <w:r>
              <w:rPr>
                <w:rFonts w:eastAsia="Calibri"/>
                <w:sz w:val="21"/>
                <w:szCs w:val="21"/>
              </w:rPr>
              <w:t>(характеристика является обязательной для применения) : нет.</w:t>
            </w:r>
          </w:p>
        </w:tc>
        <w:tc>
          <w:tcPr>
            <w:tcW w:w="856" w:type="dxa"/>
            <w:tcBorders>
              <w:left w:val="single" w:sz="4" w:space="0" w:color="000000"/>
              <w:bottom w:val="single" w:sz="4" w:space="0" w:color="000000"/>
            </w:tcBorders>
          </w:tcPr>
          <w:p>
            <w:pPr>
              <w:pStyle w:val="Normal"/>
              <w:widowControl w:val="false"/>
              <w:jc w:val="center"/>
              <w:rPr>
                <w:sz w:val="24"/>
                <w:szCs w:val="24"/>
              </w:rPr>
            </w:pPr>
            <w:r>
              <w:rPr>
                <w:sz w:val="24"/>
                <w:szCs w:val="24"/>
              </w:rPr>
              <w:t>шт</w:t>
            </w:r>
          </w:p>
        </w:tc>
        <w:tc>
          <w:tcPr>
            <w:tcW w:w="942" w:type="dxa"/>
            <w:tcBorders>
              <w:left w:val="single" w:sz="4" w:space="0" w:color="000000"/>
              <w:bottom w:val="single" w:sz="4" w:space="0" w:color="000000"/>
            </w:tcBorders>
          </w:tcPr>
          <w:p>
            <w:pPr>
              <w:pStyle w:val="Normal"/>
              <w:widowControl w:val="false"/>
              <w:jc w:val="center"/>
              <w:rPr>
                <w:rFonts w:eastAsia="Calibri"/>
                <w:sz w:val="21"/>
                <w:szCs w:val="21"/>
                <w:lang w:val="en-US"/>
              </w:rPr>
            </w:pPr>
            <w:r>
              <w:rPr>
                <w:rFonts w:eastAsia="Calibri"/>
                <w:sz w:val="21"/>
                <w:szCs w:val="21"/>
                <w:lang w:val="en-US"/>
              </w:rPr>
              <w:t>500</w:t>
            </w:r>
          </w:p>
        </w:tc>
        <w:tc>
          <w:tcPr>
            <w:tcW w:w="1187" w:type="dxa"/>
            <w:gridSpan w:val="2"/>
            <w:tcBorders>
              <w:left w:val="single" w:sz="4" w:space="0" w:color="000000"/>
              <w:bottom w:val="single" w:sz="4" w:space="0" w:color="000000"/>
            </w:tcBorders>
          </w:tcPr>
          <w:p>
            <w:pPr>
              <w:pStyle w:val="user5"/>
              <w:rPr/>
            </w:pPr>
            <w:r>
              <w:rPr/>
            </w:r>
          </w:p>
        </w:tc>
        <w:tc>
          <w:tcPr>
            <w:tcW w:w="1189" w:type="dxa"/>
            <w:tcBorders>
              <w:left w:val="single" w:sz="4" w:space="0" w:color="000000"/>
              <w:bottom w:val="single" w:sz="4" w:space="0" w:color="000000"/>
              <w:right w:val="single" w:sz="4" w:space="0" w:color="000000"/>
            </w:tcBorders>
          </w:tcPr>
          <w:p>
            <w:pPr>
              <w:pStyle w:val="user5"/>
              <w:rPr/>
            </w:pPr>
            <w:r>
              <w:rPr/>
            </w:r>
          </w:p>
        </w:tc>
      </w:tr>
      <w:tr>
        <w:trPr/>
        <w:tc>
          <w:tcPr>
            <w:tcW w:w="854" w:type="dxa"/>
            <w:tcBorders>
              <w:left w:val="single" w:sz="4" w:space="0" w:color="000000"/>
              <w:bottom w:val="single" w:sz="4" w:space="0" w:color="000000"/>
            </w:tcBorders>
          </w:tcPr>
          <w:p>
            <w:pPr>
              <w:pStyle w:val="user5"/>
              <w:numPr>
                <w:ilvl w:val="0"/>
                <w:numId w:val="2"/>
              </w:numPr>
              <w:suppressAutoHyphens w:val="true"/>
              <w:bidi w:val="0"/>
              <w:spacing w:before="0" w:after="0"/>
              <w:jc w:val="left"/>
              <w:rPr>
                <w:rFonts w:ascii="Times New Roman" w:hAnsi="Times New Roman" w:eastAsia="Times New Roman" w:cs="Times New Roman"/>
                <w:color w:val="auto"/>
                <w:kern w:val="0"/>
                <w:sz w:val="28"/>
                <w:szCs w:val="28"/>
                <w:lang w:val="ru-RU" w:eastAsia="zh-CN" w:bidi="ar-SA"/>
              </w:rPr>
            </w:pPr>
            <w:r>
              <w:rPr>
                <w:rFonts w:eastAsia="Times New Roman" w:cs="Times New Roman"/>
                <w:color w:val="auto"/>
                <w:kern w:val="0"/>
                <w:sz w:val="28"/>
                <w:szCs w:val="28"/>
                <w:lang w:val="ru-RU" w:eastAsia="zh-CN" w:bidi="ar-SA"/>
              </w:rPr>
            </w:r>
          </w:p>
        </w:tc>
        <w:tc>
          <w:tcPr>
            <w:tcW w:w="1696" w:type="dxa"/>
            <w:tcBorders>
              <w:left w:val="single" w:sz="4" w:space="0" w:color="000000"/>
              <w:bottom w:val="single" w:sz="4" w:space="0" w:color="000000"/>
            </w:tcBorders>
          </w:tcPr>
          <w:p>
            <w:pPr>
              <w:pStyle w:val="Normal"/>
              <w:widowControl w:val="false"/>
              <w:rPr>
                <w:rFonts w:eastAsia="Calibri"/>
                <w:sz w:val="21"/>
                <w:szCs w:val="21"/>
              </w:rPr>
            </w:pPr>
            <w:r>
              <w:rPr>
                <w:rFonts w:eastAsia="Calibri"/>
                <w:sz w:val="21"/>
                <w:szCs w:val="21"/>
              </w:rPr>
              <w:t>Почтовые марки негашеные номиналом 1 руб.</w:t>
            </w:r>
          </w:p>
        </w:tc>
        <w:tc>
          <w:tcPr>
            <w:tcW w:w="1011" w:type="dxa"/>
            <w:tcBorders>
              <w:left w:val="single" w:sz="4" w:space="0" w:color="000000"/>
              <w:bottom w:val="single" w:sz="4" w:space="0" w:color="000000"/>
            </w:tcBorders>
          </w:tcPr>
          <w:p>
            <w:pPr>
              <w:pStyle w:val="Normal"/>
              <w:widowControl w:val="false"/>
              <w:rPr/>
            </w:pPr>
            <w:hyperlink r:id="rId17" w:tgtFrame="_blank">
              <w:r>
                <w:rPr>
                  <w:rStyle w:val="Hyperlink"/>
                  <w:rFonts w:eastAsia="Calibri"/>
                  <w:sz w:val="21"/>
                  <w:szCs w:val="21"/>
                </w:rPr>
                <w:t>58.19.14.110-00000001</w:t>
              </w:r>
            </w:hyperlink>
          </w:p>
        </w:tc>
        <w:tc>
          <w:tcPr>
            <w:tcW w:w="1763" w:type="dxa"/>
            <w:tcBorders>
              <w:left w:val="single" w:sz="4" w:space="0" w:color="000000"/>
              <w:bottom w:val="single" w:sz="4" w:space="0" w:color="000000"/>
            </w:tcBorders>
          </w:tcPr>
          <w:p>
            <w:pPr>
              <w:pStyle w:val="Normal"/>
              <w:widowControl w:val="false"/>
              <w:rPr>
                <w:rFonts w:eastAsia="Calibri"/>
                <w:sz w:val="21"/>
                <w:szCs w:val="21"/>
              </w:rPr>
            </w:pPr>
            <w:r>
              <w:rPr>
                <w:rFonts w:eastAsia="Calibri"/>
                <w:sz w:val="21"/>
                <w:szCs w:val="21"/>
              </w:rPr>
              <w:t>Вид марки</w:t>
            </w:r>
          </w:p>
          <w:p>
            <w:pPr>
              <w:pStyle w:val="Normal"/>
              <w:widowControl w:val="false"/>
              <w:rPr>
                <w:rFonts w:eastAsia="Calibri"/>
                <w:sz w:val="21"/>
                <w:szCs w:val="21"/>
              </w:rPr>
            </w:pPr>
            <w:r>
              <w:rPr>
                <w:rFonts w:eastAsia="Calibri"/>
                <w:sz w:val="21"/>
                <w:szCs w:val="21"/>
              </w:rPr>
              <w:t>(характеристика является обязательной для применения): Стандартная.</w:t>
            </w:r>
          </w:p>
          <w:p>
            <w:pPr>
              <w:pStyle w:val="Normal"/>
              <w:widowControl w:val="false"/>
              <w:rPr>
                <w:rFonts w:eastAsia="Calibri"/>
                <w:sz w:val="21"/>
                <w:szCs w:val="21"/>
              </w:rPr>
            </w:pPr>
            <w:r>
              <w:rPr>
                <w:rFonts w:eastAsia="Calibri"/>
                <w:sz w:val="21"/>
                <w:szCs w:val="21"/>
              </w:rPr>
              <w:t>Номинал</w:t>
            </w:r>
          </w:p>
          <w:p>
            <w:pPr>
              <w:pStyle w:val="Normal"/>
              <w:widowControl w:val="false"/>
              <w:rPr>
                <w:rFonts w:eastAsia="Calibri"/>
                <w:sz w:val="21"/>
                <w:szCs w:val="21"/>
              </w:rPr>
            </w:pPr>
            <w:r>
              <w:rPr>
                <w:rFonts w:eastAsia="Calibri"/>
                <w:sz w:val="21"/>
                <w:szCs w:val="21"/>
              </w:rPr>
              <w:t>(характеристика является обязательной для применения): 1 рубль;</w:t>
            </w:r>
          </w:p>
          <w:p>
            <w:pPr>
              <w:pStyle w:val="Normal"/>
              <w:widowControl w:val="false"/>
              <w:rPr>
                <w:rFonts w:eastAsia="Calibri"/>
                <w:sz w:val="21"/>
                <w:szCs w:val="21"/>
              </w:rPr>
            </w:pPr>
            <w:r>
              <w:rPr>
                <w:rFonts w:eastAsia="Calibri"/>
                <w:sz w:val="21"/>
                <w:szCs w:val="21"/>
              </w:rPr>
              <w:t>Основа бумаги: Самоклеящаяся;</w:t>
            </w:r>
          </w:p>
          <w:p>
            <w:pPr>
              <w:pStyle w:val="Normal"/>
              <w:widowControl w:val="false"/>
              <w:rPr>
                <w:rFonts w:eastAsia="Calibri"/>
                <w:sz w:val="21"/>
                <w:szCs w:val="21"/>
              </w:rPr>
            </w:pPr>
            <w:r>
              <w:rPr>
                <w:rFonts w:eastAsia="Calibri"/>
                <w:sz w:val="21"/>
                <w:szCs w:val="21"/>
              </w:rPr>
              <w:t>Отметка о гашении</w:t>
            </w:r>
          </w:p>
          <w:p>
            <w:pPr>
              <w:pStyle w:val="Normal"/>
              <w:widowControl w:val="false"/>
              <w:rPr>
                <w:rFonts w:eastAsia="Calibri"/>
                <w:sz w:val="21"/>
                <w:szCs w:val="21"/>
              </w:rPr>
            </w:pPr>
            <w:r>
              <w:rPr>
                <w:rFonts w:eastAsia="Calibri"/>
                <w:sz w:val="21"/>
                <w:szCs w:val="21"/>
              </w:rPr>
              <w:t>(характеристика является обязательной для применения) : нет.</w:t>
            </w:r>
          </w:p>
        </w:tc>
        <w:tc>
          <w:tcPr>
            <w:tcW w:w="856" w:type="dxa"/>
            <w:tcBorders>
              <w:left w:val="single" w:sz="4" w:space="0" w:color="000000"/>
              <w:bottom w:val="single" w:sz="4" w:space="0" w:color="000000"/>
            </w:tcBorders>
          </w:tcPr>
          <w:p>
            <w:pPr>
              <w:pStyle w:val="Normal"/>
              <w:widowControl w:val="false"/>
              <w:jc w:val="center"/>
              <w:rPr>
                <w:sz w:val="24"/>
                <w:szCs w:val="24"/>
              </w:rPr>
            </w:pPr>
            <w:r>
              <w:rPr>
                <w:sz w:val="24"/>
                <w:szCs w:val="24"/>
              </w:rPr>
              <w:t>шт</w:t>
            </w:r>
          </w:p>
        </w:tc>
        <w:tc>
          <w:tcPr>
            <w:tcW w:w="942" w:type="dxa"/>
            <w:tcBorders>
              <w:left w:val="single" w:sz="4" w:space="0" w:color="000000"/>
              <w:bottom w:val="single" w:sz="4" w:space="0" w:color="000000"/>
            </w:tcBorders>
          </w:tcPr>
          <w:p>
            <w:pPr>
              <w:pStyle w:val="Normal"/>
              <w:widowControl w:val="false"/>
              <w:jc w:val="center"/>
              <w:rPr>
                <w:rFonts w:eastAsia="Calibri"/>
                <w:sz w:val="21"/>
                <w:szCs w:val="21"/>
                <w:lang w:val="en-US"/>
              </w:rPr>
            </w:pPr>
            <w:r>
              <w:rPr>
                <w:rFonts w:eastAsia="Calibri"/>
                <w:sz w:val="21"/>
                <w:szCs w:val="21"/>
                <w:lang w:val="en-US"/>
              </w:rPr>
              <w:t>200</w:t>
            </w:r>
          </w:p>
        </w:tc>
        <w:tc>
          <w:tcPr>
            <w:tcW w:w="1187" w:type="dxa"/>
            <w:gridSpan w:val="2"/>
            <w:tcBorders>
              <w:left w:val="single" w:sz="4" w:space="0" w:color="000000"/>
              <w:bottom w:val="single" w:sz="4" w:space="0" w:color="000000"/>
            </w:tcBorders>
          </w:tcPr>
          <w:p>
            <w:pPr>
              <w:pStyle w:val="user5"/>
              <w:rPr/>
            </w:pPr>
            <w:r>
              <w:rPr/>
            </w:r>
          </w:p>
        </w:tc>
        <w:tc>
          <w:tcPr>
            <w:tcW w:w="1189" w:type="dxa"/>
            <w:tcBorders>
              <w:left w:val="single" w:sz="4" w:space="0" w:color="000000"/>
              <w:bottom w:val="single" w:sz="4" w:space="0" w:color="000000"/>
              <w:right w:val="single" w:sz="4" w:space="0" w:color="000000"/>
            </w:tcBorders>
          </w:tcPr>
          <w:p>
            <w:pPr>
              <w:pStyle w:val="user5"/>
              <w:rPr/>
            </w:pPr>
            <w:r>
              <w:rPr/>
            </w:r>
          </w:p>
        </w:tc>
      </w:tr>
      <w:tr>
        <w:trPr/>
        <w:tc>
          <w:tcPr>
            <w:tcW w:w="8309" w:type="dxa"/>
            <w:gridSpan w:val="7"/>
            <w:tcBorders>
              <w:left w:val="single" w:sz="4" w:space="0" w:color="000000"/>
              <w:bottom w:val="single" w:sz="4" w:space="0" w:color="000000"/>
            </w:tcBorders>
          </w:tcPr>
          <w:p>
            <w:pPr>
              <w:pStyle w:val="user5"/>
              <w:jc w:val="right"/>
              <w:rPr>
                <w:lang w:val="ru-RU"/>
              </w:rPr>
            </w:pPr>
            <w:r>
              <w:rPr>
                <w:lang w:val="ru-RU"/>
              </w:rPr>
              <w:t>Итого:</w:t>
            </w:r>
          </w:p>
        </w:tc>
        <w:tc>
          <w:tcPr>
            <w:tcW w:w="1189" w:type="dxa"/>
            <w:gridSpan w:val="2"/>
            <w:tcBorders>
              <w:left w:val="single" w:sz="4" w:space="0" w:color="000000"/>
              <w:bottom w:val="single" w:sz="4" w:space="0" w:color="000000"/>
              <w:right w:val="single" w:sz="4" w:space="0" w:color="000000"/>
            </w:tcBorders>
          </w:tcPr>
          <w:p>
            <w:pPr>
              <w:pStyle w:val="user5"/>
              <w:rPr/>
            </w:pPr>
            <w:r>
              <w:rPr/>
            </w:r>
          </w:p>
        </w:tc>
      </w:tr>
    </w:tbl>
    <w:p>
      <w:pPr>
        <w:pStyle w:val="Normal"/>
        <w:jc w:val="center"/>
        <w:rPr>
          <w:b/>
          <w:bCs/>
          <w:sz w:val="26"/>
          <w:szCs w:val="26"/>
          <w:lang w:eastAsia="ru-RU"/>
        </w:rPr>
      </w:pPr>
      <w:r>
        <w:rPr>
          <w:b/>
          <w:bCs/>
          <w:sz w:val="26"/>
          <w:szCs w:val="26"/>
          <w:lang w:eastAsia="ru-RU"/>
        </w:rPr>
      </w:r>
    </w:p>
    <w:p>
      <w:pPr>
        <w:pStyle w:val="Normal"/>
        <w:jc w:val="center"/>
        <w:rPr>
          <w:b/>
          <w:bCs/>
          <w:sz w:val="26"/>
          <w:szCs w:val="26"/>
          <w:lang w:eastAsia="ru-RU"/>
        </w:rPr>
      </w:pPr>
      <w:r>
        <w:rPr>
          <w:b/>
          <w:bCs/>
          <w:sz w:val="26"/>
          <w:szCs w:val="26"/>
          <w:lang w:eastAsia="ru-RU"/>
        </w:rPr>
      </w:r>
    </w:p>
    <w:p>
      <w:pPr>
        <w:pStyle w:val="Normal"/>
        <w:jc w:val="center"/>
        <w:rPr>
          <w:b/>
          <w:bCs/>
          <w:sz w:val="26"/>
          <w:szCs w:val="26"/>
          <w:lang w:eastAsia="ru-RU"/>
        </w:rPr>
      </w:pPr>
      <w:r>
        <w:rPr>
          <w:b/>
          <w:bCs/>
          <w:sz w:val="26"/>
          <w:szCs w:val="26"/>
          <w:lang w:eastAsia="ru-RU"/>
        </w:rPr>
      </w:r>
    </w:p>
    <w:p>
      <w:pPr>
        <w:pStyle w:val="Normal"/>
        <w:jc w:val="both"/>
        <w:rPr>
          <w:sz w:val="26"/>
          <w:szCs w:val="26"/>
        </w:rPr>
      </w:pPr>
      <w:r>
        <w:rPr>
          <w:sz w:val="26"/>
          <w:szCs w:val="26"/>
        </w:rPr>
        <w:t xml:space="preserve">Государственный заказчик        </w:t>
        <w:tab/>
        <w:tab/>
        <w:t xml:space="preserve">                Поставщик</w:t>
      </w:r>
    </w:p>
    <w:p>
      <w:pPr>
        <w:pStyle w:val="Normal"/>
        <w:jc w:val="both"/>
        <w:rPr>
          <w:sz w:val="26"/>
          <w:szCs w:val="26"/>
        </w:rPr>
      </w:pPr>
      <w:r>
        <w:rPr>
          <w:sz w:val="26"/>
          <w:szCs w:val="26"/>
        </w:rPr>
      </w:r>
    </w:p>
    <w:p>
      <w:pPr>
        <w:pStyle w:val="Normal"/>
        <w:shd w:val="clear" w:color="auto" w:fill="FFFFFF"/>
        <w:jc w:val="both"/>
        <w:rPr>
          <w:sz w:val="26"/>
          <w:szCs w:val="26"/>
        </w:rPr>
      </w:pPr>
      <w:r>
        <w:rPr>
          <w:sz w:val="26"/>
          <w:szCs w:val="26"/>
        </w:rPr>
        <w:t xml:space="preserve">______________ __________                             ______________ </w:t>
      </w:r>
    </w:p>
    <w:p>
      <w:pPr>
        <w:pStyle w:val="Normal"/>
        <w:shd w:val="clear" w:color="auto" w:fill="FFFFFF"/>
        <w:jc w:val="both"/>
        <w:rPr>
          <w:sz w:val="26"/>
          <w:szCs w:val="26"/>
        </w:rPr>
      </w:pPr>
      <w:r>
        <w:rPr>
          <w:sz w:val="26"/>
          <w:szCs w:val="26"/>
        </w:rPr>
        <w:t>М.П.</w:t>
        <w:tab/>
        <w:tab/>
        <w:tab/>
        <w:tab/>
        <w:tab/>
        <w:tab/>
        <w:tab/>
        <w:t xml:space="preserve">     М.П.</w:t>
      </w:r>
    </w:p>
    <w:p>
      <w:pPr>
        <w:pStyle w:val="Normal"/>
        <w:rPr>
          <w:rFonts w:eastAsia="Calibri"/>
          <w:lang w:eastAsia="en-US"/>
        </w:rPr>
      </w:pPr>
      <w:r>
        <w:rPr>
          <w:rFonts w:eastAsia="Calibri"/>
          <w:lang w:eastAsia="en-US"/>
        </w:rPr>
      </w:r>
    </w:p>
    <w:sectPr>
      <w:type w:val="nextPage"/>
      <w:pgSz w:w="11906" w:h="16838"/>
      <w:pgMar w:left="1701" w:right="707" w:gutter="0" w:header="0" w:top="851" w:footer="0" w:bottom="1021"/>
      <w:pgNumType w:fmt="decimal"/>
      <w:formProt w:val="false"/>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swiss"/>
    <w:pitch w:val="variable"/>
  </w:font>
  <w:font w:name="Arial">
    <w:charset w:val="cc"/>
    <w:family w:val="swiss"/>
    <w:pitch w:val="variable"/>
  </w:font>
  <w:font w:name="XO Thames">
    <w:altName w:val="Times New Roman"/>
    <w:charset w:val="cc"/>
    <w:family w:val="roman"/>
    <w:pitch w:val="variable"/>
  </w:font>
  <w:font w:name="XO Thames">
    <w:charset w:val="cc"/>
    <w:family w:val="roman"/>
    <w:pitch w:val="variable"/>
  </w:font>
  <w:font w:name="XO Thames">
    <w:altName w:val="Cambria"/>
    <w:charset w:val="cc"/>
    <w:family w:val="roman"/>
    <w:pitch w:val="variable"/>
  </w:font>
  <w:font w:name="PT Astra Serif">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decimal"/>
      <w:lvlText w:val="%1.%2"/>
      <w:lvlJc w:val="left"/>
      <w:pPr>
        <w:tabs>
          <w:tab w:val="num" w:pos="0"/>
        </w:tabs>
        <w:ind w:left="840" w:hanging="480"/>
      </w:pPr>
      <w:rPr/>
    </w:lvl>
    <w:lvl w:ilvl="2">
      <w:start w:val="1"/>
      <w:numFmt w:val="decimal"/>
      <w:lvlText w:val="%1.%2.%3"/>
      <w:lvlJc w:val="left"/>
      <w:pPr>
        <w:tabs>
          <w:tab w:val="num" w:pos="0"/>
        </w:tabs>
        <w:ind w:left="1080" w:hanging="720"/>
      </w:pPr>
      <w:rPr/>
    </w:lvl>
    <w:lvl w:ilvl="3">
      <w:start w:val="1"/>
      <w:numFmt w:val="decimal"/>
      <w:lvlText w:val="%1.%2.%3.%4"/>
      <w:lvlJc w:val="left"/>
      <w:pPr>
        <w:tabs>
          <w:tab w:val="num" w:pos="0"/>
        </w:tabs>
        <w:ind w:left="1080" w:hanging="72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800" w:hanging="1440"/>
      </w:pPr>
      <w:rPr/>
    </w:lvl>
    <w:lvl w:ilvl="6">
      <w:start w:val="1"/>
      <w:numFmt w:val="decimal"/>
      <w:lvlText w:val="%1.%2.%3.%4.%5.%6.%7"/>
      <w:lvlJc w:val="left"/>
      <w:pPr>
        <w:tabs>
          <w:tab w:val="num" w:pos="0"/>
        </w:tabs>
        <w:ind w:left="1800" w:hanging="1440"/>
      </w:pPr>
      <w:rPr/>
    </w:lvl>
    <w:lvl w:ilvl="7">
      <w:start w:val="1"/>
      <w:numFmt w:val="decimal"/>
      <w:lvlText w:val="%1.%2.%3.%4.%5.%6.%7.%8"/>
      <w:lvlJc w:val="left"/>
      <w:pPr>
        <w:tabs>
          <w:tab w:val="num" w:pos="0"/>
        </w:tabs>
        <w:ind w:left="2160" w:hanging="1800"/>
      </w:pPr>
      <w:rPr/>
    </w:lvl>
    <w:lvl w:ilvl="8">
      <w:start w:val="1"/>
      <w:numFmt w:val="decimal"/>
      <w:lvlText w:val="%1.%2.%3.%4.%5.%6.%7.%8.%9"/>
      <w:lvlJc w:val="left"/>
      <w:pPr>
        <w:tabs>
          <w:tab w:val="num" w:pos="0"/>
        </w:tabs>
        <w:ind w:left="2160" w:hanging="1800"/>
      </w:pPr>
      <w:rPr/>
    </w:lvl>
  </w:abstractNum>
  <w:abstractNum w:abstractNumId="2">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hyphenationZone w:val="36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 w:type="paragraph" w:styleId="Heading2">
    <w:name w:val="heading 2"/>
    <w:basedOn w:val="Style16"/>
    <w:next w:val="BodyText"/>
    <w:qFormat/>
    <w:pPr>
      <w:spacing w:before="200" w:after="120"/>
      <w:outlineLvl w:val="1"/>
    </w:pPr>
    <w:rPr>
      <w:rFonts w:ascii="Liberation Serif" w:hAnsi="Liberation Serif" w:eastAsia="Segoe UI" w:cs="Tahoma"/>
      <w:b/>
      <w:bCs/>
      <w:sz w:val="36"/>
      <w:szCs w:val="36"/>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yle13" w:customStyle="1">
    <w:name w:val="Верхний колонтитул Знак"/>
    <w:basedOn w:val="DefaultParagraphFont"/>
    <w:qFormat/>
    <w:rPr>
      <w:rFonts w:ascii="Times New Roman" w:hAnsi="Times New Roman" w:eastAsia="Times New Roman" w:cs="Times New Roman"/>
      <w:sz w:val="20"/>
      <w:szCs w:val="20"/>
      <w:lang w:eastAsia="zh-CN"/>
    </w:rPr>
  </w:style>
  <w:style w:type="character" w:styleId="Style14" w:customStyle="1">
    <w:name w:val="Нижний колонтитул Знак"/>
    <w:basedOn w:val="DefaultParagraphFont"/>
    <w:qFormat/>
    <w:rPr>
      <w:rFonts w:ascii="Times New Roman" w:hAnsi="Times New Roman" w:eastAsia="Times New Roman" w:cs="Times New Roman"/>
      <w:sz w:val="20"/>
      <w:szCs w:val="20"/>
      <w:lang w:eastAsia="zh-CN"/>
    </w:rPr>
  </w:style>
  <w:style w:type="character" w:styleId="Style15" w:customStyle="1">
    <w:name w:val="Текст выноски Знак"/>
    <w:basedOn w:val="DefaultParagraphFont"/>
    <w:uiPriority w:val="99"/>
    <w:semiHidden/>
    <w:qFormat/>
    <w:rPr>
      <w:rFonts w:ascii="Tahoma" w:hAnsi="Tahoma" w:eastAsia="Times New Roman" w:cs="Tahoma"/>
      <w:sz w:val="16"/>
      <w:szCs w:val="16"/>
      <w:lang w:eastAsia="zh-CN"/>
    </w:rPr>
  </w:style>
  <w:style w:type="character" w:styleId="Hyperlink" w:customStyle="1">
    <w:name w:val="Hyperlink"/>
    <w:qFormat/>
    <w:rPr>
      <w:color w:val="000080"/>
      <w:u w:val="single"/>
    </w:rPr>
  </w:style>
  <w:style w:type="character" w:styleId="user" w:customStyle="1">
    <w:name w:val="Символ нумерации (user)"/>
    <w:qFormat/>
    <w:rPr/>
  </w:style>
  <w:style w:type="character" w:styleId="FollowedHyperlink">
    <w:name w:val="FollowedHyperlink"/>
    <w:rPr>
      <w:color w:val="800000"/>
      <w:u w:val="single"/>
    </w:rPr>
  </w:style>
  <w:style w:type="paragraph" w:styleId="Style16">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7">
    <w:name w:val="Указатель"/>
    <w:basedOn w:val="Normal"/>
    <w:qFormat/>
    <w:pPr>
      <w:suppressLineNumbers/>
    </w:pPr>
    <w:rPr>
      <w:rFonts w:cs="Arial"/>
    </w:rPr>
  </w:style>
  <w:style w:type="paragraph" w:styleId="user1" w:customStyle="1">
    <w:name w:val="Заголовок (user)"/>
    <w:basedOn w:val="Normal"/>
    <w:next w:val="BodyText"/>
    <w:qFormat/>
    <w:pPr>
      <w:keepNext w:val="true"/>
      <w:spacing w:before="240" w:after="120"/>
    </w:pPr>
    <w:rPr>
      <w:rFonts w:ascii="Liberation Sans" w:hAnsi="Liberation Sans" w:eastAsia="Microsoft YaHei" w:cs="Arial Unicode MS"/>
    </w:rPr>
  </w:style>
  <w:style w:type="paragraph" w:styleId="user2">
    <w:name w:val="Указатель (user)"/>
    <w:basedOn w:val="Normal"/>
    <w:qFormat/>
    <w:pPr>
      <w:suppressLineNumbers/>
    </w:pPr>
    <w:rPr>
      <w:rFonts w:cs="Arial Unicode MS"/>
    </w:rPr>
  </w:style>
  <w:style w:type="paragraph" w:styleId="IndexHeading">
    <w:name w:val="index heading"/>
    <w:basedOn w:val="Normal"/>
    <w:qFormat/>
    <w:pPr>
      <w:suppressLineNumbers/>
    </w:pPr>
    <w:rPr>
      <w:rFonts w:cs="Arial Unicode MS"/>
    </w:rPr>
  </w:style>
  <w:style w:type="paragraph" w:styleId="Style18" w:customStyle="1">
    <w:name w:val="Верхний и нижний колонтитулы"/>
    <w:basedOn w:val="Normal"/>
    <w:qFormat/>
    <w:pPr/>
    <w:rPr/>
  </w:style>
  <w:style w:type="paragraph" w:styleId="Style19">
    <w:name w:val="Колонтитулы"/>
    <w:basedOn w:val="Normal"/>
    <w:qFormat/>
    <w:pPr/>
    <w:rPr/>
  </w:style>
  <w:style w:type="paragraph" w:styleId="user3">
    <w:name w:val="Колонтитулы (user)"/>
    <w:basedOn w:val="Normal"/>
    <w:qFormat/>
    <w:pPr/>
    <w:rPr/>
  </w:style>
  <w:style w:type="paragraph" w:styleId="Header">
    <w:name w:val="header"/>
    <w:basedOn w:val="Normal"/>
    <w:pPr>
      <w:tabs>
        <w:tab w:val="clear" w:pos="708"/>
        <w:tab w:val="center" w:pos="4153" w:leader="none"/>
        <w:tab w:val="right" w:pos="8306" w:leader="none"/>
      </w:tabs>
    </w:pPr>
    <w:rPr>
      <w:sz w:val="20"/>
      <w:szCs w:val="20"/>
    </w:rPr>
  </w:style>
  <w:style w:type="paragraph" w:styleId="Footer">
    <w:name w:val="footer"/>
    <w:basedOn w:val="Normal"/>
    <w:pPr>
      <w:tabs>
        <w:tab w:val="clear" w:pos="708"/>
        <w:tab w:val="center" w:pos="4153" w:leader="none"/>
        <w:tab w:val="right" w:pos="8306" w:leader="none"/>
      </w:tabs>
    </w:pPr>
    <w:rPr>
      <w:sz w:val="20"/>
      <w:szCs w:val="20"/>
    </w:rPr>
  </w:style>
  <w:style w:type="paragraph" w:styleId="ConsPlusNormal" w:customStyle="1">
    <w:name w:val="ConsPlusNormal"/>
    <w:qFormat/>
    <w:pPr>
      <w:widowControl w:val="false"/>
      <w:suppressAutoHyphens w:val="true"/>
      <w:bidi w:val="0"/>
      <w:spacing w:before="0" w:after="0"/>
      <w:ind w:firstLine="720"/>
      <w:jc w:val="left"/>
    </w:pPr>
    <w:rPr>
      <w:rFonts w:ascii="Arial" w:hAnsi="Arial" w:eastAsia="Arial" w:cs="Arial"/>
      <w:color w:val="auto"/>
      <w:kern w:val="0"/>
      <w:sz w:val="20"/>
      <w:szCs w:val="20"/>
      <w:lang w:val="ru-RU" w:eastAsia="zh-CN" w:bidi="ar-SA"/>
    </w:rPr>
  </w:style>
  <w:style w:type="paragraph" w:styleId="BalloonText">
    <w:name w:val="Balloon Text"/>
    <w:basedOn w:val="Normal"/>
    <w:uiPriority w:val="99"/>
    <w:semiHidden/>
    <w:unhideWhenUsed/>
    <w:qFormat/>
    <w:pPr/>
    <w:rPr>
      <w:rFonts w:ascii="Tahoma" w:hAnsi="Tahoma" w:cs="Tahoma"/>
      <w:sz w:val="16"/>
      <w:szCs w:val="16"/>
    </w:rPr>
  </w:style>
  <w:style w:type="paragraph" w:styleId="1" w:customStyle="1">
    <w:name w:val="Абзац списка1"/>
    <w:basedOn w:val="Normal"/>
    <w:qFormat/>
    <w:pPr>
      <w:spacing w:lineRule="auto" w:line="276" w:before="0" w:after="200"/>
      <w:ind w:hanging="0" w:left="720"/>
    </w:pPr>
    <w:rPr>
      <w:rFonts w:ascii="Calibri" w:hAnsi="Calibri" w:cs="Calibri"/>
      <w:sz w:val="22"/>
      <w:szCs w:val="22"/>
    </w:rPr>
  </w:style>
  <w:style w:type="paragraph" w:styleId="ListParagraph">
    <w:name w:val="List Paragraph"/>
    <w:basedOn w:val="Normal"/>
    <w:uiPriority w:val="34"/>
    <w:qFormat/>
    <w:pPr>
      <w:spacing w:before="0" w:after="0"/>
      <w:ind w:hanging="0" w:left="720"/>
      <w:contextualSpacing/>
    </w:pPr>
    <w:rPr/>
  </w:style>
  <w:style w:type="paragraph" w:styleId="msobodytextcxspmiddle" w:customStyle="1">
    <w:name w:val="msobodytextcxspmiddle"/>
    <w:basedOn w:val="Normal"/>
    <w:qFormat/>
    <w:pPr>
      <w:suppressAutoHyphens w:val="false"/>
      <w:spacing w:beforeAutospacing="1" w:afterAutospacing="1"/>
    </w:pPr>
    <w:rPr>
      <w:sz w:val="24"/>
      <w:szCs w:val="24"/>
      <w:lang w:eastAsia="ru-RU"/>
    </w:rPr>
  </w:style>
  <w:style w:type="paragraph" w:styleId="user4" w:customStyle="1">
    <w:name w:val="Содержимое врезки (user)"/>
    <w:basedOn w:val="Normal"/>
    <w:qFormat/>
    <w:pPr/>
    <w:rPr/>
  </w:style>
  <w:style w:type="paragraph" w:styleId="user5">
    <w:name w:val="Содержимое таблицы (user)"/>
    <w:basedOn w:val="Normal"/>
    <w:qFormat/>
    <w:pPr>
      <w:widowControl w:val="false"/>
      <w:suppressLineNumbers/>
    </w:pPr>
    <w:rPr/>
  </w:style>
  <w:style w:type="paragraph" w:styleId="user6">
    <w:name w:val="Заголовок таблицы (user)"/>
    <w:basedOn w:val="user5"/>
    <w:qFormat/>
    <w:pPr>
      <w:suppressLineNumbers/>
      <w:jc w:val="center"/>
    </w:pPr>
    <w:rPr>
      <w:b/>
      <w:bCs/>
    </w:rPr>
  </w:style>
  <w:style w:type="paragraph" w:styleId="Style20">
    <w:name w:val="Содержимое врезки"/>
    <w:basedOn w:val="Normal"/>
    <w:qFormat/>
    <w:pPr/>
    <w:rPr/>
  </w:style>
  <w:style w:type="paragraph" w:styleId="Style21">
    <w:name w:val="Содержимое таблицы"/>
    <w:basedOn w:val="Normal"/>
    <w:qFormat/>
    <w:pPr>
      <w:widowControl w:val="false"/>
      <w:suppressLineNumbers/>
    </w:pPr>
    <w:rPr/>
  </w:style>
  <w:style w:type="paragraph" w:styleId="Style22">
    <w:name w:val="Заголовок таблицы"/>
    <w:basedOn w:val="Style21"/>
    <w:qFormat/>
    <w:pPr>
      <w:suppressLineNumbers/>
      <w:jc w:val="center"/>
    </w:pPr>
    <w:rPr>
      <w:b/>
      <w:bCs/>
    </w:rPr>
  </w:style>
  <w:style w:type="numbering" w:styleId="Style23"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C8218866C4A2D4638D1B227A8FADF4C43BEBB00208A331C7854FA8622E92E42ABA53C16C0C3751CCb5r1I" TargetMode="External"/><Relationship Id="rId3" Type="http://schemas.openxmlformats.org/officeDocument/2006/relationships/hyperlink" Target="consultantplus://offline/ref=C8218866C4A2D4638D1B227A8FADF4C43BE1B00101AB31C7854FA8622E92E42ABA53C16C0C3653C4b5r3I" TargetMode="External"/><Relationship Id="rId4" Type="http://schemas.openxmlformats.org/officeDocument/2006/relationships/hyperlink" Target="mailto:msch29@29.fsin.gov.ru" TargetMode="External"/><Relationship Id="rId5" Type="http://schemas.openxmlformats.org/officeDocument/2006/relationships/hyperlink" Target="mailto:msch29om@29.fsin.gov.ru" TargetMode="External"/><Relationship Id="rId6" Type="http://schemas.openxmlformats.org/officeDocument/2006/relationships/hyperlink" Target="mailto:msch29@29.fsin.gov.ru" TargetMode="External"/><Relationship Id="rId7" Type="http://schemas.openxmlformats.org/officeDocument/2006/relationships/hyperlink" Target="mailto:msch29om@29.fsin.gov.ru" TargetMode="External"/><Relationship Id="rId8" Type="http://schemas.openxmlformats.org/officeDocument/2006/relationships/hyperlink" Target="https://zakupki.gov.ru/epz/ktru/ktruCard/ktru-description.html?itemId=58.19.14.110-00000001&amp;backUrl=" TargetMode="External"/><Relationship Id="rId9" Type="http://schemas.openxmlformats.org/officeDocument/2006/relationships/hyperlink" Target="https://zakupki.gov.ru/epz/ktru/ktruCard/ktru-description.html?itemId=58.19.14.110-00000001&amp;backUrl=" TargetMode="External"/><Relationship Id="rId10" Type="http://schemas.openxmlformats.org/officeDocument/2006/relationships/hyperlink" Target="https://zakupki.gov.ru/epz/ktru/ktruCard/ktru-description.html?itemId=58.19.14.110-00000001&amp;backUrl=" TargetMode="External"/><Relationship Id="rId11" Type="http://schemas.openxmlformats.org/officeDocument/2006/relationships/hyperlink" Target="https://zakupki.gov.ru/epz/ktru/ktruCard/ktru-description.html?itemId=58.19.14.110-00000001&amp;backUrl=" TargetMode="External"/><Relationship Id="rId12" Type="http://schemas.openxmlformats.org/officeDocument/2006/relationships/hyperlink" Target="https://zakupki.gov.ru/epz/ktru/ktruCard/ktru-description.html?itemId=58.19.14.110-00000001&amp;backUrl=" TargetMode="External"/><Relationship Id="rId13" Type="http://schemas.openxmlformats.org/officeDocument/2006/relationships/hyperlink" Target="https://zakupki.gov.ru/epz/ktru/ktruCard/ktru-description.html?itemId=58.19.14.110-00000001&amp;backUrl=" TargetMode="External"/><Relationship Id="rId14" Type="http://schemas.openxmlformats.org/officeDocument/2006/relationships/hyperlink" Target="https://zakupki.gov.ru/epz/ktru/ktruCard/ktru-description.html?itemId=58.19.14.110-00000001&amp;backUrl=" TargetMode="External"/><Relationship Id="rId15" Type="http://schemas.openxmlformats.org/officeDocument/2006/relationships/hyperlink" Target="https://zakupki.gov.ru/epz/ktru/ktruCard/ktru-description.html?itemId=58.19.14.110-00000001&amp;backUrl=" TargetMode="External"/><Relationship Id="rId16" Type="http://schemas.openxmlformats.org/officeDocument/2006/relationships/hyperlink" Target="https://zakupki.gov.ru/epz/ktru/ktruCard/ktru-description.html?itemId=58.19.14.110-00000001&amp;backUrl=" TargetMode="External"/><Relationship Id="rId17" Type="http://schemas.openxmlformats.org/officeDocument/2006/relationships/hyperlink" Target="https://zakupki.gov.ru/epz/ktru/ktruCard/ktru-description.html?itemId=58.19.14.110-00000001&amp;backUrl=" TargetMode="Externa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Relationship Id="rId2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D1080-609A-4F54-9848-B18FF6B57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Application>LibreOffice/26.2.4.2$Windows_X86_64 LibreOffice_project/0229ac93fcf0d7cbc6376066c6f35021cef002dc</Application>
  <AppVersion>15.0000</AppVersion>
  <Pages>16</Pages>
  <Words>4339</Words>
  <Characters>32074</Characters>
  <CharactersWithSpaces>36436</CharactersWithSpaces>
  <Paragraphs>328</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2021-06-29T08:25:00Z</dcterms:created>
  <dc:creator>МСМТ</dc:creator>
  <dc:description/>
  <dc:language>ru-RU</dc:language>
  <cp:lastModifiedBy/>
  <cp:lastPrinted>2026-08-06T14:00:34Z</cp:lastPrinted>
  <dcterms:modified xsi:type="dcterms:W3CDTF">2026-08-06T16:31:11Z</dcterms:modified>
  <cp:revision>63</cp:revision>
  <dc:subject/>
  <dc:title/>
</cp:coreProperties>
</file>

<file path=docProps/custom.xml><?xml version="1.0" encoding="utf-8"?>
<Properties xmlns="http://schemas.openxmlformats.org/officeDocument/2006/custom-properties" xmlns:vt="http://schemas.openxmlformats.org/officeDocument/2006/docPropsVTypes"/>
</file>