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О</w:t>
      </w:r>
      <w:r>
        <w:rPr>
          <w:b/>
          <w:color w:val="000000" w:themeColor="text1"/>
          <w:sz w:val="26"/>
          <w:szCs w:val="26"/>
        </w:rPr>
        <w:t xml:space="preserve">боснование </w:t>
      </w:r>
      <w:r>
        <w:rPr>
          <w:b/>
          <w:color w:val="000000" w:themeColor="text1"/>
          <w:sz w:val="26"/>
          <w:szCs w:val="26"/>
        </w:rPr>
      </w:r>
    </w:p>
    <w:p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начальной (</w:t>
      </w:r>
      <w:r>
        <w:rPr>
          <w:b/>
          <w:color w:val="000000" w:themeColor="text1"/>
          <w:sz w:val="26"/>
          <w:szCs w:val="26"/>
        </w:rPr>
        <w:t xml:space="preserve">максимальной</w:t>
      </w:r>
      <w:r>
        <w:rPr>
          <w:b/>
          <w:color w:val="000000" w:themeColor="text1"/>
          <w:sz w:val="26"/>
          <w:szCs w:val="26"/>
        </w:rPr>
        <w:t xml:space="preserve">)</w:t>
      </w:r>
      <w:r>
        <w:rPr>
          <w:b/>
          <w:color w:val="000000" w:themeColor="text1"/>
          <w:sz w:val="26"/>
          <w:szCs w:val="26"/>
        </w:rPr>
        <w:t xml:space="preserve"> цены контракта</w:t>
      </w:r>
      <w:r>
        <w:rPr>
          <w:b/>
          <w:color w:val="000000" w:themeColor="text1"/>
          <w:sz w:val="26"/>
          <w:szCs w:val="26"/>
        </w:rPr>
      </w:r>
    </w:p>
    <w:p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</w:r>
    </w:p>
    <w:tbl>
      <w:tblPr>
        <w:tblpPr w:horzAnchor="text" w:tblpXSpec="left" w:vertAnchor="text" w:tblpY="1" w:leftFromText="180" w:topFromText="0" w:rightFromText="180" w:bottomFromText="0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 w:firstRow="0" w:lastRow="0" w:firstColumn="0" w:lastColumn="0" w:noHBand="0" w:noVBand="0"/>
      </w:tblPr>
      <w:tblGrid>
        <w:gridCol w:w="2854"/>
        <w:gridCol w:w="7057"/>
      </w:tblGrid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1440" w:type="pct"/>
            <w:textDirection w:val="lrTb"/>
            <w:noWrap w:val="false"/>
          </w:tcPr>
          <w:p>
            <w:pPr>
              <w:widowControl w:val="off"/>
            </w:pPr>
            <w:r>
              <w:t xml:space="preserve">Наименование объекта закупки и основные характеристики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60" w:type="pct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t xml:space="preserve">Оказание услуг по проведению п</w:t>
            </w:r>
            <w:r>
              <w:rPr>
                <w:color w:val="000000"/>
              </w:rPr>
              <w:t xml:space="preserve">ериодического медицинского осмотра должностны</w:t>
            </w:r>
            <w:r>
              <w:rPr>
                <w:color w:val="000000"/>
              </w:rPr>
              <w:t xml:space="preserve">х лиц Пермской таможни, занятых </w:t>
            </w:r>
            <w:r>
              <w:rPr>
                <w:color w:val="000000"/>
              </w:rPr>
              <w:t xml:space="preserve">на тяжёлых работах и работах с вредными и (или) опасными условиями труда, подлежащих периодическому медицинскому осмотру.</w:t>
            </w:r>
            <w:r>
              <w:rPr>
                <w:color w:val="000000"/>
              </w:rPr>
            </w:r>
          </w:p>
          <w:p>
            <w:pPr>
              <w:ind w:firstLine="289"/>
              <w:jc w:val="both"/>
              <w:spacing w:line="216" w:lineRule="auto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Общая численность должностных лиц, подлежащих прохождению периодического медицинского осмотра составляет </w:t>
            </w: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человек, </w:t>
            </w:r>
            <w:r>
              <w:t xml:space="preserve">в том числе:</w:t>
            </w:r>
            <w:r>
              <w:rPr>
                <w:color w:val="000000"/>
              </w:rPr>
            </w:r>
          </w:p>
          <w:p>
            <w:pPr>
              <w:jc w:val="both"/>
              <w:spacing w:line="216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- работников в возрасте до 18 лет – нет;</w:t>
            </w: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- мужчин – </w:t>
            </w:r>
            <w:r>
              <w:rPr>
                <w:color w:val="000000"/>
                <w:lang w:eastAsia="en-US"/>
              </w:rPr>
              <w:t xml:space="preserve">6</w:t>
            </w:r>
            <w:r>
              <w:rPr>
                <w:color w:val="000000"/>
                <w:lang w:eastAsia="en-US"/>
              </w:rPr>
              <w:t xml:space="preserve">; женщин – </w:t>
            </w:r>
            <w:r>
              <w:rPr>
                <w:color w:val="000000"/>
                <w:lang w:eastAsia="en-US"/>
              </w:rPr>
              <w:t xml:space="preserve">5</w:t>
            </w:r>
            <w:r>
              <w:rPr>
                <w:color w:val="000000"/>
                <w:lang w:eastAsia="en-US"/>
              </w:rPr>
              <w:t xml:space="preserve"> (из них старше 40 лет – </w:t>
            </w:r>
            <w:r>
              <w:rPr>
                <w:color w:val="000000"/>
                <w:lang w:eastAsia="en-US"/>
              </w:rPr>
              <w:t xml:space="preserve">4</w:t>
            </w:r>
            <w:r>
              <w:rPr>
                <w:color w:val="000000"/>
                <w:lang w:eastAsia="en-US"/>
              </w:rPr>
              <w:t xml:space="preserve">).</w:t>
            </w:r>
            <w:r>
              <w:rPr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1440" w:type="pct"/>
            <w:textDirection w:val="lrTb"/>
            <w:noWrap w:val="false"/>
          </w:tcPr>
          <w:p>
            <w:pPr>
              <w:widowControl w:val="off"/>
            </w:pPr>
            <w:r>
              <w:rPr>
                <w:bCs/>
              </w:rPr>
              <w:t xml:space="preserve">Расчет начальной (максимальной) цены контракта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60" w:type="pct"/>
            <w:textDirection w:val="lrTb"/>
            <w:noWrap w:val="false"/>
          </w:tcPr>
          <w:p>
            <w:pPr>
              <w:ind w:firstLine="360"/>
              <w:jc w:val="both"/>
              <w:rPr>
                <w:lang w:eastAsia="ar-SA"/>
              </w:rPr>
            </w:pPr>
            <w:r>
              <w:rPr>
                <w:color w:val="000000"/>
                <w:lang w:bidi="ru-RU"/>
              </w:rPr>
              <w:t xml:space="preserve">Расчет и обоснование цены контракта выполнены в соответствии со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</w:t>
            </w:r>
            <w:r>
              <w:rPr>
                <w:color w:val="000000"/>
                <w:lang w:bidi="ru-RU"/>
              </w:rPr>
              <w:t xml:space="preserve">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  <w:r>
              <w:rPr>
                <w:lang w:eastAsia="ar-SA"/>
              </w:rPr>
            </w:r>
          </w:p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В целях получения ценовой информации в отношении товара, работы, услуги для определения НМЦК осуществили несколько следующих процедур: </w:t>
            </w:r>
            <w:r>
              <w:rPr>
                <w:lang w:eastAsia="ar-SA"/>
              </w:rPr>
            </w:r>
          </w:p>
          <w:p>
            <w:pPr>
              <w:jc w:val="both"/>
              <w:rPr>
                <w:lang w:eastAsia="ar-SA"/>
              </w:rPr>
            </w:pPr>
            <w:r>
              <w:rPr>
                <w:b/>
                <w:bCs/>
                <w:lang w:eastAsia="ar-SA" w:bidi="ru-RU"/>
              </w:rPr>
              <w:t xml:space="preserve">Метод сопоставимых рыночных цен не применим.</w:t>
            </w:r>
            <w:r>
              <w:rPr>
                <w:lang w:eastAsia="ar-SA"/>
              </w:rPr>
            </w:r>
          </w:p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Для </w:t>
            </w:r>
            <w:r>
              <w:rPr>
                <w:lang w:eastAsia="ar-SA"/>
              </w:rPr>
              <w:t xml:space="preserve">определения НМЦК было направлен </w:t>
            </w:r>
            <w:r>
              <w:rPr>
                <w:lang w:eastAsia="ar-SA"/>
              </w:rPr>
              <w:t xml:space="preserve">запрос в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6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организаци</w:t>
            </w:r>
            <w:r>
              <w:rPr>
                <w:lang w:eastAsia="ar-SA"/>
              </w:rPr>
              <w:t xml:space="preserve">й</w:t>
            </w:r>
            <w:r>
              <w:rPr>
                <w:lang w:eastAsia="ar-SA"/>
              </w:rPr>
              <w:t xml:space="preserve"> (письмо Пермской таможни от </w:t>
            </w:r>
            <w:r>
              <w:rPr>
                <w:lang w:eastAsia="ar-SA"/>
              </w:rPr>
              <w:t xml:space="preserve">15.07.2026</w:t>
            </w:r>
            <w:r>
              <w:rPr>
                <w:lang w:eastAsia="ar-SA"/>
              </w:rPr>
              <w:t xml:space="preserve"> № 01-</w:t>
            </w:r>
            <w:r>
              <w:rPr>
                <w:lang w:eastAsia="ar-SA"/>
              </w:rPr>
              <w:t xml:space="preserve">09</w:t>
            </w:r>
            <w:r>
              <w:rPr>
                <w:lang w:eastAsia="ar-SA"/>
              </w:rPr>
              <w:t xml:space="preserve">-17/</w:t>
            </w:r>
            <w:r>
              <w:rPr>
                <w:lang w:eastAsia="ar-SA"/>
              </w:rPr>
              <w:t xml:space="preserve">11477</w:t>
            </w:r>
            <w:r>
              <w:rPr>
                <w:lang w:eastAsia="ar-SA"/>
              </w:rPr>
              <w:t xml:space="preserve">). В результате получен</w:t>
            </w:r>
            <w:r>
              <w:rPr>
                <w:lang w:eastAsia="ar-SA"/>
              </w:rPr>
              <w:t xml:space="preserve">о 3</w:t>
            </w:r>
            <w:r>
              <w:rPr>
                <w:lang w:eastAsia="ar-SA"/>
              </w:rPr>
              <w:t xml:space="preserve"> коммерчески</w:t>
            </w:r>
            <w:r>
              <w:rPr>
                <w:lang w:eastAsia="ar-SA"/>
              </w:rPr>
              <w:t xml:space="preserve">х</w:t>
            </w:r>
            <w:r>
              <w:rPr>
                <w:lang w:eastAsia="ar-SA"/>
              </w:rPr>
              <w:t xml:space="preserve"> предложения</w:t>
            </w:r>
            <w:r>
              <w:rPr>
                <w:lang w:eastAsia="ar-SA"/>
              </w:rPr>
              <w:t xml:space="preserve">, сделан запрос в ЕИС от 17.07.2026 № 0156100009726000043.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</w:r>
          </w:p>
          <w:p>
            <w:pPr>
              <w:ind w:firstLine="35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Для расчета цены контракта использованы следующие предложения, предоставленные </w:t>
            </w:r>
            <w:r>
              <w:rPr>
                <w:lang w:eastAsia="ar-SA"/>
              </w:rPr>
              <w:t xml:space="preserve">3</w:t>
            </w:r>
            <w:r>
              <w:rPr>
                <w:lang w:eastAsia="ar-SA"/>
              </w:rPr>
              <w:t xml:space="preserve"> организациями: </w:t>
            </w:r>
            <w:r>
              <w:rPr>
                <w:lang w:eastAsia="ar-SA"/>
              </w:rPr>
            </w:r>
          </w:p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Организация №1 вх. от </w:t>
            </w:r>
            <w:r>
              <w:rPr>
                <w:lang w:eastAsia="ar-SA"/>
              </w:rPr>
              <w:t xml:space="preserve">17.07.2026 № 13829</w:t>
            </w:r>
            <w:r>
              <w:rPr>
                <w:lang w:eastAsia="ar-SA"/>
              </w:rPr>
              <w:t xml:space="preserve">, </w:t>
            </w:r>
            <w:r>
              <w:rPr>
                <w:lang w:eastAsia="ar-SA"/>
              </w:rPr>
            </w:r>
          </w:p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Организация № 2 вх.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от </w:t>
            </w:r>
            <w:r>
              <w:rPr>
                <w:lang w:eastAsia="ar-SA"/>
              </w:rPr>
              <w:t xml:space="preserve">21.07.2026 </w:t>
            </w:r>
            <w:r>
              <w:rPr>
                <w:lang w:eastAsia="ar-SA"/>
              </w:rPr>
              <w:t xml:space="preserve">№ </w:t>
            </w:r>
            <w:r>
              <w:rPr>
                <w:lang w:eastAsia="ar-SA"/>
              </w:rPr>
              <w:t xml:space="preserve">14000, </w:t>
            </w:r>
            <w:r>
              <w:rPr>
                <w:lang w:eastAsia="ar-SA"/>
              </w:rPr>
            </w:r>
          </w:p>
          <w:p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Организация № 3 вх. от 22.07.2026 № 14085). </w:t>
            </w:r>
            <w:r>
              <w:rPr>
                <w:lang w:eastAsia="ar-SA"/>
              </w:rPr>
            </w:r>
          </w:p>
          <w:p>
            <w:pPr>
              <w:ind w:firstLine="360"/>
              <w:jc w:val="both"/>
              <w:rPr>
                <w:lang w:eastAsia="ar-SA"/>
              </w:rPr>
            </w:pPr>
            <w:r>
              <w:rPr>
                <w:b/>
                <w:bCs/>
                <w:lang w:eastAsia="ar-SA" w:bidi="ru-RU"/>
              </w:rPr>
              <w:t xml:space="preserve">Тарифный метод не применим, </w:t>
            </w:r>
            <w:r>
              <w:rPr>
                <w:lang w:eastAsia="ar-SA" w:bidi="ru-RU"/>
              </w:rPr>
              <w:t xml:space="preserve">т.к. цена закупаемых услуг не подлежит государственному регулированию и не определяется по регулируемым ценам (тарифам) на товары, работы, услуги.</w:t>
            </w:r>
            <w:r>
              <w:rPr>
                <w:lang w:eastAsia="ar-SA"/>
              </w:rPr>
            </w:r>
          </w:p>
          <w:p>
            <w:pPr>
              <w:jc w:val="both"/>
              <w:spacing w:line="235" w:lineRule="auto"/>
              <w:tabs>
                <w:tab w:val="num" w:pos="0" w:leader="none"/>
                <w:tab w:val="left" w:pos="285" w:leader="none"/>
              </w:tabs>
              <w:rPr>
                <w:lang w:eastAsia="ar-SA" w:bidi="ru-RU"/>
              </w:rPr>
            </w:pPr>
            <w:r>
              <w:rPr>
                <w:b/>
                <w:bCs/>
                <w:lang w:eastAsia="ar-SA" w:bidi="ru-RU"/>
              </w:rPr>
              <w:t xml:space="preserve">      Проектно-сметный метод не применим, </w:t>
            </w:r>
            <w:r>
              <w:rPr>
                <w:lang w:eastAsia="ar-SA" w:bidi="ru-RU"/>
              </w:rPr>
              <w:t xml:space="preserve">т.к. предмет закупки не соответствует требованиям ч. 9 ст.22 Федераль</w:t>
            </w:r>
            <w:r>
              <w:rPr>
                <w:lang w:eastAsia="ar-SA" w:bidi="ru-RU"/>
              </w:rPr>
              <w:t xml:space="preserve">ного закона от 05.04.2013 № 44-ФЗ «О контрактной системе в сфере закупок товаров, работ, услуг для обеспечения государственных и муниципальных нужд»: не является строительством, реконструкцией, капитальным ремонтом объекта на основе проектной документации.</w:t>
            </w:r>
            <w:r>
              <w:rPr>
                <w:lang w:eastAsia="ar-SA" w:bidi="ru-RU"/>
              </w:rPr>
            </w:r>
          </w:p>
          <w:p>
            <w:pPr>
              <w:ind w:firstLine="360"/>
              <w:jc w:val="both"/>
              <w:rPr>
                <w:lang w:eastAsia="ar-SA"/>
              </w:rPr>
            </w:pPr>
            <w:r>
              <w:rPr>
                <w:b/>
                <w:bCs/>
                <w:lang w:eastAsia="ar-SA" w:bidi="ru-RU"/>
              </w:rPr>
              <w:t xml:space="preserve">Нормативный метод не применим. </w:t>
            </w:r>
            <w:r>
              <w:rPr>
                <w:lang w:eastAsia="ar-SA"/>
              </w:rPr>
            </w:r>
          </w:p>
          <w:p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lang w:eastAsia="ar-SA"/>
              </w:rPr>
              <w:t xml:space="preserve">В соответствии </w:t>
            </w:r>
            <w:r>
              <w:rPr>
                <w:lang w:eastAsia="ar-SA"/>
              </w:rPr>
              <w:t xml:space="preserve">с п. 6.6. приказа </w:t>
            </w:r>
            <w:r>
              <w:rPr>
                <w:lang w:eastAsia="ar-SA"/>
              </w:rPr>
              <w:t xml:space="preserve">ФТС России от 31.05.2022 № 421 </w:t>
            </w:r>
            <w:r>
              <w:rPr>
                <w:lang w:eastAsia="ar-SA"/>
              </w:rPr>
              <w:t xml:space="preserve">«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затраты на проведение предварительных и периодических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медицинских осмотров отдельных категорий должностных лиц и работников, занятых на работах с вредными и (или) опасными условиями труда»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lang w:eastAsia="ar-SA"/>
              </w:rPr>
              <w:t xml:space="preserve">приказа ФТС России от 31.05.2022 № 421 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</w:t>
            </w:r>
            <w:r>
              <w:rPr>
                <w:lang w:eastAsia="ar-SA"/>
              </w:rPr>
              <w:t xml:space="preserve">(представителей) таможенной службы Российской Федерации в иностранных государствах и учреждений, находящихся в ведении ФТС России» расчет затрат произведен по формуле исходя из фактической потребности. </w:t>
            </w:r>
            <w:r>
              <w:rPr>
                <w:rFonts w:eastAsia="Calibri"/>
                <w:sz w:val="26"/>
                <w:szCs w:val="26"/>
                <w:lang w:eastAsia="en-US"/>
              </w:rPr>
            </w:r>
          </w:p>
          <w:p>
            <w:pPr>
              <w:ind w:firstLine="360"/>
              <w:jc w:val="both"/>
              <w:rPr>
                <w:lang w:eastAsia="ar-SA" w:bidi="ru-RU"/>
              </w:rPr>
            </w:pPr>
            <w:r>
              <w:rPr>
                <w:b/>
                <w:bCs/>
                <w:lang w:eastAsia="ar-SA" w:bidi="ru-RU"/>
              </w:rPr>
              <w:t xml:space="preserve">Затратный метод не применим, </w:t>
            </w:r>
            <w:r>
              <w:rPr>
                <w:lang w:eastAsia="ar-SA" w:bidi="ru-RU"/>
              </w:rPr>
              <w:t xml:space="preserve">в связи с тем, что рассчитать сумму произведенных затрат на оказание закупаемых услуг и обычной для определенной сферы деятельности прибыли не представляется возможным. </w:t>
            </w:r>
            <w:r>
              <w:rPr>
                <w:lang w:eastAsia="ar-SA" w:bidi="ru-RU"/>
              </w:rPr>
            </w:r>
          </w:p>
          <w:p>
            <w:pPr>
              <w:ind w:firstLine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На основании ч. 12 ст. 22 Федерального закона от 05.04.2013 № 44-ФЗ «О контрактной системе в сфере закупок товаров, работ, ус</w:t>
            </w:r>
            <w:r>
              <w:rPr>
                <w:lang w:eastAsia="ar-SA"/>
              </w:rPr>
              <w:t xml:space="preserve">луг для обеспечения государственных и муниципальных нужд», в случае невозможности применения для определения начальной (максимальной) цены контракта, цены контракта, заключаемого с единственным поставщиком (подрядчиком, исполнителем), методов, указанных в </w:t>
            </w:r>
            <w:hyperlink r:id="rId10" w:tooltip="consultantplus://offline/ref=E478B2C2D70A9EE1D0D223C9C54A3869133673247E002A008D80FE108DB5F87849E128D62BC87AD7pDh7I" w:history="1">
              <w:r>
                <w:rPr>
                  <w:lang w:eastAsia="ar-SA"/>
                </w:rPr>
                <w:t xml:space="preserve">части 1</w:t>
              </w:r>
            </w:hyperlink>
            <w:r>
              <w:rPr>
                <w:lang w:eastAsia="ar-SA"/>
              </w:rPr>
              <w:t xml:space="preserve"> настоящей статьи, заказчик вправе применить иные методы. </w:t>
            </w:r>
            <w:r>
              <w:rPr>
                <w:lang w:eastAsia="ar-SA"/>
              </w:rPr>
            </w:r>
          </w:p>
          <w:p>
            <w:pPr>
              <w:ind w:firstLine="36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На основании изложенного, цену контракта определяем из коммерческого предложения.</w:t>
            </w:r>
            <w:r>
              <w:rPr>
                <w:lang w:eastAsia="ar-SA"/>
              </w:rPr>
            </w:r>
          </w:p>
          <w:p>
            <w:pPr>
              <w:jc w:val="both"/>
            </w:pPr>
            <w:r>
              <w:rPr>
                <w:lang w:eastAsia="ar-SA"/>
              </w:rPr>
              <w:t xml:space="preserve">Расчет цены контракта приведен в таблице № 1.</w:t>
            </w:r>
            <w:r/>
          </w:p>
          <w:p>
            <w:pPr>
              <w:ind w:firstLine="360"/>
              <w:jc w:val="both"/>
              <w:rPr>
                <w:color w:val="000000"/>
                <w:lang w:bidi="ru-RU"/>
              </w:rPr>
            </w:pPr>
            <w:r>
              <w:t xml:space="preserve">Наименьшим предложением цены контракта является предложение № 1 с общей ценой </w:t>
            </w:r>
            <w:r>
              <w:rPr>
                <w:b/>
                <w:sz w:val="22"/>
                <w:szCs w:val="22"/>
              </w:rPr>
              <w:t xml:space="preserve">52 038</w:t>
            </w:r>
            <w:r>
              <w:rPr>
                <w:b/>
                <w:sz w:val="22"/>
                <w:szCs w:val="22"/>
              </w:rPr>
              <w:t xml:space="preserve">,00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</w:rPr>
              <w:t xml:space="preserve">рублей.</w:t>
            </w:r>
            <w:r>
              <w:rPr>
                <w:color w:val="000000"/>
                <w:lang w:bidi="ru-RU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widowControl w:val="off"/>
            </w:pPr>
            <w:r>
              <w:t xml:space="preserve">Дата подготовки обоснования: </w:t>
            </w:r>
            <w:r>
              <w:t xml:space="preserve">23.07.2026</w:t>
            </w:r>
            <w:r/>
          </w:p>
        </w:tc>
      </w:tr>
    </w:tbl>
    <w:p>
      <w:pPr>
        <w:jc w:val="both"/>
        <w:rPr>
          <w:sz w:val="28"/>
          <w:szCs w:val="28"/>
        </w:rPr>
        <w:suppressLineNumbers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uppressLineNumbers/>
      </w:pPr>
      <w:r/>
      <w:r/>
    </w:p>
    <w:p>
      <w:pPr>
        <w:jc w:val="both"/>
        <w:rPr>
          <w:color w:val="000000"/>
        </w:rPr>
        <w:suppressLineNumbers/>
      </w:pPr>
      <w:r>
        <w:rPr>
          <w:color w:val="000000"/>
        </w:rPr>
        <w:t xml:space="preserve">Старший государственный</w:t>
      </w:r>
      <w:r>
        <w:rPr>
          <w:color w:val="000000"/>
        </w:rPr>
      </w:r>
    </w:p>
    <w:p>
      <w:pPr>
        <w:jc w:val="both"/>
        <w:rPr>
          <w:color w:val="000000"/>
        </w:rPr>
        <w:suppressLineNumbers/>
      </w:pPr>
      <w:r>
        <w:rPr>
          <w:color w:val="000000"/>
        </w:rPr>
        <w:t xml:space="preserve">таможенный инспектор                                                                                </w:t>
      </w:r>
      <w:r>
        <w:rPr>
          <w:color w:val="000000"/>
        </w:rPr>
        <w:t xml:space="preserve">                 </w:t>
      </w:r>
      <w:r>
        <w:rPr>
          <w:color w:val="000000"/>
        </w:rPr>
        <w:t xml:space="preserve">М.А. Ошуркова</w:t>
      </w:r>
      <w:r>
        <w:rPr>
          <w:color w:val="000000"/>
        </w:rPr>
      </w:r>
    </w:p>
    <w:p>
      <w:pPr>
        <w:jc w:val="both"/>
        <w:rPr>
          <w:color w:val="000000"/>
        </w:rPr>
        <w:suppressLineNumbers/>
      </w:pPr>
      <w:r>
        <w:rPr>
          <w:color w:val="000000"/>
        </w:rPr>
        <w:t xml:space="preserve">«___» ______________ 202</w:t>
      </w:r>
      <w:r>
        <w:rPr>
          <w:color w:val="000000"/>
        </w:rPr>
        <w:t xml:space="preserve">6</w:t>
      </w:r>
      <w:r>
        <w:rPr>
          <w:color w:val="000000"/>
        </w:rPr>
        <w:t xml:space="preserve"> г.</w:t>
      </w:r>
      <w:r>
        <w:rPr>
          <w:color w:val="000000"/>
        </w:rPr>
      </w:r>
    </w:p>
    <w:p>
      <w:pPr>
        <w:jc w:val="both"/>
        <w:rPr>
          <w:color w:val="000000"/>
        </w:rPr>
        <w:suppressLineNumbers/>
      </w:pPr>
      <w:r>
        <w:rPr>
          <w:color w:val="000000"/>
        </w:rPr>
      </w:r>
      <w:r>
        <w:rPr>
          <w:color w:val="000000"/>
        </w:rPr>
      </w:r>
    </w:p>
    <w:p>
      <w:pPr>
        <w:jc w:val="both"/>
        <w:rPr>
          <w:color w:val="000000"/>
        </w:rPr>
        <w:suppressLineNumbers/>
      </w:pPr>
      <w:r>
        <w:rPr>
          <w:color w:val="000000"/>
        </w:rPr>
        <w:t xml:space="preserve">Н</w:t>
      </w:r>
      <w:r>
        <w:rPr>
          <w:color w:val="000000"/>
        </w:rPr>
        <w:t xml:space="preserve">ачальник ОБУ и ФМ –</w:t>
      </w:r>
      <w:r>
        <w:rPr>
          <w:color w:val="000000"/>
        </w:rPr>
      </w:r>
    </w:p>
    <w:p>
      <w:pPr>
        <w:jc w:val="both"/>
        <w:rPr>
          <w:color w:val="000000"/>
        </w:rPr>
        <w:suppressLineNumbers/>
      </w:pPr>
      <w:r>
        <w:rPr>
          <w:color w:val="000000"/>
        </w:rPr>
        <w:t xml:space="preserve">главн</w:t>
      </w:r>
      <w:r>
        <w:rPr>
          <w:color w:val="000000"/>
        </w:rPr>
        <w:t xml:space="preserve">ый</w:t>
      </w:r>
      <w:r>
        <w:rPr>
          <w:color w:val="000000"/>
        </w:rPr>
        <w:t xml:space="preserve"> бухгалтер                                                                                       </w:t>
      </w:r>
      <w:r>
        <w:rPr>
          <w:color w:val="000000"/>
        </w:rPr>
        <w:t xml:space="preserve">        </w:t>
      </w:r>
      <w:r>
        <w:rPr>
          <w:color w:val="000000"/>
        </w:rPr>
        <w:t xml:space="preserve">           Ю.Б. Богданова</w:t>
      </w:r>
      <w:r>
        <w:rPr>
          <w:color w:val="000000"/>
        </w:rPr>
        <w:t xml:space="preserve">           </w:t>
      </w:r>
      <w:r>
        <w:rPr>
          <w:color w:val="000000"/>
        </w:rPr>
      </w:r>
    </w:p>
    <w:p>
      <w:pPr>
        <w:jc w:val="both"/>
        <w:rPr>
          <w:color w:val="000000"/>
        </w:rPr>
        <w:suppressLineNumbers/>
      </w:pPr>
      <w:r>
        <w:rPr>
          <w:color w:val="000000"/>
        </w:rPr>
        <w:t xml:space="preserve">«____»______________202</w:t>
      </w:r>
      <w:r>
        <w:rPr>
          <w:color w:val="000000"/>
        </w:rPr>
        <w:t xml:space="preserve">6</w:t>
      </w:r>
      <w:r>
        <w:rPr>
          <w:color w:val="000000"/>
        </w:rPr>
        <w:t xml:space="preserve"> г.</w:t>
      </w:r>
      <w:r>
        <w:rPr>
          <w:color w:val="000000"/>
        </w:rPr>
      </w:r>
    </w:p>
    <w:p>
      <w:pPr>
        <w:jc w:val="both"/>
        <w:rPr>
          <w:color w:val="000000"/>
        </w:rPr>
        <w:suppressLineNumbers/>
      </w:pPr>
      <w:r>
        <w:rPr>
          <w:color w:val="000000"/>
        </w:rPr>
      </w:r>
      <w:r>
        <w:rPr>
          <w:color w:val="000000"/>
        </w:rPr>
      </w:r>
    </w:p>
    <w:p>
      <w:pPr>
        <w:jc w:val="both"/>
        <w:rPr>
          <w:color w:val="000000"/>
        </w:rPr>
        <w:suppressLineNumbers/>
      </w:pPr>
      <w:r>
        <w:rPr>
          <w:color w:val="000000"/>
        </w:rPr>
        <w:t xml:space="preserve">Начальник отделения</w:t>
      </w:r>
      <w:r>
        <w:rPr>
          <w:color w:val="000000"/>
        </w:rPr>
      </w:r>
    </w:p>
    <w:p>
      <w:pPr>
        <w:jc w:val="both"/>
        <w:rPr>
          <w:color w:val="000000"/>
        </w:rPr>
        <w:suppressLineNumbers/>
      </w:pPr>
      <w:r>
        <w:rPr>
          <w:color w:val="000000"/>
        </w:rPr>
        <w:t xml:space="preserve">по противодействию коррупции                                                                     </w:t>
      </w:r>
      <w:r>
        <w:rPr>
          <w:color w:val="000000"/>
        </w:rPr>
        <w:t xml:space="preserve">          Е.А. Безматерных</w:t>
      </w:r>
      <w:r>
        <w:rPr>
          <w:color w:val="000000"/>
        </w:rPr>
      </w:r>
    </w:p>
    <w:p>
      <w:pPr>
        <w:jc w:val="both"/>
        <w:rPr>
          <w:color w:val="000000"/>
        </w:rPr>
        <w:suppressLineNumbers/>
      </w:pPr>
      <w:r>
        <w:rPr>
          <w:color w:val="000000"/>
        </w:rPr>
        <w:t xml:space="preserve">«____»______________202</w:t>
      </w:r>
      <w:r>
        <w:rPr>
          <w:color w:val="000000"/>
        </w:rPr>
        <w:t xml:space="preserve">6</w:t>
      </w:r>
      <w:r>
        <w:rPr>
          <w:color w:val="000000"/>
        </w:rPr>
        <w:t xml:space="preserve"> г.</w:t>
      </w:r>
      <w:r>
        <w:rPr>
          <w:color w:val="000000"/>
        </w:rPr>
      </w:r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jc w:val="right"/>
        <w:suppressLineNumbers/>
      </w:pPr>
      <w:r/>
      <w:r/>
    </w:p>
    <w:p>
      <w:pPr>
        <w:suppressLineNumbers/>
      </w:pPr>
      <w:r/>
      <w:r/>
    </w:p>
    <w:p>
      <w:pPr>
        <w:jc w:val="right"/>
        <w:suppressLineNumbers/>
      </w:pPr>
      <w:r/>
      <w:r/>
    </w:p>
    <w:p>
      <w:pPr>
        <w:ind w:firstLine="6946"/>
      </w:pPr>
      <w:r/>
      <w:r/>
    </w:p>
    <w:p>
      <w:pPr>
        <w:ind w:firstLine="6946"/>
      </w:pPr>
      <w:r/>
      <w:r/>
    </w:p>
    <w:p>
      <w:pPr>
        <w:ind w:firstLine="6946"/>
      </w:pPr>
      <w:r/>
      <w:r/>
    </w:p>
    <w:p>
      <w:r/>
      <w:r/>
    </w:p>
    <w:p>
      <w:pPr>
        <w:ind w:firstLine="6946"/>
      </w:pPr>
      <w:r>
        <w:t xml:space="preserve">Приложение к определению </w:t>
      </w:r>
      <w:r/>
    </w:p>
    <w:p>
      <w:pPr>
        <w:ind w:firstLine="6946"/>
      </w:pPr>
      <w:r>
        <w:t xml:space="preserve">цены контракта</w:t>
      </w:r>
      <w:r/>
    </w:p>
    <w:p>
      <w:pPr>
        <w:jc w:val="right"/>
        <w:suppressLineNumbers/>
      </w:pPr>
      <w:r/>
      <w:r/>
    </w:p>
    <w:p>
      <w:pPr>
        <w:jc w:val="right"/>
        <w:suppressLineNumbers/>
      </w:pPr>
      <w:r>
        <w:t xml:space="preserve">Таблица №1</w:t>
      </w:r>
      <w:r/>
    </w:p>
    <w:p>
      <w:pPr>
        <w:suppressLineNumbers/>
      </w:pPr>
      <w:r/>
      <w:bookmarkStart w:id="0" w:name="_GoBack"/>
      <w:r/>
      <w:bookmarkEnd w:id="0"/>
      <w:r/>
      <w:r/>
    </w:p>
    <w:tbl>
      <w:tblPr>
        <w:tblW w:w="5296" w:type="pct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816"/>
        <w:gridCol w:w="514"/>
        <w:gridCol w:w="596"/>
        <w:gridCol w:w="44"/>
        <w:gridCol w:w="1025"/>
        <w:gridCol w:w="1012"/>
        <w:gridCol w:w="968"/>
        <w:gridCol w:w="1098"/>
        <w:gridCol w:w="960"/>
        <w:gridCol w:w="955"/>
      </w:tblGrid>
      <w:tr>
        <w:tblPrEx/>
        <w:trPr>
          <w:trHeight w:val="30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3" w:type="pct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№ п/п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41" w:type="pct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Наименование услуги</w:t>
            </w:r>
            <w:r>
              <w:rPr>
                <w:i/>
                <w:sz w:val="16"/>
                <w:szCs w:val="16"/>
              </w:rPr>
              <w:t xml:space="preserve">*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5" w:type="pct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Ед. 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изм.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05" w:type="pct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Кол-во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9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Организация № 1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84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Организация № 2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13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Организация № 3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30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Цена за единицу **, в т.ч. НДС,  руб.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Общая цена **, в т.ч. НДС,  руб.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Цена за единицу **, в т.ч. НДС,  руб.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Общая цена **, в т.ч. НДС,  руб.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Цена за единицу **, в т.ч. НДС,  руб.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Общая цена **, в т.ч. НДС,  руб.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Прием (осмотр, консультация) врача –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 xml:space="preserve">те</w:t>
            </w:r>
            <w:r>
              <w:rPr>
                <w:sz w:val="16"/>
                <w:szCs w:val="16"/>
                <w:lang w:eastAsia="en-US"/>
              </w:rPr>
              <w:t xml:space="preserve">рапевта (в том числе: измерение роста, массы тела, окружности талии, индекса массы тела, артериального давления, определение относительного сердечно-сосудистого риска лицам до 40 лет и определение абсолютного сердечно-сосудистого риска лицам старше 40 лет)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500,00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2 640,00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386,00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4 246,00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 xml:space="preserve">Прием (осмотр, консультация) врача - психиатра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650,00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2 640,00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276,00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3 036,00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Прием (осмотр, консультация) врача - нарколога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650,00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2 640,00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276,00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3 036,00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Прием (осмотр, консультация) врача - невролога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65</w:t>
            </w:r>
            <w:r>
              <w:rPr>
                <w:color w:val="000000"/>
                <w:sz w:val="16"/>
                <w:szCs w:val="16"/>
              </w:rPr>
              <w:t xml:space="preserve">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2 640,00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1 001,00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Прием (осмотр, консультация) врача – офтальмолога (в том числе: рефрактометрия или скиаскопия, биомикроскопия глаза, визометрия, офтальмоскопия глазного дна, измерение внутриглазного давления лицам с 40 лет)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500</w:t>
            </w:r>
            <w:r>
              <w:rPr>
                <w:color w:val="000000"/>
                <w:sz w:val="16"/>
                <w:szCs w:val="16"/>
              </w:rPr>
              <w:t xml:space="preserve">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3 000,00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1 020,00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Прием (осмотр, консультация) врача - отоларинголога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5</w:t>
            </w:r>
            <w:r>
              <w:rPr>
                <w:color w:val="000000"/>
                <w:sz w:val="16"/>
                <w:szCs w:val="16"/>
              </w:rPr>
              <w:t xml:space="preserve">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650</w:t>
            </w:r>
            <w:r>
              <w:rPr>
                <w:color w:val="000000"/>
                <w:sz w:val="16"/>
                <w:szCs w:val="16"/>
              </w:rPr>
              <w:t xml:space="preserve">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2 640,00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133,00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1 463,00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Прием (осмотр, консультация) врача - дерматовенеролога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5</w:t>
            </w:r>
            <w:r>
              <w:rPr>
                <w:color w:val="000000"/>
                <w:sz w:val="16"/>
                <w:szCs w:val="16"/>
              </w:rPr>
              <w:t xml:space="preserve">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65</w:t>
            </w:r>
            <w:r>
              <w:rPr>
                <w:color w:val="000000"/>
                <w:sz w:val="16"/>
                <w:szCs w:val="16"/>
              </w:rPr>
              <w:t xml:space="preserve">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2 640,00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104,00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1 144,00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Прием (осмотр, консультация) врача акушера-гинеколога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5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1 0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880,00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Цифровая рентгенография грудной клетки в двух проекциях (прямая и правая боковая) легких (1 раз в год)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5 5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9 900,00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246,00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2 706,00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Анализ крови (гемоглобин, цветной показатель, эритроциты, тромбоциты, лейкоциты, лейкоцитарная формула, скорость оседания эритроцитов, ретикулоциты)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100</w:t>
            </w:r>
            <w:r>
              <w:rPr>
                <w:color w:val="000000"/>
                <w:sz w:val="16"/>
                <w:szCs w:val="16"/>
              </w:rPr>
              <w:t xml:space="preserve">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11 00</w:t>
            </w:r>
            <w:r>
              <w:rPr>
                <w:color w:val="000000"/>
                <w:sz w:val="16"/>
                <w:szCs w:val="16"/>
              </w:rPr>
              <w:t xml:space="preserve">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4 070,00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219,00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2 409,00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Клинический анализ мочи (удельный вес, белок, сахар, микроскопия осадка)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20</w:t>
            </w:r>
            <w:r>
              <w:rPr>
                <w:color w:val="000000"/>
                <w:sz w:val="16"/>
                <w:szCs w:val="16"/>
              </w:rPr>
              <w:t xml:space="preserve">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2 2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3 960,00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102,00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1 122,00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Биохимический скрининг крови (содержание в сыворотке крови глюкозы, холестерина)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3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3 3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365,00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4 015,00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128,00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1 408,00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Цитологическое исследование мазка (на атипичные клетки)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5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1 0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2 250,00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390,00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1 950,00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Бактериологическое исследование мазка (на флору)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5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1 0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1 650,00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1 100,00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Электрокардиография в покое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80</w:t>
            </w:r>
            <w:r>
              <w:rPr>
                <w:color w:val="000000"/>
                <w:sz w:val="16"/>
                <w:szCs w:val="16"/>
              </w:rPr>
              <w:t xml:space="preserve">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8 8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2 530,00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1 936,00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Узи органов брюшной полости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7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7 7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1 000,00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11 000,00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532,00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5 852,00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Узи щитовидной железы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7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7 7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9 900,00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479,00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5 269,00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Узи органов малого таза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5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7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3 5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3 250,00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452,00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2 260,00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Маммография молочных желез (для женщин с</w:t>
            </w:r>
            <w:r>
              <w:rPr>
                <w:sz w:val="16"/>
                <w:szCs w:val="16"/>
                <w:lang w:eastAsia="en-US"/>
              </w:rPr>
              <w:t xml:space="preserve">тарше 40 лет, не реже 1 раза в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 xml:space="preserve">год</w:t>
            </w:r>
            <w:r>
              <w:rPr>
                <w:sz w:val="16"/>
                <w:szCs w:val="16"/>
                <w:lang w:eastAsia="en-US"/>
              </w:rPr>
              <w:t xml:space="preserve">)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4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4 8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950,00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3 800,00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3 600,00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Психофизиологическое исследование</w:t>
            </w:r>
            <w:r>
              <w:rPr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усл. ед.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5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11</w:t>
            </w:r>
            <w:r>
              <w:rPr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12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13 2</w:t>
            </w:r>
            <w:r>
              <w:rPr>
                <w:color w:val="000000"/>
                <w:sz w:val="16"/>
                <w:szCs w:val="16"/>
              </w:rPr>
              <w:t xml:space="preserve">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22 000,00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7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600,00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6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6 600,00</w:t>
            </w:r>
            <w:r>
              <w:rPr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25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13" w:type="pct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ИТОГО: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1" w:type="pct"/>
            <w:textDirection w:val="lrTb"/>
            <w:noWrap w:val="false"/>
          </w:tcPr>
          <w:p>
            <w:pPr>
              <w:jc w:val="right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8</w:t>
            </w:r>
            <w:r>
              <w:rPr>
                <w:b/>
                <w:color w:val="000000"/>
                <w:sz w:val="16"/>
                <w:szCs w:val="16"/>
                <w:lang w:val="en-US"/>
              </w:rPr>
              <w:t xml:space="preserve">7</w:t>
            </w:r>
            <w:r>
              <w:rPr>
                <w:b/>
                <w:color w:val="000000"/>
                <w:sz w:val="16"/>
                <w:szCs w:val="16"/>
              </w:rPr>
              <w:t xml:space="preserve"> 450,</w:t>
            </w:r>
            <w:r>
              <w:rPr>
                <w:b/>
                <w:color w:val="000000"/>
                <w:sz w:val="16"/>
                <w:szCs w:val="16"/>
                <w:lang w:val="en-US"/>
              </w:rPr>
              <w:t xml:space="preserve">00</w:t>
            </w:r>
            <w:r>
              <w:rPr>
                <w:b/>
                <w:color w:val="000000"/>
                <w:sz w:val="16"/>
                <w:szCs w:val="16"/>
                <w:lang w:val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4" w:type="pct"/>
            <w:textDirection w:val="lrTb"/>
            <w:noWrap w:val="false"/>
          </w:tcPr>
          <w:p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96 805,00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3" w:type="pct"/>
            <w:textDirection w:val="lrTb"/>
            <w:noWrap w:val="false"/>
          </w:tcPr>
          <w:p>
            <w:pPr>
              <w:jc w:val="righ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52 038,00</w:t>
            </w:r>
            <w:r>
              <w:rPr>
                <w:b/>
                <w:color w:val="000000"/>
                <w:sz w:val="16"/>
                <w:szCs w:val="16"/>
              </w:rPr>
            </w:r>
          </w:p>
        </w:tc>
      </w:tr>
    </w:tbl>
    <w:p>
      <w:pPr>
        <w:jc w:val="both"/>
        <w:suppressLineNumbers/>
      </w:pPr>
      <w:r/>
      <w:r/>
    </w:p>
    <w:sectPr>
      <w:headerReference w:type="even" r:id="rId9"/>
      <w:footnotePr/>
      <w:endnotePr/>
      <w:type w:val="nextPage"/>
      <w:pgSz w:w="11906" w:h="16838" w:orient="portrait"/>
      <w:pgMar w:top="851" w:right="851" w:bottom="90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9"/>
      <w:rPr>
        <w:rStyle w:val="681"/>
      </w:rPr>
      <w:framePr w:wrap="around" w:vAnchor="text" w:hAnchor="margin" w:xAlign="center" w:y="1"/>
    </w:pPr>
    <w:r>
      <w:rPr>
        <w:rStyle w:val="681"/>
      </w:rPr>
      <w:fldChar w:fldCharType="begin"/>
    </w:r>
    <w:r>
      <w:rPr>
        <w:rStyle w:val="681"/>
      </w:rPr>
      <w:instrText xml:space="preserve">PAGE  </w:instrText>
    </w:r>
    <w:r>
      <w:rPr>
        <w:rStyle w:val="681"/>
      </w:rPr>
      <w:fldChar w:fldCharType="separate"/>
    </w:r>
    <w:r>
      <w:rPr>
        <w:rStyle w:val="681"/>
      </w:rPr>
      <w:t xml:space="preserve">2</w:t>
    </w:r>
    <w:r>
      <w:rPr>
        <w:rStyle w:val="681"/>
      </w:rPr>
      <w:fldChar w:fldCharType="end"/>
    </w:r>
    <w:r>
      <w:rPr>
        <w:rStyle w:val="681"/>
      </w:rPr>
    </w:r>
  </w:p>
  <w:p>
    <w:pPr>
      <w:pStyle w:val="67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84"/>
      <w:isLgl w:val="false"/>
      <w:suff w:val="tab"/>
      <w:lvlText w:val="%1."/>
      <w:lvlJc w:val="left"/>
      <w:pPr>
        <w:ind w:left="284" w:firstLine="850"/>
        <w:tabs>
          <w:tab w:val="num" w:pos="108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84" w:firstLine="436"/>
        <w:tabs>
          <w:tab w:val="num" w:pos="107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4" w:firstLine="436"/>
        <w:tabs>
          <w:tab w:val="num" w:pos="107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" w:firstLine="796"/>
        <w:tabs>
          <w:tab w:val="num" w:pos="107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74"/>
    <w:next w:val="67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7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74"/>
    <w:next w:val="67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7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74"/>
    <w:next w:val="67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7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74"/>
    <w:next w:val="67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7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4"/>
    <w:next w:val="67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7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4"/>
    <w:next w:val="67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7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4"/>
    <w:next w:val="67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4"/>
    <w:next w:val="67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4"/>
    <w:next w:val="67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4"/>
    <w:next w:val="67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5"/>
    <w:link w:val="35"/>
    <w:uiPriority w:val="10"/>
    <w:rPr>
      <w:sz w:val="48"/>
      <w:szCs w:val="48"/>
    </w:rPr>
  </w:style>
  <w:style w:type="paragraph" w:styleId="37">
    <w:name w:val="Subtitle"/>
    <w:basedOn w:val="674"/>
    <w:next w:val="67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5"/>
    <w:link w:val="37"/>
    <w:uiPriority w:val="11"/>
    <w:rPr>
      <w:sz w:val="24"/>
      <w:szCs w:val="24"/>
    </w:rPr>
  </w:style>
  <w:style w:type="paragraph" w:styleId="39">
    <w:name w:val="Quote"/>
    <w:basedOn w:val="674"/>
    <w:next w:val="67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4"/>
    <w:next w:val="67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75"/>
    <w:link w:val="679"/>
    <w:uiPriority w:val="99"/>
  </w:style>
  <w:style w:type="character" w:styleId="46">
    <w:name w:val="Footer Char"/>
    <w:basedOn w:val="675"/>
    <w:link w:val="697"/>
    <w:uiPriority w:val="99"/>
  </w:style>
  <w:style w:type="paragraph" w:styleId="47">
    <w:name w:val="Caption"/>
    <w:basedOn w:val="674"/>
    <w:next w:val="67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7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5"/>
    <w:uiPriority w:val="99"/>
    <w:unhideWhenUsed/>
    <w:rPr>
      <w:vertAlign w:val="superscript"/>
    </w:rPr>
  </w:style>
  <w:style w:type="paragraph" w:styleId="179">
    <w:name w:val="endnote text"/>
    <w:basedOn w:val="67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5"/>
    <w:uiPriority w:val="99"/>
    <w:semiHidden/>
    <w:unhideWhenUsed/>
    <w:rPr>
      <w:vertAlign w:val="superscript"/>
    </w:rPr>
  </w:style>
  <w:style w:type="paragraph" w:styleId="182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67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character" w:styleId="678" w:customStyle="1">
    <w:name w:val="Верхний колонтитул Знак"/>
    <w:link w:val="679"/>
    <w:uiPriority w:val="99"/>
    <w:rPr>
      <w:sz w:val="24"/>
      <w:szCs w:val="24"/>
      <w:lang w:eastAsia="ru-RU"/>
    </w:rPr>
  </w:style>
  <w:style w:type="paragraph" w:styleId="679">
    <w:name w:val="Header"/>
    <w:link w:val="678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sz w:val="24"/>
      <w:szCs w:val="24"/>
      <w:lang w:eastAsia="ru-RU"/>
    </w:rPr>
  </w:style>
  <w:style w:type="character" w:styleId="680" w:customStyle="1">
    <w:name w:val="Верхний колонтитул Знак1"/>
    <w:basedOn w:val="675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81">
    <w:name w:val="page number"/>
    <w:basedOn w:val="675"/>
  </w:style>
  <w:style w:type="character" w:styleId="682">
    <w:name w:val="Hyperlink"/>
    <w:rPr>
      <w:color w:val="0000ff"/>
      <w:u w:val="single"/>
    </w:rPr>
  </w:style>
  <w:style w:type="paragraph" w:styleId="683" w:customStyle="1">
    <w:name w:val="Normal1"/>
    <w:pPr>
      <w:jc w:val="both"/>
      <w:spacing w:after="0" w:line="240" w:lineRule="auto"/>
    </w:pPr>
    <w:rPr>
      <w:rFonts w:ascii="Arial" w:hAnsi="Arial" w:eastAsia="Times New Roman" w:cs="Times New Roman"/>
      <w:sz w:val="28"/>
      <w:szCs w:val="20"/>
      <w:lang w:eastAsia="ru-RU"/>
    </w:rPr>
  </w:style>
  <w:style w:type="paragraph" w:styleId="684" w:customStyle="1">
    <w:name w:val="Стиль шаблон"/>
    <w:basedOn w:val="687"/>
    <w:pPr>
      <w:numPr>
        <w:ilvl w:val="0"/>
        <w:numId w:val="1"/>
      </w:numPr>
      <w:ind w:left="0" w:firstLine="0"/>
      <w:jc w:val="both"/>
      <w:spacing w:after="0" w:line="240" w:lineRule="auto"/>
      <w:tabs>
        <w:tab w:val="num" w:pos="360" w:leader="none"/>
        <w:tab w:val="clear" w:pos="1080" w:leader="none"/>
      </w:tabs>
    </w:pPr>
    <w:rPr>
      <w:bCs/>
      <w:sz w:val="28"/>
      <w:szCs w:val="20"/>
    </w:rPr>
  </w:style>
  <w:style w:type="paragraph" w:styleId="685" w:customStyle="1">
    <w:name w:val="Нормальный (таблица)"/>
    <w:basedOn w:val="674"/>
    <w:next w:val="674"/>
    <w:pPr>
      <w:jc w:val="both"/>
      <w:widowControl w:val="off"/>
    </w:pPr>
    <w:rPr>
      <w:rFonts w:ascii="Arial" w:hAnsi="Arial" w:cs="Arial"/>
    </w:rPr>
  </w:style>
  <w:style w:type="paragraph" w:styleId="686" w:customStyle="1">
    <w:name w:val="Прижатый влево"/>
    <w:basedOn w:val="674"/>
    <w:next w:val="674"/>
    <w:pPr>
      <w:widowControl w:val="off"/>
    </w:pPr>
    <w:rPr>
      <w:rFonts w:ascii="Arial" w:hAnsi="Arial" w:cs="Arial"/>
    </w:rPr>
  </w:style>
  <w:style w:type="paragraph" w:styleId="687">
    <w:name w:val="Body Text 2"/>
    <w:basedOn w:val="674"/>
    <w:link w:val="688"/>
    <w:uiPriority w:val="99"/>
    <w:semiHidden/>
    <w:unhideWhenUsed/>
    <w:pPr>
      <w:spacing w:after="120" w:line="480" w:lineRule="auto"/>
    </w:pPr>
  </w:style>
  <w:style w:type="character" w:styleId="688" w:customStyle="1">
    <w:name w:val="Основной текст 2 Знак"/>
    <w:basedOn w:val="675"/>
    <w:link w:val="687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9">
    <w:name w:val="Balloon Text"/>
    <w:basedOn w:val="674"/>
    <w:link w:val="69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90" w:customStyle="1">
    <w:name w:val="Текст выноски Знак"/>
    <w:basedOn w:val="675"/>
    <w:link w:val="689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691" w:customStyle="1">
    <w:name w:val="ConsNonformat"/>
    <w:pPr>
      <w:ind w:right="19772"/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92" w:customStyle="1">
    <w:name w:val="Знак Знак Знак Знак"/>
    <w:basedOn w:val="67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693" w:customStyle="1">
    <w:name w:val="Основной текст (2)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styleId="694" w:customStyle="1">
    <w:name w:val="s14"/>
    <w:basedOn w:val="674"/>
    <w:pPr>
      <w:spacing w:before="100" w:beforeAutospacing="1" w:after="100" w:afterAutospacing="1"/>
    </w:pPr>
    <w:rPr>
      <w:rFonts w:eastAsia="Calibri"/>
    </w:rPr>
  </w:style>
  <w:style w:type="character" w:styleId="695" w:customStyle="1">
    <w:name w:val="s15"/>
  </w:style>
  <w:style w:type="character" w:styleId="696" w:customStyle="1">
    <w:name w:val="s23"/>
  </w:style>
  <w:style w:type="paragraph" w:styleId="697">
    <w:name w:val="Footer"/>
    <w:basedOn w:val="674"/>
    <w:link w:val="69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8" w:customStyle="1">
    <w:name w:val="Нижний колонтитул Знак"/>
    <w:basedOn w:val="675"/>
    <w:link w:val="69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9">
    <w:name w:val="Body Text"/>
    <w:basedOn w:val="674"/>
    <w:link w:val="700"/>
    <w:uiPriority w:val="99"/>
    <w:semiHidden/>
    <w:unhideWhenUsed/>
    <w:pPr>
      <w:spacing w:after="120"/>
    </w:pPr>
  </w:style>
  <w:style w:type="character" w:styleId="700" w:customStyle="1">
    <w:name w:val="Основной текст Знак"/>
    <w:basedOn w:val="675"/>
    <w:link w:val="699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E478B2C2D70A9EE1D0D223C9C54A3869133673247E002A008D80FE108DB5F87849E128D62BC87AD7pDh7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Пермская таможня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Алия Маратовна</dc:creator>
  <cp:keywords/>
  <dc:description/>
  <cp:lastModifiedBy>oto_Khokhlova</cp:lastModifiedBy>
  <cp:revision>3</cp:revision>
  <dcterms:created xsi:type="dcterms:W3CDTF">2025-04-28T10:54:00Z</dcterms:created>
  <dcterms:modified xsi:type="dcterms:W3CDTF">2026-08-05T08:39:18Z</dcterms:modified>
</cp:coreProperties>
</file>