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1B" w:rsidRPr="00D6475E" w:rsidRDefault="009C24F5" w:rsidP="00074A24">
      <w:pPr>
        <w:spacing w:line="276" w:lineRule="auto"/>
        <w:jc w:val="center"/>
        <w:rPr>
          <w:b/>
          <w:color w:val="000000"/>
          <w:spacing w:val="-3"/>
        </w:rPr>
      </w:pPr>
      <w:r w:rsidRPr="00D6475E">
        <w:rPr>
          <w:b/>
          <w:color w:val="000000"/>
          <w:spacing w:val="-3"/>
        </w:rPr>
        <w:t xml:space="preserve">Техническая часть </w:t>
      </w:r>
    </w:p>
    <w:p w:rsidR="007C4B3C" w:rsidRPr="00D6475E" w:rsidRDefault="007C4B3C" w:rsidP="00082EEA">
      <w:pPr>
        <w:pStyle w:val="a9"/>
        <w:rPr>
          <w:b/>
        </w:rPr>
      </w:pPr>
      <w:bookmarkStart w:id="0" w:name="_Hlk152683495"/>
      <w:bookmarkStart w:id="1" w:name="_Hlk158107275"/>
    </w:p>
    <w:tbl>
      <w:tblPr>
        <w:tblpPr w:leftFromText="180" w:rightFromText="180" w:vertAnchor="text" w:horzAnchor="margin" w:tblpX="-181" w:tblpY="80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1702"/>
        <w:gridCol w:w="1276"/>
        <w:gridCol w:w="709"/>
        <w:gridCol w:w="1701"/>
        <w:gridCol w:w="2977"/>
        <w:gridCol w:w="1134"/>
        <w:gridCol w:w="2976"/>
        <w:gridCol w:w="1134"/>
        <w:gridCol w:w="1134"/>
      </w:tblGrid>
      <w:tr w:rsidR="007626E5" w:rsidRPr="00D6475E" w:rsidTr="00AD1795">
        <w:trPr>
          <w:trHeight w:val="414"/>
        </w:trPr>
        <w:tc>
          <w:tcPr>
            <w:tcW w:w="561" w:type="dxa"/>
            <w:vMerge w:val="restart"/>
          </w:tcPr>
          <w:p w:rsidR="007626E5" w:rsidRPr="00D6475E" w:rsidRDefault="007626E5" w:rsidP="00AD1795">
            <w:pPr>
              <w:shd w:val="clear" w:color="auto" w:fill="FFFFFF"/>
              <w:ind w:right="-57"/>
              <w:jc w:val="center"/>
            </w:pPr>
            <w:r w:rsidRPr="00D6475E">
              <w:t xml:space="preserve">№ </w:t>
            </w:r>
            <w:proofErr w:type="gramStart"/>
            <w:r w:rsidRPr="00D6475E">
              <w:t>п</w:t>
            </w:r>
            <w:proofErr w:type="gramEnd"/>
            <w:r w:rsidRPr="00D6475E">
              <w:t>/п</w:t>
            </w:r>
          </w:p>
        </w:tc>
        <w:tc>
          <w:tcPr>
            <w:tcW w:w="1702" w:type="dxa"/>
            <w:vMerge w:val="restart"/>
          </w:tcPr>
          <w:p w:rsidR="007626E5" w:rsidRPr="00D6475E" w:rsidRDefault="007626E5" w:rsidP="00AD1795">
            <w:pPr>
              <w:shd w:val="clear" w:color="auto" w:fill="FFFFFF"/>
              <w:ind w:left="34" w:right="-57"/>
              <w:jc w:val="center"/>
              <w:rPr>
                <w:vertAlign w:val="superscript"/>
              </w:rPr>
            </w:pPr>
            <w:r w:rsidRPr="00D6475E">
              <w:t xml:space="preserve">Наименование объекта закупки (товара, работы, услуги) </w:t>
            </w:r>
          </w:p>
        </w:tc>
        <w:tc>
          <w:tcPr>
            <w:tcW w:w="1276" w:type="dxa"/>
            <w:vMerge w:val="restart"/>
          </w:tcPr>
          <w:p w:rsidR="007626E5" w:rsidRPr="00D6475E" w:rsidRDefault="007626E5" w:rsidP="00AD1795">
            <w:pPr>
              <w:shd w:val="clear" w:color="auto" w:fill="FFFFFF"/>
              <w:ind w:right="-57"/>
              <w:jc w:val="center"/>
            </w:pPr>
            <w:r w:rsidRPr="00D6475E">
              <w:t>КТРУ</w:t>
            </w:r>
            <w:r w:rsidR="00116867" w:rsidRPr="00D6475E">
              <w:t xml:space="preserve"> / ОКПД</w:t>
            </w:r>
            <w:proofErr w:type="gramStart"/>
            <w:r w:rsidR="00116867" w:rsidRPr="00D6475E">
              <w:t>2</w:t>
            </w:r>
            <w:proofErr w:type="gramEnd"/>
          </w:p>
        </w:tc>
        <w:tc>
          <w:tcPr>
            <w:tcW w:w="9497" w:type="dxa"/>
            <w:gridSpan w:val="5"/>
          </w:tcPr>
          <w:p w:rsidR="007626E5" w:rsidRPr="00D6475E" w:rsidRDefault="007626E5" w:rsidP="00AD1795">
            <w:pPr>
              <w:shd w:val="clear" w:color="auto" w:fill="FFFFFF"/>
              <w:ind w:left="283" w:right="-57"/>
              <w:jc w:val="center"/>
              <w:rPr>
                <w:i/>
              </w:rPr>
            </w:pPr>
            <w:r w:rsidRPr="00D6475E">
              <w:t>Характеристика</w:t>
            </w:r>
          </w:p>
        </w:tc>
        <w:tc>
          <w:tcPr>
            <w:tcW w:w="1134" w:type="dxa"/>
            <w:vMerge w:val="restart"/>
          </w:tcPr>
          <w:p w:rsidR="007626E5" w:rsidRPr="00D6475E" w:rsidRDefault="007626E5" w:rsidP="00AD1795">
            <w:pPr>
              <w:shd w:val="clear" w:color="auto" w:fill="FFFFFF"/>
              <w:ind w:left="34" w:right="-57"/>
              <w:jc w:val="center"/>
              <w:rPr>
                <w:i/>
              </w:rPr>
            </w:pPr>
            <w:r w:rsidRPr="00D6475E">
              <w:t>Единица измерения</w:t>
            </w:r>
          </w:p>
        </w:tc>
        <w:tc>
          <w:tcPr>
            <w:tcW w:w="1134" w:type="dxa"/>
            <w:vMerge w:val="restart"/>
          </w:tcPr>
          <w:p w:rsidR="007626E5" w:rsidRPr="00D6475E" w:rsidRDefault="007626E5" w:rsidP="00AD1795">
            <w:pPr>
              <w:shd w:val="clear" w:color="auto" w:fill="FFFFFF"/>
              <w:ind w:left="34" w:right="-57"/>
              <w:jc w:val="center"/>
              <w:rPr>
                <w:i/>
              </w:rPr>
            </w:pPr>
            <w:r w:rsidRPr="00D6475E">
              <w:t>Количество (объем)</w:t>
            </w:r>
          </w:p>
        </w:tc>
      </w:tr>
      <w:tr w:rsidR="007626E5" w:rsidRPr="00D6475E" w:rsidTr="00AD1795">
        <w:tc>
          <w:tcPr>
            <w:tcW w:w="561" w:type="dxa"/>
            <w:vMerge/>
          </w:tcPr>
          <w:p w:rsidR="007626E5" w:rsidRPr="00D6475E" w:rsidRDefault="007626E5" w:rsidP="00AD1795">
            <w:pPr>
              <w:ind w:firstLine="34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702" w:type="dxa"/>
            <w:vMerge/>
          </w:tcPr>
          <w:p w:rsidR="007626E5" w:rsidRPr="00D6475E" w:rsidRDefault="007626E5" w:rsidP="00AD1795">
            <w:pPr>
              <w:ind w:firstLine="34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7626E5" w:rsidRPr="00D6475E" w:rsidRDefault="007626E5" w:rsidP="00AD1795">
            <w:pPr>
              <w:ind w:firstLine="34"/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709" w:type="dxa"/>
          </w:tcPr>
          <w:p w:rsidR="007626E5" w:rsidRPr="00D6475E" w:rsidRDefault="007626E5" w:rsidP="00AD1795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 xml:space="preserve">№ </w:t>
            </w:r>
            <w:proofErr w:type="gramStart"/>
            <w:r w:rsidRPr="00D6475E">
              <w:rPr>
                <w:bCs/>
                <w:iCs/>
              </w:rPr>
              <w:t>п</w:t>
            </w:r>
            <w:proofErr w:type="gramEnd"/>
            <w:r w:rsidRPr="00D6475E">
              <w:rPr>
                <w:bCs/>
                <w:iCs/>
              </w:rPr>
              <w:t>/п</w:t>
            </w:r>
          </w:p>
        </w:tc>
        <w:tc>
          <w:tcPr>
            <w:tcW w:w="1701" w:type="dxa"/>
          </w:tcPr>
          <w:p w:rsidR="007626E5" w:rsidRPr="00D6475E" w:rsidRDefault="007626E5" w:rsidP="00AD1795">
            <w:pPr>
              <w:contextualSpacing/>
              <w:jc w:val="center"/>
              <w:rPr>
                <w:bCs/>
                <w:i/>
                <w:iCs/>
              </w:rPr>
            </w:pPr>
            <w:r w:rsidRPr="00D6475E">
              <w:rPr>
                <w:bCs/>
                <w:iCs/>
              </w:rPr>
              <w:t>Наименование характеристики</w:t>
            </w:r>
          </w:p>
        </w:tc>
        <w:tc>
          <w:tcPr>
            <w:tcW w:w="2977" w:type="dxa"/>
          </w:tcPr>
          <w:p w:rsidR="007626E5" w:rsidRPr="00D6475E" w:rsidRDefault="007626E5" w:rsidP="00AD1795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Значение характеристики</w:t>
            </w:r>
          </w:p>
        </w:tc>
        <w:tc>
          <w:tcPr>
            <w:tcW w:w="1134" w:type="dxa"/>
          </w:tcPr>
          <w:p w:rsidR="007626E5" w:rsidRPr="00D6475E" w:rsidRDefault="007626E5" w:rsidP="00AD1795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Единица измерения характеристики</w:t>
            </w:r>
          </w:p>
        </w:tc>
        <w:tc>
          <w:tcPr>
            <w:tcW w:w="2976" w:type="dxa"/>
          </w:tcPr>
          <w:p w:rsidR="007626E5" w:rsidRPr="00D6475E" w:rsidRDefault="007626E5" w:rsidP="00AD1795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Соответствие КТРУ, обоснование дополнительной характеристики</w:t>
            </w:r>
          </w:p>
        </w:tc>
        <w:tc>
          <w:tcPr>
            <w:tcW w:w="1134" w:type="dxa"/>
            <w:vMerge/>
          </w:tcPr>
          <w:p w:rsidR="007626E5" w:rsidRPr="00D6475E" w:rsidRDefault="007626E5" w:rsidP="00AD1795">
            <w:pPr>
              <w:shd w:val="clear" w:color="auto" w:fill="FFFFFF"/>
              <w:ind w:left="34" w:right="-57"/>
              <w:jc w:val="center"/>
            </w:pPr>
          </w:p>
        </w:tc>
        <w:tc>
          <w:tcPr>
            <w:tcW w:w="1134" w:type="dxa"/>
            <w:vMerge/>
          </w:tcPr>
          <w:p w:rsidR="007626E5" w:rsidRPr="00D6475E" w:rsidRDefault="007626E5" w:rsidP="00AD1795">
            <w:pPr>
              <w:shd w:val="clear" w:color="auto" w:fill="FFFFFF"/>
              <w:ind w:left="34" w:right="-57"/>
              <w:jc w:val="center"/>
            </w:pPr>
          </w:p>
        </w:tc>
      </w:tr>
      <w:tr w:rsidR="005B38C1" w:rsidRPr="00D6475E" w:rsidTr="00AD1795">
        <w:trPr>
          <w:trHeight w:val="425"/>
        </w:trPr>
        <w:tc>
          <w:tcPr>
            <w:tcW w:w="561" w:type="dxa"/>
            <w:vMerge w:val="restart"/>
          </w:tcPr>
          <w:p w:rsidR="005B38C1" w:rsidRPr="00D6475E" w:rsidRDefault="005B38C1" w:rsidP="005B38C1">
            <w:pPr>
              <w:contextualSpacing/>
              <w:rPr>
                <w:bCs/>
                <w:iCs/>
              </w:rPr>
            </w:pPr>
            <w:r w:rsidRPr="00D6475E">
              <w:rPr>
                <w:bCs/>
                <w:iCs/>
              </w:rPr>
              <w:t xml:space="preserve"> 1</w:t>
            </w:r>
          </w:p>
        </w:tc>
        <w:tc>
          <w:tcPr>
            <w:tcW w:w="1702" w:type="dxa"/>
            <w:vMerge w:val="restart"/>
          </w:tcPr>
          <w:p w:rsidR="005B38C1" w:rsidRPr="00D6475E" w:rsidRDefault="005B38C1" w:rsidP="005B38C1">
            <w:pPr>
              <w:contextualSpacing/>
              <w:rPr>
                <w:bCs/>
                <w:iCs/>
              </w:rPr>
            </w:pPr>
            <w:r w:rsidRPr="00D6475E">
              <w:t>Программное обеспечение</w:t>
            </w:r>
          </w:p>
        </w:tc>
        <w:tc>
          <w:tcPr>
            <w:tcW w:w="1276" w:type="dxa"/>
            <w:vMerge w:val="restart"/>
          </w:tcPr>
          <w:p w:rsidR="005B38C1" w:rsidRPr="00D6475E" w:rsidRDefault="005B38C1" w:rsidP="005B38C1">
            <w:pPr>
              <w:contextualSpacing/>
              <w:rPr>
                <w:bCs/>
                <w:iCs/>
              </w:rPr>
            </w:pPr>
            <w:r w:rsidRPr="00D6475E">
              <w:rPr>
                <w:bCs/>
                <w:iCs/>
              </w:rPr>
              <w:t>58.29.11.000-00000004</w:t>
            </w:r>
          </w:p>
        </w:tc>
        <w:tc>
          <w:tcPr>
            <w:tcW w:w="709" w:type="dxa"/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1</w:t>
            </w:r>
          </w:p>
        </w:tc>
        <w:tc>
          <w:tcPr>
            <w:tcW w:w="1701" w:type="dxa"/>
          </w:tcPr>
          <w:p w:rsidR="005B38C1" w:rsidRPr="00D6475E" w:rsidRDefault="005B38C1" w:rsidP="005B38C1">
            <w:pPr>
              <w:contextualSpacing/>
              <w:rPr>
                <w:bCs/>
                <w:iCs/>
              </w:rPr>
            </w:pPr>
            <w:r w:rsidRPr="00D6475E">
              <w:t>Вид лицензии</w:t>
            </w:r>
          </w:p>
        </w:tc>
        <w:tc>
          <w:tcPr>
            <w:tcW w:w="2977" w:type="dxa"/>
          </w:tcPr>
          <w:p w:rsidR="005B38C1" w:rsidRPr="00D6475E" w:rsidRDefault="005B38C1" w:rsidP="005B38C1">
            <w:pPr>
              <w:jc w:val="center"/>
            </w:pPr>
            <w:r w:rsidRPr="00D6475E">
              <w:t>Простая (неисключительная)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Соответствие КТРУ</w:t>
            </w:r>
          </w:p>
        </w:tc>
        <w:tc>
          <w:tcPr>
            <w:tcW w:w="1134" w:type="dxa"/>
            <w:vMerge w:val="restart"/>
          </w:tcPr>
          <w:p w:rsidR="005B38C1" w:rsidRPr="00D6475E" w:rsidRDefault="002C0D45" w:rsidP="005B38C1">
            <w:pPr>
              <w:ind w:firstLine="34"/>
              <w:contextualSpacing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Усл.ед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1134" w:type="dxa"/>
            <w:vMerge w:val="restart"/>
          </w:tcPr>
          <w:p w:rsidR="005B38C1" w:rsidRPr="00D6475E" w:rsidRDefault="002E7120" w:rsidP="005B38C1">
            <w:pPr>
              <w:ind w:firstLine="34"/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1</w:t>
            </w:r>
          </w:p>
        </w:tc>
      </w:tr>
      <w:tr w:rsidR="005B38C1" w:rsidRPr="00D6475E" w:rsidTr="00AD1795">
        <w:trPr>
          <w:trHeight w:val="417"/>
        </w:trPr>
        <w:tc>
          <w:tcPr>
            <w:tcW w:w="561" w:type="dxa"/>
            <w:vMerge/>
          </w:tcPr>
          <w:p w:rsidR="005B38C1" w:rsidRPr="00D6475E" w:rsidRDefault="005B38C1" w:rsidP="005B38C1">
            <w:pPr>
              <w:shd w:val="clear" w:color="auto" w:fill="FFFFFF"/>
              <w:ind w:right="-57"/>
            </w:pPr>
          </w:p>
        </w:tc>
        <w:tc>
          <w:tcPr>
            <w:tcW w:w="1702" w:type="dxa"/>
            <w:vMerge/>
          </w:tcPr>
          <w:p w:rsidR="005B38C1" w:rsidRPr="00D6475E" w:rsidRDefault="005B38C1" w:rsidP="005B38C1">
            <w:pPr>
              <w:shd w:val="clear" w:color="auto" w:fill="FFFFFF"/>
              <w:ind w:right="-57"/>
            </w:pPr>
          </w:p>
        </w:tc>
        <w:tc>
          <w:tcPr>
            <w:tcW w:w="1276" w:type="dxa"/>
            <w:vMerge/>
          </w:tcPr>
          <w:p w:rsidR="005B38C1" w:rsidRPr="00D6475E" w:rsidRDefault="005B38C1" w:rsidP="005B38C1">
            <w:pPr>
              <w:shd w:val="clear" w:color="auto" w:fill="FFFFFF"/>
              <w:ind w:right="-57"/>
            </w:pPr>
          </w:p>
        </w:tc>
        <w:tc>
          <w:tcPr>
            <w:tcW w:w="709" w:type="dxa"/>
          </w:tcPr>
          <w:p w:rsidR="005B38C1" w:rsidRPr="00D6475E" w:rsidRDefault="005B38C1" w:rsidP="005B38C1">
            <w:pPr>
              <w:shd w:val="clear" w:color="auto" w:fill="FFFFFF"/>
              <w:ind w:right="-57"/>
              <w:jc w:val="center"/>
            </w:pPr>
            <w:r w:rsidRPr="00D6475E">
              <w:t>2</w:t>
            </w:r>
          </w:p>
        </w:tc>
        <w:tc>
          <w:tcPr>
            <w:tcW w:w="1701" w:type="dxa"/>
          </w:tcPr>
          <w:p w:rsidR="005B38C1" w:rsidRPr="00D6475E" w:rsidRDefault="005B38C1" w:rsidP="005B38C1">
            <w:pPr>
              <w:shd w:val="clear" w:color="auto" w:fill="FFFFFF"/>
              <w:ind w:right="-57"/>
            </w:pPr>
            <w:r w:rsidRPr="00D6475E">
              <w:t>Способ предоставления</w:t>
            </w:r>
          </w:p>
        </w:tc>
        <w:tc>
          <w:tcPr>
            <w:tcW w:w="2977" w:type="dxa"/>
          </w:tcPr>
          <w:p w:rsidR="005B38C1" w:rsidRPr="00D6475E" w:rsidRDefault="005B38C1" w:rsidP="005B38C1">
            <w:pPr>
              <w:jc w:val="both"/>
            </w:pPr>
            <w:r w:rsidRPr="00D6475E">
              <w:t>Удаленный доступ через информационно-телекоммуникационные сети, в том числе через информационно-телекоммуникационную сеть Интернет</w:t>
            </w:r>
          </w:p>
        </w:tc>
        <w:tc>
          <w:tcPr>
            <w:tcW w:w="1134" w:type="dxa"/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/>
                <w:iCs/>
              </w:rPr>
            </w:pPr>
            <w:r w:rsidRPr="00D6475E">
              <w:rPr>
                <w:bCs/>
                <w:iCs/>
              </w:rPr>
              <w:t>Соответствие КТРУ</w:t>
            </w:r>
          </w:p>
        </w:tc>
        <w:tc>
          <w:tcPr>
            <w:tcW w:w="1134" w:type="dxa"/>
            <w:vMerge/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5B38C1" w:rsidRPr="00D6475E" w:rsidTr="00AD1795">
        <w:trPr>
          <w:trHeight w:val="409"/>
        </w:trPr>
        <w:tc>
          <w:tcPr>
            <w:tcW w:w="561" w:type="dxa"/>
            <w:vMerge/>
          </w:tcPr>
          <w:p w:rsidR="005B38C1" w:rsidRPr="00D6475E" w:rsidRDefault="005B38C1" w:rsidP="005B38C1">
            <w:pPr>
              <w:shd w:val="clear" w:color="auto" w:fill="FFFFFF"/>
              <w:ind w:left="34" w:right="-57"/>
            </w:pPr>
          </w:p>
        </w:tc>
        <w:tc>
          <w:tcPr>
            <w:tcW w:w="1702" w:type="dxa"/>
            <w:vMerge/>
          </w:tcPr>
          <w:p w:rsidR="005B38C1" w:rsidRPr="00D6475E" w:rsidRDefault="005B38C1" w:rsidP="005B38C1">
            <w:pPr>
              <w:shd w:val="clear" w:color="auto" w:fill="FFFFFF"/>
              <w:ind w:left="34" w:right="-57"/>
            </w:pPr>
          </w:p>
        </w:tc>
        <w:tc>
          <w:tcPr>
            <w:tcW w:w="1276" w:type="dxa"/>
            <w:vMerge/>
          </w:tcPr>
          <w:p w:rsidR="005B38C1" w:rsidRPr="00D6475E" w:rsidRDefault="005B38C1" w:rsidP="005B38C1">
            <w:pPr>
              <w:shd w:val="clear" w:color="auto" w:fill="FFFFFF"/>
              <w:ind w:left="34" w:right="-57"/>
            </w:pPr>
          </w:p>
        </w:tc>
        <w:tc>
          <w:tcPr>
            <w:tcW w:w="709" w:type="dxa"/>
          </w:tcPr>
          <w:p w:rsidR="005B38C1" w:rsidRPr="00D6475E" w:rsidRDefault="005B38C1" w:rsidP="005B38C1">
            <w:pPr>
              <w:shd w:val="clear" w:color="auto" w:fill="FFFFFF"/>
              <w:ind w:left="34" w:right="-57"/>
              <w:jc w:val="center"/>
            </w:pPr>
            <w:r w:rsidRPr="00D6475E">
              <w:t>3</w:t>
            </w:r>
          </w:p>
        </w:tc>
        <w:tc>
          <w:tcPr>
            <w:tcW w:w="1701" w:type="dxa"/>
          </w:tcPr>
          <w:p w:rsidR="005B38C1" w:rsidRPr="00D6475E" w:rsidRDefault="005B38C1" w:rsidP="005B38C1">
            <w:pPr>
              <w:shd w:val="clear" w:color="auto" w:fill="FFFFFF"/>
              <w:ind w:left="34" w:right="-57"/>
            </w:pPr>
            <w:r w:rsidRPr="00D6475E">
              <w:t xml:space="preserve">Класс программ для электронных вычислительных машин и баз данных </w:t>
            </w:r>
          </w:p>
        </w:tc>
        <w:tc>
          <w:tcPr>
            <w:tcW w:w="2977" w:type="dxa"/>
          </w:tcPr>
          <w:p w:rsidR="005B38C1" w:rsidRPr="00D6475E" w:rsidRDefault="005B38C1" w:rsidP="005B38C1">
            <w:pPr>
              <w:shd w:val="clear" w:color="auto" w:fill="FFFFFF"/>
              <w:ind w:right="-57"/>
              <w:jc w:val="both"/>
            </w:pPr>
            <w:r w:rsidRPr="00D6475E">
              <w:t>(09.17) Программное обеспечение для функционирования системы юридически значимого электронного документооборота</w:t>
            </w:r>
          </w:p>
          <w:p w:rsidR="005B38C1" w:rsidRPr="00D6475E" w:rsidRDefault="005B38C1" w:rsidP="005B38C1">
            <w:pPr>
              <w:shd w:val="clear" w:color="auto" w:fill="FFFFFF"/>
              <w:ind w:right="-57"/>
              <w:jc w:val="both"/>
            </w:pPr>
          </w:p>
        </w:tc>
        <w:tc>
          <w:tcPr>
            <w:tcW w:w="1134" w:type="dxa"/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/>
                <w:iCs/>
              </w:rPr>
            </w:pPr>
            <w:r w:rsidRPr="00D6475E">
              <w:rPr>
                <w:bCs/>
                <w:iCs/>
              </w:rPr>
              <w:t>Соответствие КТРУ</w:t>
            </w:r>
          </w:p>
        </w:tc>
        <w:tc>
          <w:tcPr>
            <w:tcW w:w="1134" w:type="dxa"/>
            <w:vMerge/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5B38C1" w:rsidRPr="00D6475E" w:rsidTr="00AD1795">
        <w:trPr>
          <w:trHeight w:val="268"/>
        </w:trPr>
        <w:tc>
          <w:tcPr>
            <w:tcW w:w="561" w:type="dxa"/>
            <w:vMerge/>
          </w:tcPr>
          <w:p w:rsidR="005B38C1" w:rsidRPr="00D6475E" w:rsidRDefault="005B38C1" w:rsidP="005B38C1">
            <w:pPr>
              <w:shd w:val="clear" w:color="auto" w:fill="FFFFFF"/>
              <w:ind w:left="34" w:right="-57"/>
            </w:pPr>
          </w:p>
        </w:tc>
        <w:tc>
          <w:tcPr>
            <w:tcW w:w="1702" w:type="dxa"/>
            <w:vMerge/>
          </w:tcPr>
          <w:p w:rsidR="005B38C1" w:rsidRPr="00D6475E" w:rsidRDefault="005B38C1" w:rsidP="005B38C1">
            <w:pPr>
              <w:shd w:val="clear" w:color="auto" w:fill="FFFFFF"/>
              <w:ind w:left="34" w:right="-57"/>
            </w:pPr>
          </w:p>
        </w:tc>
        <w:tc>
          <w:tcPr>
            <w:tcW w:w="1276" w:type="dxa"/>
            <w:vMerge/>
          </w:tcPr>
          <w:p w:rsidR="005B38C1" w:rsidRPr="00D6475E" w:rsidRDefault="005B38C1" w:rsidP="005B38C1">
            <w:pPr>
              <w:shd w:val="clear" w:color="auto" w:fill="FFFFFF"/>
              <w:ind w:left="34" w:right="-57"/>
            </w:pPr>
          </w:p>
        </w:tc>
        <w:tc>
          <w:tcPr>
            <w:tcW w:w="9497" w:type="dxa"/>
            <w:gridSpan w:val="5"/>
          </w:tcPr>
          <w:p w:rsidR="005B38C1" w:rsidRPr="00D6475E" w:rsidRDefault="005B38C1" w:rsidP="005B38C1">
            <w:pPr>
              <w:contextualSpacing/>
              <w:jc w:val="center"/>
              <w:rPr>
                <w:b/>
                <w:bCs/>
                <w:iCs/>
              </w:rPr>
            </w:pPr>
            <w:r w:rsidRPr="00D6475E">
              <w:rPr>
                <w:b/>
                <w:bCs/>
                <w:iCs/>
              </w:rPr>
              <w:t>Дополнительная информация, не содержащаяся в КТРУ</w:t>
            </w:r>
          </w:p>
        </w:tc>
        <w:tc>
          <w:tcPr>
            <w:tcW w:w="1134" w:type="dxa"/>
            <w:vMerge/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5B38C1" w:rsidRPr="00D6475E" w:rsidTr="00AD1795">
        <w:trPr>
          <w:trHeight w:val="409"/>
        </w:trPr>
        <w:tc>
          <w:tcPr>
            <w:tcW w:w="561" w:type="dxa"/>
            <w:vMerge/>
          </w:tcPr>
          <w:p w:rsidR="005B38C1" w:rsidRPr="00D6475E" w:rsidRDefault="005B38C1" w:rsidP="005B38C1">
            <w:pPr>
              <w:shd w:val="clear" w:color="auto" w:fill="FFFFFF"/>
              <w:ind w:left="34" w:right="-57"/>
            </w:pPr>
          </w:p>
        </w:tc>
        <w:tc>
          <w:tcPr>
            <w:tcW w:w="1702" w:type="dxa"/>
            <w:vMerge/>
          </w:tcPr>
          <w:p w:rsidR="005B38C1" w:rsidRPr="00D6475E" w:rsidRDefault="005B38C1" w:rsidP="005B38C1">
            <w:pPr>
              <w:shd w:val="clear" w:color="auto" w:fill="FFFFFF"/>
              <w:ind w:left="34" w:right="-57"/>
            </w:pPr>
          </w:p>
        </w:tc>
        <w:tc>
          <w:tcPr>
            <w:tcW w:w="1276" w:type="dxa"/>
            <w:vMerge/>
          </w:tcPr>
          <w:p w:rsidR="005B38C1" w:rsidRPr="00D6475E" w:rsidRDefault="005B38C1" w:rsidP="005B38C1">
            <w:pPr>
              <w:shd w:val="clear" w:color="auto" w:fill="FFFFFF"/>
              <w:ind w:left="34" w:right="-57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B38C1" w:rsidRPr="00D6475E" w:rsidRDefault="005B38C1" w:rsidP="005B38C1">
            <w:pPr>
              <w:contextualSpacing/>
              <w:rPr>
                <w:bCs/>
                <w:iCs/>
              </w:rPr>
            </w:pPr>
            <w:r w:rsidRPr="00D6475E">
              <w:rPr>
                <w:bCs/>
                <w:iCs/>
              </w:rPr>
              <w:t>Описание программного обеспечения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B38C1" w:rsidRPr="00D6475E" w:rsidRDefault="005B38C1" w:rsidP="005B38C1">
            <w:pPr>
              <w:jc w:val="both"/>
            </w:pPr>
            <w:r w:rsidRPr="00D6475E">
              <w:t xml:space="preserve">Право </w:t>
            </w:r>
            <w:bookmarkStart w:id="2" w:name="_Hlk222214143"/>
            <w:r w:rsidRPr="00D6475E">
              <w:t xml:space="preserve">использования программы для ЭВМ </w:t>
            </w:r>
            <w:r w:rsidR="009C24F5" w:rsidRPr="00D6475E">
              <w:t>«</w:t>
            </w:r>
            <w:proofErr w:type="spellStart"/>
            <w:r w:rsidRPr="00D6475E">
              <w:t>Контур</w:t>
            </w:r>
            <w:proofErr w:type="gramStart"/>
            <w:r w:rsidRPr="00D6475E">
              <w:t>.Э</w:t>
            </w:r>
            <w:proofErr w:type="gramEnd"/>
            <w:r w:rsidRPr="00D6475E">
              <w:t>кстерн</w:t>
            </w:r>
            <w:proofErr w:type="spellEnd"/>
            <w:r w:rsidR="009C24F5" w:rsidRPr="00D6475E">
              <w:t>»</w:t>
            </w:r>
            <w:r w:rsidRPr="00D6475E">
              <w:t xml:space="preserve"> </w:t>
            </w:r>
            <w:r w:rsidR="00F92A0A" w:rsidRPr="00D6475E">
              <w:t>в режиме «Обслуживающая бухгалтерия»</w:t>
            </w:r>
            <w:r w:rsidR="009C24F5" w:rsidRPr="00D6475E">
              <w:t>»</w:t>
            </w:r>
            <w:r w:rsidRPr="00D6475E">
              <w:t xml:space="preserve"> на 1 год,</w:t>
            </w:r>
            <w:r w:rsidR="00F92A0A" w:rsidRPr="00D6475E">
              <w:t xml:space="preserve"> 1+9 абонентов</w:t>
            </w:r>
            <w:r w:rsidRPr="00D6475E">
              <w:t xml:space="preserve"> с применением встроенных в сертификат/ключевой контейнер СКЗИ </w:t>
            </w:r>
            <w:r w:rsidR="009C24F5" w:rsidRPr="00D6475E">
              <w:lastRenderedPageBreak/>
              <w:t>«</w:t>
            </w:r>
            <w:proofErr w:type="spellStart"/>
            <w:r w:rsidRPr="00D6475E">
              <w:t>КриптоПро</w:t>
            </w:r>
            <w:proofErr w:type="spellEnd"/>
            <w:r w:rsidRPr="00D6475E">
              <w:t xml:space="preserve"> CSP</w:t>
            </w:r>
            <w:bookmarkEnd w:id="2"/>
            <w:r w:rsidR="009C24F5" w:rsidRPr="00D6475E">
              <w:t>»</w:t>
            </w:r>
            <w:r w:rsidR="00400517" w:rsidRPr="00D6475E">
              <w:t xml:space="preserve">  *</w:t>
            </w:r>
            <w:bookmarkStart w:id="3" w:name="_GoBack"/>
            <w:bookmarkEnd w:id="3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38C1" w:rsidRPr="00D6475E" w:rsidRDefault="005B38C1" w:rsidP="005B38C1">
            <w:pPr>
              <w:contextualSpacing/>
              <w:jc w:val="center"/>
              <w:rPr>
                <w:b/>
                <w:bCs/>
                <w:iCs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5B38C1" w:rsidRPr="00D6475E" w:rsidRDefault="005B38C1" w:rsidP="009C24F5">
            <w:pPr>
              <w:contextualSpacing/>
              <w:jc w:val="center"/>
              <w:rPr>
                <w:b/>
                <w:bCs/>
                <w:iCs/>
              </w:rPr>
            </w:pPr>
            <w:r w:rsidRPr="00D6475E">
              <w:rPr>
                <w:lang w:eastAsia="en-US"/>
              </w:rPr>
              <w:t xml:space="preserve">Применение параметров, условных обозначений и терминологии, касающихся технических, функциональных и качественных характеристик оказываемых услуг, не учтенных каталогом </w:t>
            </w:r>
            <w:r w:rsidRPr="00D6475E">
              <w:rPr>
                <w:lang w:eastAsia="en-US"/>
              </w:rPr>
              <w:lastRenderedPageBreak/>
              <w:t xml:space="preserve">товаров, работ, услуг обусловлено необходимостью оказания услуг надлежащего качества, с параметрами в наибольшей степени, удовлетворяющими потребности </w:t>
            </w:r>
            <w:r w:rsidR="009C24F5" w:rsidRPr="00D6475E">
              <w:rPr>
                <w:lang w:eastAsia="en-US"/>
              </w:rPr>
              <w:t>Лицензиата</w:t>
            </w:r>
          </w:p>
        </w:tc>
        <w:tc>
          <w:tcPr>
            <w:tcW w:w="1134" w:type="dxa"/>
            <w:vMerge/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</w:tcPr>
          <w:p w:rsidR="005B38C1" w:rsidRPr="00D6475E" w:rsidRDefault="005B38C1" w:rsidP="005B38C1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002554" w:rsidRPr="00D6475E" w:rsidTr="009C24F5">
        <w:trPr>
          <w:trHeight w:val="425"/>
        </w:trPr>
        <w:tc>
          <w:tcPr>
            <w:tcW w:w="561" w:type="dxa"/>
            <w:vMerge w:val="restart"/>
          </w:tcPr>
          <w:p w:rsidR="00002554" w:rsidRPr="00D6475E" w:rsidRDefault="00002554" w:rsidP="00002554">
            <w:pPr>
              <w:contextualSpacing/>
              <w:rPr>
                <w:bCs/>
                <w:iCs/>
              </w:rPr>
            </w:pPr>
            <w:r w:rsidRPr="00D6475E">
              <w:rPr>
                <w:bCs/>
                <w:iCs/>
              </w:rPr>
              <w:lastRenderedPageBreak/>
              <w:t>2</w:t>
            </w:r>
          </w:p>
        </w:tc>
        <w:tc>
          <w:tcPr>
            <w:tcW w:w="1702" w:type="dxa"/>
            <w:vMerge w:val="restart"/>
          </w:tcPr>
          <w:p w:rsidR="00002554" w:rsidRPr="00D6475E" w:rsidRDefault="00002554" w:rsidP="00002554">
            <w:pPr>
              <w:contextualSpacing/>
              <w:rPr>
                <w:bCs/>
                <w:iCs/>
              </w:rPr>
            </w:pPr>
            <w:r w:rsidRPr="00D6475E">
              <w:t>Программное обеспечение</w:t>
            </w:r>
          </w:p>
        </w:tc>
        <w:tc>
          <w:tcPr>
            <w:tcW w:w="1276" w:type="dxa"/>
            <w:vMerge w:val="restart"/>
          </w:tcPr>
          <w:p w:rsidR="00002554" w:rsidRPr="00D6475E" w:rsidRDefault="00002554" w:rsidP="00002554">
            <w:pPr>
              <w:contextualSpacing/>
              <w:rPr>
                <w:bCs/>
                <w:iCs/>
              </w:rPr>
            </w:pPr>
            <w:r w:rsidRPr="00D6475E">
              <w:rPr>
                <w:bCs/>
                <w:iCs/>
              </w:rPr>
              <w:t>58.29.11.000-00000004</w:t>
            </w:r>
          </w:p>
        </w:tc>
        <w:tc>
          <w:tcPr>
            <w:tcW w:w="709" w:type="dxa"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1</w:t>
            </w:r>
          </w:p>
        </w:tc>
        <w:tc>
          <w:tcPr>
            <w:tcW w:w="1701" w:type="dxa"/>
          </w:tcPr>
          <w:p w:rsidR="00002554" w:rsidRPr="00D6475E" w:rsidRDefault="00002554" w:rsidP="00002554">
            <w:pPr>
              <w:contextualSpacing/>
              <w:rPr>
                <w:bCs/>
                <w:iCs/>
              </w:rPr>
            </w:pPr>
            <w:r w:rsidRPr="00D6475E">
              <w:t>Вид лицензии</w:t>
            </w:r>
          </w:p>
        </w:tc>
        <w:tc>
          <w:tcPr>
            <w:tcW w:w="2977" w:type="dxa"/>
          </w:tcPr>
          <w:p w:rsidR="00002554" w:rsidRPr="00D6475E" w:rsidRDefault="00002554" w:rsidP="00002554">
            <w:pPr>
              <w:jc w:val="center"/>
            </w:pPr>
            <w:r w:rsidRPr="00D6475E">
              <w:t>Простая (неисключительная)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Соответствие КТРУ</w:t>
            </w:r>
          </w:p>
        </w:tc>
        <w:tc>
          <w:tcPr>
            <w:tcW w:w="1134" w:type="dxa"/>
            <w:vMerge w:val="restart"/>
          </w:tcPr>
          <w:p w:rsidR="00002554" w:rsidRPr="00D6475E" w:rsidRDefault="002C0D45" w:rsidP="00002554">
            <w:pPr>
              <w:ind w:firstLine="34"/>
              <w:contextualSpacing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Усл</w:t>
            </w:r>
            <w:proofErr w:type="spellEnd"/>
            <w:r>
              <w:rPr>
                <w:bCs/>
                <w:iCs/>
              </w:rPr>
              <w:t>. ед.</w:t>
            </w:r>
          </w:p>
        </w:tc>
        <w:tc>
          <w:tcPr>
            <w:tcW w:w="1134" w:type="dxa"/>
            <w:vMerge w:val="restart"/>
          </w:tcPr>
          <w:p w:rsidR="00002554" w:rsidRPr="00D6475E" w:rsidRDefault="00002554" w:rsidP="00002554">
            <w:pPr>
              <w:ind w:firstLine="34"/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1</w:t>
            </w:r>
          </w:p>
        </w:tc>
      </w:tr>
      <w:tr w:rsidR="00002554" w:rsidRPr="00D6475E" w:rsidTr="009C24F5">
        <w:trPr>
          <w:trHeight w:val="417"/>
        </w:trPr>
        <w:tc>
          <w:tcPr>
            <w:tcW w:w="561" w:type="dxa"/>
            <w:vMerge/>
          </w:tcPr>
          <w:p w:rsidR="00002554" w:rsidRPr="00D6475E" w:rsidRDefault="00002554" w:rsidP="00002554">
            <w:pPr>
              <w:shd w:val="clear" w:color="auto" w:fill="FFFFFF"/>
              <w:ind w:right="-57"/>
            </w:pPr>
          </w:p>
        </w:tc>
        <w:tc>
          <w:tcPr>
            <w:tcW w:w="1702" w:type="dxa"/>
            <w:vMerge/>
          </w:tcPr>
          <w:p w:rsidR="00002554" w:rsidRPr="00D6475E" w:rsidRDefault="00002554" w:rsidP="00002554">
            <w:pPr>
              <w:shd w:val="clear" w:color="auto" w:fill="FFFFFF"/>
              <w:ind w:right="-57"/>
            </w:pPr>
          </w:p>
        </w:tc>
        <w:tc>
          <w:tcPr>
            <w:tcW w:w="1276" w:type="dxa"/>
            <w:vMerge/>
          </w:tcPr>
          <w:p w:rsidR="00002554" w:rsidRPr="00D6475E" w:rsidRDefault="00002554" w:rsidP="00002554">
            <w:pPr>
              <w:shd w:val="clear" w:color="auto" w:fill="FFFFFF"/>
              <w:ind w:right="-57"/>
            </w:pPr>
          </w:p>
        </w:tc>
        <w:tc>
          <w:tcPr>
            <w:tcW w:w="709" w:type="dxa"/>
          </w:tcPr>
          <w:p w:rsidR="00002554" w:rsidRPr="00D6475E" w:rsidRDefault="00002554" w:rsidP="00002554">
            <w:pPr>
              <w:shd w:val="clear" w:color="auto" w:fill="FFFFFF"/>
              <w:ind w:right="-57"/>
              <w:jc w:val="center"/>
            </w:pPr>
            <w:r w:rsidRPr="00D6475E">
              <w:t>2</w:t>
            </w:r>
          </w:p>
        </w:tc>
        <w:tc>
          <w:tcPr>
            <w:tcW w:w="1701" w:type="dxa"/>
          </w:tcPr>
          <w:p w:rsidR="00002554" w:rsidRPr="00D6475E" w:rsidRDefault="00002554" w:rsidP="00002554">
            <w:pPr>
              <w:shd w:val="clear" w:color="auto" w:fill="FFFFFF"/>
              <w:ind w:right="-57"/>
            </w:pPr>
            <w:r w:rsidRPr="00D6475E">
              <w:t>Способ предоставления</w:t>
            </w:r>
          </w:p>
        </w:tc>
        <w:tc>
          <w:tcPr>
            <w:tcW w:w="2977" w:type="dxa"/>
          </w:tcPr>
          <w:p w:rsidR="00002554" w:rsidRPr="00D6475E" w:rsidRDefault="00002554" w:rsidP="00002554">
            <w:pPr>
              <w:jc w:val="both"/>
            </w:pPr>
            <w:r w:rsidRPr="00D6475E">
              <w:t>Удаленный доступ через информационно-телекоммуникационные сети, в том числе через информационно-телекоммуникационную сеть Интернет</w:t>
            </w:r>
          </w:p>
        </w:tc>
        <w:tc>
          <w:tcPr>
            <w:tcW w:w="1134" w:type="dxa"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  <w:r w:rsidRPr="00D6475E">
              <w:rPr>
                <w:bCs/>
                <w:iCs/>
              </w:rPr>
              <w:t>Соответствие КТРУ</w:t>
            </w: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002554" w:rsidRPr="00D6475E" w:rsidTr="009C24F5">
        <w:trPr>
          <w:trHeight w:val="409"/>
        </w:trPr>
        <w:tc>
          <w:tcPr>
            <w:tcW w:w="561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1702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1276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709" w:type="dxa"/>
          </w:tcPr>
          <w:p w:rsidR="00002554" w:rsidRPr="00D6475E" w:rsidRDefault="00002554" w:rsidP="00002554">
            <w:pPr>
              <w:shd w:val="clear" w:color="auto" w:fill="FFFFFF"/>
              <w:ind w:left="34" w:right="-57"/>
              <w:jc w:val="center"/>
            </w:pPr>
            <w:r w:rsidRPr="00D6475E">
              <w:t>3</w:t>
            </w:r>
          </w:p>
        </w:tc>
        <w:tc>
          <w:tcPr>
            <w:tcW w:w="1701" w:type="dxa"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  <w:r w:rsidRPr="00D6475E">
              <w:t xml:space="preserve">Класс программ для электронных вычислительных машин и баз данных </w:t>
            </w:r>
          </w:p>
        </w:tc>
        <w:tc>
          <w:tcPr>
            <w:tcW w:w="2977" w:type="dxa"/>
          </w:tcPr>
          <w:p w:rsidR="00002554" w:rsidRPr="00D6475E" w:rsidRDefault="00002554" w:rsidP="00002554">
            <w:pPr>
              <w:shd w:val="clear" w:color="auto" w:fill="FFFFFF"/>
              <w:ind w:right="-57"/>
              <w:jc w:val="both"/>
            </w:pPr>
            <w:r w:rsidRPr="00D6475E">
              <w:t>(09.17) Программное обеспечение для функционирования системы юридически значимого электронного документооборота</w:t>
            </w:r>
          </w:p>
          <w:p w:rsidR="00002554" w:rsidRPr="00D6475E" w:rsidRDefault="00002554" w:rsidP="00002554">
            <w:pPr>
              <w:shd w:val="clear" w:color="auto" w:fill="FFFFFF"/>
              <w:ind w:right="-57"/>
              <w:jc w:val="both"/>
            </w:pPr>
          </w:p>
        </w:tc>
        <w:tc>
          <w:tcPr>
            <w:tcW w:w="1134" w:type="dxa"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  <w:r w:rsidRPr="00D6475E">
              <w:rPr>
                <w:bCs/>
                <w:iCs/>
              </w:rPr>
              <w:t>Соответствие КТРУ</w:t>
            </w: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002554" w:rsidRPr="00D6475E" w:rsidTr="009C24F5">
        <w:trPr>
          <w:trHeight w:val="268"/>
        </w:trPr>
        <w:tc>
          <w:tcPr>
            <w:tcW w:w="561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1702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1276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9497" w:type="dxa"/>
            <w:gridSpan w:val="5"/>
          </w:tcPr>
          <w:p w:rsidR="00002554" w:rsidRPr="00D6475E" w:rsidRDefault="00002554" w:rsidP="00002554">
            <w:pPr>
              <w:contextualSpacing/>
              <w:jc w:val="center"/>
              <w:rPr>
                <w:b/>
                <w:bCs/>
                <w:iCs/>
              </w:rPr>
            </w:pPr>
            <w:r w:rsidRPr="00D6475E">
              <w:rPr>
                <w:b/>
                <w:bCs/>
                <w:iCs/>
              </w:rPr>
              <w:t>Дополнительная информация, не содержащаяся в КТРУ</w:t>
            </w: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002554" w:rsidRPr="00D6475E" w:rsidTr="009C24F5">
        <w:trPr>
          <w:trHeight w:val="409"/>
        </w:trPr>
        <w:tc>
          <w:tcPr>
            <w:tcW w:w="561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1702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1276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2554" w:rsidRPr="00D6475E" w:rsidRDefault="00002554" w:rsidP="00002554">
            <w:pPr>
              <w:contextualSpacing/>
              <w:rPr>
                <w:bCs/>
                <w:iCs/>
              </w:rPr>
            </w:pPr>
            <w:r w:rsidRPr="00D6475E">
              <w:rPr>
                <w:bCs/>
                <w:iCs/>
              </w:rPr>
              <w:t>Описание программного обеспечения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02554" w:rsidRPr="00D6475E" w:rsidRDefault="00002554" w:rsidP="00002554">
            <w:pPr>
              <w:jc w:val="both"/>
            </w:pPr>
            <w:r w:rsidRPr="00D6475E">
              <w:t xml:space="preserve">Право использования программы для ЭВМ </w:t>
            </w:r>
            <w:r w:rsidR="009C24F5" w:rsidRPr="00D6475E">
              <w:t>«</w:t>
            </w:r>
            <w:proofErr w:type="spellStart"/>
            <w:r w:rsidRPr="00D6475E">
              <w:t>Контур</w:t>
            </w:r>
            <w:proofErr w:type="gramStart"/>
            <w:r w:rsidRPr="00D6475E">
              <w:t>.Э</w:t>
            </w:r>
            <w:proofErr w:type="gramEnd"/>
            <w:r w:rsidRPr="00D6475E">
              <w:t>кстерн</w:t>
            </w:r>
            <w:proofErr w:type="spellEnd"/>
            <w:r w:rsidR="009C24F5" w:rsidRPr="00D6475E">
              <w:t>»</w:t>
            </w:r>
            <w:r w:rsidRPr="00D6475E">
              <w:t xml:space="preserve"> в режиме «Обслуживающая бухгалтерия»</w:t>
            </w:r>
            <w:r w:rsidR="009C24F5" w:rsidRPr="00D6475E">
              <w:t>»</w:t>
            </w:r>
            <w:r w:rsidRPr="00D6475E">
              <w:t xml:space="preserve"> по тарифному плану «Бюджетная организация» лицензия +5</w:t>
            </w:r>
            <w:r w:rsidR="00400517" w:rsidRPr="00D6475E">
              <w:t xml:space="preserve">  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2554" w:rsidRPr="00D6475E" w:rsidRDefault="00002554" w:rsidP="00002554">
            <w:pPr>
              <w:contextualSpacing/>
              <w:jc w:val="center"/>
              <w:rPr>
                <w:b/>
                <w:bCs/>
                <w:iCs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002554" w:rsidRPr="00D6475E" w:rsidRDefault="00002554" w:rsidP="009C24F5">
            <w:pPr>
              <w:contextualSpacing/>
              <w:jc w:val="center"/>
              <w:rPr>
                <w:b/>
                <w:bCs/>
                <w:iCs/>
              </w:rPr>
            </w:pPr>
            <w:r w:rsidRPr="00D6475E">
              <w:rPr>
                <w:lang w:eastAsia="en-US"/>
              </w:rPr>
              <w:t xml:space="preserve">Применение параметров, условных обозначений и терминологии, касающихся технических, функциональных и качественных характеристик оказываемых услуг, не учтенных каталогом товаров, работ, услуг </w:t>
            </w:r>
            <w:r w:rsidRPr="00D6475E">
              <w:rPr>
                <w:lang w:eastAsia="en-US"/>
              </w:rPr>
              <w:lastRenderedPageBreak/>
              <w:t xml:space="preserve">обусловлено необходимостью оказания услуг надлежащего качества, с параметрами в наибольшей степени, удовлетворяющими потребности </w:t>
            </w:r>
            <w:r w:rsidR="009C24F5" w:rsidRPr="00D6475E">
              <w:rPr>
                <w:lang w:eastAsia="en-US"/>
              </w:rPr>
              <w:t>Лицензиата</w:t>
            </w: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002554" w:rsidRPr="00D6475E" w:rsidTr="009C24F5">
        <w:trPr>
          <w:trHeight w:val="425"/>
        </w:trPr>
        <w:tc>
          <w:tcPr>
            <w:tcW w:w="561" w:type="dxa"/>
            <w:vMerge w:val="restart"/>
          </w:tcPr>
          <w:p w:rsidR="00002554" w:rsidRPr="00D6475E" w:rsidRDefault="00002554" w:rsidP="00002554">
            <w:pPr>
              <w:contextualSpacing/>
              <w:rPr>
                <w:bCs/>
                <w:iCs/>
              </w:rPr>
            </w:pPr>
            <w:r w:rsidRPr="00D6475E">
              <w:rPr>
                <w:bCs/>
                <w:iCs/>
              </w:rPr>
              <w:lastRenderedPageBreak/>
              <w:t>3</w:t>
            </w:r>
          </w:p>
        </w:tc>
        <w:tc>
          <w:tcPr>
            <w:tcW w:w="1702" w:type="dxa"/>
            <w:vMerge w:val="restart"/>
          </w:tcPr>
          <w:p w:rsidR="00002554" w:rsidRPr="00D6475E" w:rsidRDefault="00002554" w:rsidP="00002554">
            <w:pPr>
              <w:contextualSpacing/>
              <w:rPr>
                <w:bCs/>
                <w:iCs/>
              </w:rPr>
            </w:pPr>
            <w:r w:rsidRPr="00D6475E">
              <w:t>Программное обеспечение</w:t>
            </w:r>
          </w:p>
        </w:tc>
        <w:tc>
          <w:tcPr>
            <w:tcW w:w="1276" w:type="dxa"/>
            <w:vMerge w:val="restart"/>
          </w:tcPr>
          <w:p w:rsidR="00002554" w:rsidRPr="00D6475E" w:rsidRDefault="00002554" w:rsidP="00002554">
            <w:pPr>
              <w:contextualSpacing/>
              <w:rPr>
                <w:bCs/>
                <w:iCs/>
              </w:rPr>
            </w:pPr>
            <w:r w:rsidRPr="00D6475E">
              <w:rPr>
                <w:bCs/>
                <w:iCs/>
              </w:rPr>
              <w:t>58.29.11.000-00000004</w:t>
            </w:r>
          </w:p>
        </w:tc>
        <w:tc>
          <w:tcPr>
            <w:tcW w:w="709" w:type="dxa"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1</w:t>
            </w:r>
          </w:p>
        </w:tc>
        <w:tc>
          <w:tcPr>
            <w:tcW w:w="1701" w:type="dxa"/>
          </w:tcPr>
          <w:p w:rsidR="00002554" w:rsidRPr="00D6475E" w:rsidRDefault="00002554" w:rsidP="00002554">
            <w:pPr>
              <w:contextualSpacing/>
              <w:rPr>
                <w:bCs/>
                <w:iCs/>
              </w:rPr>
            </w:pPr>
            <w:r w:rsidRPr="00D6475E">
              <w:t>Вид лицензии</w:t>
            </w:r>
          </w:p>
        </w:tc>
        <w:tc>
          <w:tcPr>
            <w:tcW w:w="2977" w:type="dxa"/>
          </w:tcPr>
          <w:p w:rsidR="00002554" w:rsidRPr="00D6475E" w:rsidRDefault="00002554" w:rsidP="00002554">
            <w:pPr>
              <w:jc w:val="center"/>
            </w:pPr>
            <w:r w:rsidRPr="00D6475E">
              <w:t>Простая (неисключительная)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Соответствие КТРУ</w:t>
            </w:r>
          </w:p>
        </w:tc>
        <w:tc>
          <w:tcPr>
            <w:tcW w:w="1134" w:type="dxa"/>
            <w:vMerge w:val="restart"/>
          </w:tcPr>
          <w:p w:rsidR="00002554" w:rsidRPr="00D6475E" w:rsidRDefault="002C0D45" w:rsidP="00002554">
            <w:pPr>
              <w:ind w:firstLine="34"/>
              <w:contextualSpacing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Усл</w:t>
            </w:r>
            <w:proofErr w:type="spellEnd"/>
            <w:r>
              <w:rPr>
                <w:bCs/>
                <w:iCs/>
              </w:rPr>
              <w:t>. Ед.</w:t>
            </w:r>
          </w:p>
        </w:tc>
        <w:tc>
          <w:tcPr>
            <w:tcW w:w="1134" w:type="dxa"/>
            <w:vMerge w:val="restart"/>
          </w:tcPr>
          <w:p w:rsidR="00002554" w:rsidRPr="00D6475E" w:rsidRDefault="00002554" w:rsidP="00002554">
            <w:pPr>
              <w:ind w:firstLine="34"/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8</w:t>
            </w:r>
          </w:p>
        </w:tc>
      </w:tr>
      <w:tr w:rsidR="00002554" w:rsidRPr="00D6475E" w:rsidTr="009C24F5">
        <w:trPr>
          <w:trHeight w:val="417"/>
        </w:trPr>
        <w:tc>
          <w:tcPr>
            <w:tcW w:w="561" w:type="dxa"/>
            <w:vMerge/>
          </w:tcPr>
          <w:p w:rsidR="00002554" w:rsidRPr="00D6475E" w:rsidRDefault="00002554" w:rsidP="00002554">
            <w:pPr>
              <w:shd w:val="clear" w:color="auto" w:fill="FFFFFF"/>
              <w:ind w:right="-57"/>
            </w:pPr>
          </w:p>
        </w:tc>
        <w:tc>
          <w:tcPr>
            <w:tcW w:w="1702" w:type="dxa"/>
            <w:vMerge/>
          </w:tcPr>
          <w:p w:rsidR="00002554" w:rsidRPr="00D6475E" w:rsidRDefault="00002554" w:rsidP="00002554">
            <w:pPr>
              <w:shd w:val="clear" w:color="auto" w:fill="FFFFFF"/>
              <w:ind w:right="-57"/>
            </w:pPr>
          </w:p>
        </w:tc>
        <w:tc>
          <w:tcPr>
            <w:tcW w:w="1276" w:type="dxa"/>
            <w:vMerge/>
          </w:tcPr>
          <w:p w:rsidR="00002554" w:rsidRPr="00D6475E" w:rsidRDefault="00002554" w:rsidP="00002554">
            <w:pPr>
              <w:shd w:val="clear" w:color="auto" w:fill="FFFFFF"/>
              <w:ind w:right="-57"/>
            </w:pPr>
          </w:p>
        </w:tc>
        <w:tc>
          <w:tcPr>
            <w:tcW w:w="709" w:type="dxa"/>
          </w:tcPr>
          <w:p w:rsidR="00002554" w:rsidRPr="00D6475E" w:rsidRDefault="00002554" w:rsidP="00002554">
            <w:pPr>
              <w:shd w:val="clear" w:color="auto" w:fill="FFFFFF"/>
              <w:ind w:right="-57"/>
              <w:jc w:val="center"/>
            </w:pPr>
            <w:r w:rsidRPr="00D6475E">
              <w:t>2</w:t>
            </w:r>
          </w:p>
        </w:tc>
        <w:tc>
          <w:tcPr>
            <w:tcW w:w="1701" w:type="dxa"/>
          </w:tcPr>
          <w:p w:rsidR="00002554" w:rsidRPr="00D6475E" w:rsidRDefault="00002554" w:rsidP="00002554">
            <w:pPr>
              <w:shd w:val="clear" w:color="auto" w:fill="FFFFFF"/>
              <w:ind w:right="-57"/>
            </w:pPr>
            <w:r w:rsidRPr="00D6475E">
              <w:t>Способ предоставления</w:t>
            </w:r>
          </w:p>
        </w:tc>
        <w:tc>
          <w:tcPr>
            <w:tcW w:w="2977" w:type="dxa"/>
          </w:tcPr>
          <w:p w:rsidR="00002554" w:rsidRPr="00D6475E" w:rsidRDefault="00002554" w:rsidP="00002554">
            <w:pPr>
              <w:jc w:val="both"/>
            </w:pPr>
            <w:r w:rsidRPr="00D6475E">
              <w:t>Удаленный доступ через информационно-телекоммуникационные сети, в том числе через информационно-телекоммуникационную сеть Интернет</w:t>
            </w:r>
          </w:p>
        </w:tc>
        <w:tc>
          <w:tcPr>
            <w:tcW w:w="1134" w:type="dxa"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  <w:r w:rsidRPr="00D6475E">
              <w:rPr>
                <w:bCs/>
                <w:iCs/>
              </w:rPr>
              <w:t>Соответствие КТРУ</w:t>
            </w: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002554" w:rsidRPr="00D6475E" w:rsidTr="009C24F5">
        <w:trPr>
          <w:trHeight w:val="409"/>
        </w:trPr>
        <w:tc>
          <w:tcPr>
            <w:tcW w:w="561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1702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1276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709" w:type="dxa"/>
          </w:tcPr>
          <w:p w:rsidR="00002554" w:rsidRPr="00D6475E" w:rsidRDefault="00002554" w:rsidP="00002554">
            <w:pPr>
              <w:shd w:val="clear" w:color="auto" w:fill="FFFFFF"/>
              <w:ind w:left="34" w:right="-57"/>
              <w:jc w:val="center"/>
            </w:pPr>
            <w:r w:rsidRPr="00D6475E">
              <w:t>3</w:t>
            </w:r>
          </w:p>
        </w:tc>
        <w:tc>
          <w:tcPr>
            <w:tcW w:w="1701" w:type="dxa"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  <w:r w:rsidRPr="00D6475E">
              <w:t xml:space="preserve">Класс программ для электронных вычислительных машин и баз данных </w:t>
            </w:r>
          </w:p>
        </w:tc>
        <w:tc>
          <w:tcPr>
            <w:tcW w:w="2977" w:type="dxa"/>
          </w:tcPr>
          <w:p w:rsidR="00002554" w:rsidRPr="00D6475E" w:rsidRDefault="00002554" w:rsidP="00002554">
            <w:pPr>
              <w:shd w:val="clear" w:color="auto" w:fill="FFFFFF"/>
              <w:ind w:right="-57"/>
              <w:jc w:val="both"/>
            </w:pPr>
            <w:r w:rsidRPr="00D6475E">
              <w:t>(09.17) Программное обеспечение для функционирования системы юридически значимого электронного документооборота</w:t>
            </w:r>
          </w:p>
          <w:p w:rsidR="00002554" w:rsidRPr="00D6475E" w:rsidRDefault="00002554" w:rsidP="00002554">
            <w:pPr>
              <w:shd w:val="clear" w:color="auto" w:fill="FFFFFF"/>
              <w:ind w:right="-57"/>
              <w:jc w:val="both"/>
            </w:pPr>
          </w:p>
        </w:tc>
        <w:tc>
          <w:tcPr>
            <w:tcW w:w="1134" w:type="dxa"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  <w:r w:rsidRPr="00D6475E">
              <w:rPr>
                <w:bCs/>
                <w:iCs/>
              </w:rPr>
              <w:t>Соответствие КТРУ</w:t>
            </w: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002554" w:rsidRPr="00D6475E" w:rsidTr="009C24F5">
        <w:trPr>
          <w:trHeight w:val="268"/>
        </w:trPr>
        <w:tc>
          <w:tcPr>
            <w:tcW w:w="561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1702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1276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9497" w:type="dxa"/>
            <w:gridSpan w:val="5"/>
          </w:tcPr>
          <w:p w:rsidR="00002554" w:rsidRPr="00D6475E" w:rsidRDefault="00002554" w:rsidP="00002554">
            <w:pPr>
              <w:contextualSpacing/>
              <w:jc w:val="center"/>
              <w:rPr>
                <w:b/>
                <w:bCs/>
                <w:iCs/>
              </w:rPr>
            </w:pPr>
            <w:r w:rsidRPr="00D6475E">
              <w:rPr>
                <w:b/>
                <w:bCs/>
                <w:iCs/>
              </w:rPr>
              <w:t>Дополнительная информация, не содержащаяся в КТРУ</w:t>
            </w: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002554" w:rsidRPr="00D6475E" w:rsidTr="009C24F5">
        <w:trPr>
          <w:trHeight w:val="409"/>
        </w:trPr>
        <w:tc>
          <w:tcPr>
            <w:tcW w:w="561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1702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1276" w:type="dxa"/>
            <w:vMerge/>
          </w:tcPr>
          <w:p w:rsidR="00002554" w:rsidRPr="00D6475E" w:rsidRDefault="00002554" w:rsidP="00002554">
            <w:pPr>
              <w:shd w:val="clear" w:color="auto" w:fill="FFFFFF"/>
              <w:ind w:left="34" w:right="-57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2554" w:rsidRPr="00D6475E" w:rsidRDefault="00002554" w:rsidP="00002554">
            <w:pPr>
              <w:contextualSpacing/>
              <w:rPr>
                <w:bCs/>
                <w:iCs/>
              </w:rPr>
            </w:pPr>
            <w:r w:rsidRPr="00D6475E">
              <w:rPr>
                <w:bCs/>
                <w:iCs/>
              </w:rPr>
              <w:t>Описание программного обеспечения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02554" w:rsidRPr="00D6475E" w:rsidRDefault="00002554" w:rsidP="00002554">
            <w:pPr>
              <w:jc w:val="both"/>
            </w:pPr>
            <w:r w:rsidRPr="00D6475E">
              <w:t xml:space="preserve">Право использования программы для ЭВМ </w:t>
            </w:r>
            <w:r w:rsidR="009C24F5" w:rsidRPr="00D6475E">
              <w:t>«</w:t>
            </w:r>
            <w:proofErr w:type="spellStart"/>
            <w:r w:rsidRPr="00D6475E">
              <w:t>Контур</w:t>
            </w:r>
            <w:proofErr w:type="gramStart"/>
            <w:r w:rsidRPr="00D6475E">
              <w:t>.Э</w:t>
            </w:r>
            <w:proofErr w:type="gramEnd"/>
            <w:r w:rsidRPr="00D6475E">
              <w:t>кстерн</w:t>
            </w:r>
            <w:proofErr w:type="spellEnd"/>
            <w:r w:rsidR="009C24F5" w:rsidRPr="00D6475E">
              <w:t>»</w:t>
            </w:r>
            <w:r w:rsidRPr="00D6475E">
              <w:t xml:space="preserve"> лицензия для дополнительного пользования «Базовая»</w:t>
            </w:r>
            <w:r w:rsidR="00400517" w:rsidRPr="00D6475E">
              <w:t xml:space="preserve"> 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2554" w:rsidRPr="00D6475E" w:rsidRDefault="00002554" w:rsidP="00002554">
            <w:pPr>
              <w:contextualSpacing/>
              <w:jc w:val="center"/>
              <w:rPr>
                <w:b/>
                <w:bCs/>
                <w:iCs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002554" w:rsidRPr="00D6475E" w:rsidRDefault="00002554" w:rsidP="009C24F5">
            <w:pPr>
              <w:contextualSpacing/>
              <w:jc w:val="center"/>
              <w:rPr>
                <w:b/>
                <w:bCs/>
                <w:iCs/>
              </w:rPr>
            </w:pPr>
            <w:r w:rsidRPr="00D6475E">
              <w:rPr>
                <w:lang w:eastAsia="en-US"/>
              </w:rPr>
              <w:t xml:space="preserve">Применение параметров, условных обозначений и терминологии, касающихся технических, функциональных и качественных характеристик оказываемых услуг, не учтенных каталогом товаров, работ, услуг обусловлено </w:t>
            </w:r>
            <w:r w:rsidRPr="00D6475E">
              <w:rPr>
                <w:lang w:eastAsia="en-US"/>
              </w:rPr>
              <w:lastRenderedPageBreak/>
              <w:t xml:space="preserve">необходимостью оказания услуг надлежащего качества, с параметрами в наибольшей степени, удовлетворяющими потребности </w:t>
            </w:r>
            <w:r w:rsidR="009C24F5" w:rsidRPr="00D6475E">
              <w:rPr>
                <w:lang w:eastAsia="en-US"/>
              </w:rPr>
              <w:t>Лицензиата</w:t>
            </w: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</w:tcPr>
          <w:p w:rsidR="00002554" w:rsidRPr="00D6475E" w:rsidRDefault="00002554" w:rsidP="00002554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400517" w:rsidRPr="00D6475E" w:rsidTr="009C24F5">
        <w:trPr>
          <w:trHeight w:val="183"/>
        </w:trPr>
        <w:tc>
          <w:tcPr>
            <w:tcW w:w="561" w:type="dxa"/>
            <w:vMerge w:val="restart"/>
          </w:tcPr>
          <w:p w:rsidR="00400517" w:rsidRPr="00D6475E" w:rsidRDefault="00400517" w:rsidP="009C24F5">
            <w:pPr>
              <w:shd w:val="clear" w:color="auto" w:fill="FFFFFF"/>
              <w:ind w:left="34" w:right="-57"/>
              <w:rPr>
                <w:lang w:val="en-US"/>
              </w:rPr>
            </w:pPr>
            <w:r w:rsidRPr="00D6475E">
              <w:rPr>
                <w:lang w:val="en-US"/>
              </w:rPr>
              <w:lastRenderedPageBreak/>
              <w:t>4</w:t>
            </w:r>
          </w:p>
          <w:p w:rsidR="00400517" w:rsidRPr="00D6475E" w:rsidRDefault="00400517" w:rsidP="009C24F5">
            <w:pPr>
              <w:shd w:val="clear" w:color="auto" w:fill="FFFFFF"/>
              <w:ind w:left="34" w:right="-57"/>
            </w:pPr>
          </w:p>
          <w:p w:rsidR="00400517" w:rsidRPr="00D6475E" w:rsidRDefault="00400517" w:rsidP="009C24F5">
            <w:pPr>
              <w:shd w:val="clear" w:color="auto" w:fill="FFFFFF"/>
              <w:ind w:left="34" w:right="-57"/>
            </w:pPr>
          </w:p>
        </w:tc>
        <w:tc>
          <w:tcPr>
            <w:tcW w:w="1702" w:type="dxa"/>
            <w:vMerge w:val="restart"/>
          </w:tcPr>
          <w:p w:rsidR="00400517" w:rsidRPr="00D6475E" w:rsidRDefault="00400517" w:rsidP="009C24F5">
            <w:pPr>
              <w:shd w:val="clear" w:color="auto" w:fill="FFFFFF"/>
              <w:ind w:left="34" w:right="-57"/>
            </w:pPr>
            <w:r w:rsidRPr="00D6475E">
              <w:t>Услуги по технической поддержке информационных технологий</w:t>
            </w:r>
          </w:p>
        </w:tc>
        <w:tc>
          <w:tcPr>
            <w:tcW w:w="1276" w:type="dxa"/>
            <w:vMerge w:val="restart"/>
          </w:tcPr>
          <w:p w:rsidR="00400517" w:rsidRPr="00D6475E" w:rsidRDefault="00400517" w:rsidP="009C24F5">
            <w:pPr>
              <w:shd w:val="clear" w:color="auto" w:fill="FFFFFF"/>
              <w:ind w:left="34" w:right="-57"/>
            </w:pPr>
            <w:r w:rsidRPr="00D6475E">
              <w:t xml:space="preserve">62.02.30.000-00000002 </w:t>
            </w:r>
          </w:p>
        </w:tc>
        <w:tc>
          <w:tcPr>
            <w:tcW w:w="9497" w:type="dxa"/>
            <w:gridSpan w:val="5"/>
            <w:tcBorders>
              <w:bottom w:val="single" w:sz="4" w:space="0" w:color="auto"/>
            </w:tcBorders>
          </w:tcPr>
          <w:p w:rsidR="00400517" w:rsidRPr="00D6475E" w:rsidRDefault="00400517" w:rsidP="009C24F5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 w:val="restart"/>
          </w:tcPr>
          <w:p w:rsidR="00400517" w:rsidRPr="00D6475E" w:rsidRDefault="009C24F5" w:rsidP="009C24F5">
            <w:pPr>
              <w:contextualSpacing/>
              <w:jc w:val="center"/>
              <w:rPr>
                <w:bCs/>
                <w:iCs/>
              </w:rPr>
            </w:pPr>
            <w:proofErr w:type="spellStart"/>
            <w:r w:rsidRPr="00D6475E">
              <w:rPr>
                <w:bCs/>
                <w:iCs/>
              </w:rPr>
              <w:t>Усл</w:t>
            </w:r>
            <w:proofErr w:type="spellEnd"/>
            <w:r w:rsidRPr="00D6475E">
              <w:rPr>
                <w:bCs/>
                <w:iCs/>
              </w:rPr>
              <w:t>. ед.</w:t>
            </w:r>
          </w:p>
        </w:tc>
        <w:tc>
          <w:tcPr>
            <w:tcW w:w="1134" w:type="dxa"/>
            <w:vMerge w:val="restart"/>
          </w:tcPr>
          <w:p w:rsidR="00400517" w:rsidRPr="00D6475E" w:rsidRDefault="00400517" w:rsidP="009C24F5">
            <w:pPr>
              <w:contextualSpacing/>
              <w:jc w:val="center"/>
              <w:rPr>
                <w:bCs/>
                <w:iCs/>
              </w:rPr>
            </w:pPr>
            <w:r w:rsidRPr="00D6475E">
              <w:rPr>
                <w:bCs/>
                <w:iCs/>
              </w:rPr>
              <w:t>1</w:t>
            </w:r>
          </w:p>
        </w:tc>
      </w:tr>
      <w:tr w:rsidR="00400517" w:rsidRPr="00D6475E" w:rsidTr="009C24F5">
        <w:trPr>
          <w:trHeight w:val="3735"/>
        </w:trPr>
        <w:tc>
          <w:tcPr>
            <w:tcW w:w="561" w:type="dxa"/>
            <w:vMerge/>
          </w:tcPr>
          <w:p w:rsidR="00400517" w:rsidRPr="00D6475E" w:rsidRDefault="00400517" w:rsidP="009C24F5">
            <w:pPr>
              <w:shd w:val="clear" w:color="auto" w:fill="FFFFFF"/>
              <w:ind w:left="34" w:right="-57"/>
            </w:pPr>
          </w:p>
        </w:tc>
        <w:tc>
          <w:tcPr>
            <w:tcW w:w="1702" w:type="dxa"/>
            <w:vMerge/>
          </w:tcPr>
          <w:p w:rsidR="00400517" w:rsidRPr="00D6475E" w:rsidRDefault="00400517" w:rsidP="009C24F5">
            <w:pPr>
              <w:shd w:val="clear" w:color="auto" w:fill="FFFFFF"/>
              <w:ind w:left="34" w:right="-57"/>
            </w:pPr>
          </w:p>
        </w:tc>
        <w:tc>
          <w:tcPr>
            <w:tcW w:w="1276" w:type="dxa"/>
            <w:vMerge/>
          </w:tcPr>
          <w:p w:rsidR="00400517" w:rsidRPr="00D6475E" w:rsidRDefault="00400517" w:rsidP="009C24F5">
            <w:pPr>
              <w:shd w:val="clear" w:color="auto" w:fill="FFFFFF"/>
              <w:ind w:left="34" w:right="-57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00517" w:rsidRPr="00D6475E" w:rsidRDefault="00400517" w:rsidP="009C24F5">
            <w:pPr>
              <w:shd w:val="clear" w:color="auto" w:fill="FFFFFF"/>
              <w:ind w:left="34" w:right="-57"/>
              <w:jc w:val="center"/>
            </w:pPr>
            <w:r w:rsidRPr="00D6475E"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00517" w:rsidRPr="00D6475E" w:rsidRDefault="00400517" w:rsidP="009C24F5">
            <w:pPr>
              <w:shd w:val="clear" w:color="auto" w:fill="FFFFFF"/>
              <w:ind w:left="34" w:right="-57"/>
              <w:rPr>
                <w:bCs/>
                <w:iCs/>
              </w:rPr>
            </w:pPr>
            <w:r w:rsidRPr="00D6475E">
              <w:rPr>
                <w:bCs/>
                <w:iCs/>
              </w:rPr>
              <w:t xml:space="preserve">Вид услуг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00517" w:rsidRPr="00D6475E" w:rsidRDefault="00400517" w:rsidP="009C24F5">
            <w:pPr>
              <w:pStyle w:val="a9"/>
              <w:jc w:val="both"/>
            </w:pPr>
            <w:r w:rsidRPr="00D6475E">
              <w:t>Услуги по сопровождению программы для ЭВМ «</w:t>
            </w:r>
            <w:proofErr w:type="spellStart"/>
            <w:r w:rsidRPr="00D6475E">
              <w:t>Контур</w:t>
            </w:r>
            <w:proofErr w:type="gramStart"/>
            <w:r w:rsidRPr="00D6475E">
              <w:t>.Э</w:t>
            </w:r>
            <w:proofErr w:type="gramEnd"/>
            <w:r w:rsidRPr="00D6475E">
              <w:t>кстерн</w:t>
            </w:r>
            <w:proofErr w:type="spellEnd"/>
            <w:r w:rsidRPr="00D6475E">
              <w:t>» (техническая поддержка в виде абонентского обслуживания) в режиме «Обслуживающая бухгалтерия»  по тарифному плану «Бюджетная организация» 1+9 абонентов, на 1 год</w:t>
            </w:r>
          </w:p>
          <w:p w:rsidR="00400517" w:rsidRPr="00D6475E" w:rsidRDefault="00400517" w:rsidP="009C24F5">
            <w:pPr>
              <w:shd w:val="clear" w:color="auto" w:fill="FFFFFF"/>
              <w:ind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00517" w:rsidRPr="00D6475E" w:rsidRDefault="00400517" w:rsidP="009C24F5">
            <w:pPr>
              <w:contextualSpacing/>
              <w:jc w:val="center"/>
              <w:rPr>
                <w:bCs/>
                <w:i/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00517" w:rsidRPr="00D6475E" w:rsidRDefault="00400517" w:rsidP="009C24F5">
            <w:pPr>
              <w:contextualSpacing/>
              <w:jc w:val="center"/>
              <w:rPr>
                <w:bCs/>
                <w:iCs/>
              </w:rPr>
            </w:pPr>
            <w:proofErr w:type="gramStart"/>
            <w:r w:rsidRPr="00D6475E">
              <w:rPr>
                <w:bCs/>
                <w:iCs/>
              </w:rPr>
              <w:t xml:space="preserve">В связи с отсутствием в позиции КТРУ 62.02.30.000-00000002 описания товара, работ, услуг </w:t>
            </w:r>
            <w:r w:rsidR="009C24F5" w:rsidRPr="00D6475E">
              <w:rPr>
                <w:bCs/>
                <w:iCs/>
              </w:rPr>
              <w:t>Лицензиата</w:t>
            </w:r>
            <w:r w:rsidRPr="00D6475E">
              <w:rPr>
                <w:bCs/>
                <w:iCs/>
              </w:rPr>
              <w:t xml:space="preserve"> в силу пункта 5 Правил использования КТРУ указаны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05.04.2013 № 44 </w:t>
            </w:r>
            <w:r w:rsidR="009C24F5" w:rsidRPr="00D6475E">
              <w:rPr>
                <w:bCs/>
                <w:iCs/>
              </w:rPr>
              <w:t>«</w:t>
            </w:r>
            <w:r w:rsidRPr="00D6475E">
              <w:rPr>
                <w:bCs/>
                <w:iCs/>
              </w:rPr>
              <w:t>О контрактной системе в сфере закупок товаров, работ, услуг для обеспечения государственных и муниципальных</w:t>
            </w:r>
            <w:proofErr w:type="gramEnd"/>
            <w:r w:rsidRPr="00D6475E">
              <w:rPr>
                <w:bCs/>
                <w:iCs/>
              </w:rPr>
              <w:t xml:space="preserve"> нужд</w:t>
            </w:r>
            <w:r w:rsidR="009C24F5" w:rsidRPr="00D6475E">
              <w:rPr>
                <w:bCs/>
                <w:iCs/>
              </w:rPr>
              <w:t>»</w:t>
            </w:r>
            <w:r w:rsidRPr="00D6475E">
              <w:rPr>
                <w:bCs/>
                <w:iCs/>
              </w:rPr>
              <w:t xml:space="preserve">, которые не предусмотрены в позиции каталога. Данный набор </w:t>
            </w:r>
            <w:r w:rsidRPr="00D6475E">
              <w:rPr>
                <w:bCs/>
                <w:iCs/>
              </w:rPr>
              <w:lastRenderedPageBreak/>
              <w:t xml:space="preserve">характеристик позволяет удовлетворить потребности </w:t>
            </w:r>
            <w:r w:rsidR="009C24F5" w:rsidRPr="00D6475E">
              <w:rPr>
                <w:bCs/>
                <w:iCs/>
              </w:rPr>
              <w:t>Лицензиата</w:t>
            </w:r>
            <w:r w:rsidRPr="00D6475E">
              <w:rPr>
                <w:bCs/>
                <w:iCs/>
              </w:rPr>
              <w:t xml:space="preserve"> с учетом специфики деятельности и обеспечивает эффективное использование бюджетных средств.</w:t>
            </w:r>
          </w:p>
        </w:tc>
        <w:tc>
          <w:tcPr>
            <w:tcW w:w="1134" w:type="dxa"/>
            <w:vMerge/>
          </w:tcPr>
          <w:p w:rsidR="00400517" w:rsidRPr="00D6475E" w:rsidRDefault="00400517" w:rsidP="009C24F5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400517" w:rsidRPr="00D6475E" w:rsidRDefault="00400517" w:rsidP="009C24F5">
            <w:pPr>
              <w:contextualSpacing/>
              <w:jc w:val="center"/>
              <w:rPr>
                <w:bCs/>
                <w:iCs/>
              </w:rPr>
            </w:pPr>
          </w:p>
        </w:tc>
      </w:tr>
    </w:tbl>
    <w:p w:rsidR="00002554" w:rsidRPr="00D6475E" w:rsidRDefault="00002554"/>
    <w:p w:rsidR="007C4B3C" w:rsidRPr="00D6475E" w:rsidRDefault="007C4B3C" w:rsidP="0036523E">
      <w:pPr>
        <w:tabs>
          <w:tab w:val="left" w:pos="0"/>
          <w:tab w:val="left" w:pos="1134"/>
        </w:tabs>
        <w:spacing w:line="276" w:lineRule="auto"/>
        <w:jc w:val="both"/>
      </w:pPr>
    </w:p>
    <w:p w:rsidR="00EC2822" w:rsidRPr="00D6475E" w:rsidRDefault="00065698" w:rsidP="0036523E">
      <w:pPr>
        <w:tabs>
          <w:tab w:val="left" w:pos="0"/>
          <w:tab w:val="left" w:pos="1134"/>
        </w:tabs>
        <w:spacing w:line="276" w:lineRule="auto"/>
        <w:jc w:val="both"/>
        <w:rPr>
          <w:i/>
        </w:rPr>
      </w:pPr>
      <w:r w:rsidRPr="00D6475E">
        <w:t>*</w:t>
      </w:r>
      <w:r w:rsidRPr="00D6475E">
        <w:rPr>
          <w:i/>
        </w:rPr>
        <w:t xml:space="preserve">Указание на товарный знак (его словесное обозначение) обусловлено необходимостью обеспечения совместимости поставляемого программного обеспечения с лицензионным программным обеспечением, уже используемым </w:t>
      </w:r>
      <w:r w:rsidR="009C24F5" w:rsidRPr="00D6475E">
        <w:rPr>
          <w:i/>
        </w:rPr>
        <w:t>Лицензиатом</w:t>
      </w:r>
      <w:r w:rsidRPr="00D6475E">
        <w:rPr>
          <w:i/>
        </w:rPr>
        <w:t xml:space="preserve">. Сведения о </w:t>
      </w:r>
      <w:r w:rsidR="002B4EA9" w:rsidRPr="00D6475E">
        <w:rPr>
          <w:i/>
        </w:rPr>
        <w:t xml:space="preserve">система защищенного электронного документооборота </w:t>
      </w:r>
      <w:r w:rsidRPr="00D6475E">
        <w:rPr>
          <w:i/>
        </w:rPr>
        <w:t>«</w:t>
      </w:r>
      <w:proofErr w:type="spellStart"/>
      <w:r w:rsidR="002B4EA9" w:rsidRPr="00D6475E">
        <w:rPr>
          <w:i/>
        </w:rPr>
        <w:t>Контур</w:t>
      </w:r>
      <w:proofErr w:type="gramStart"/>
      <w:r w:rsidR="002B4EA9" w:rsidRPr="00D6475E">
        <w:rPr>
          <w:i/>
        </w:rPr>
        <w:t>.Э</w:t>
      </w:r>
      <w:proofErr w:type="gramEnd"/>
      <w:r w:rsidR="002B4EA9" w:rsidRPr="00D6475E">
        <w:rPr>
          <w:i/>
        </w:rPr>
        <w:t>кстерн</w:t>
      </w:r>
      <w:proofErr w:type="spellEnd"/>
      <w:r w:rsidRPr="00D6475E">
        <w:rPr>
          <w:i/>
        </w:rPr>
        <w:t>» внесены в Единый реестр российских программ для электронных вычислительных машин и баз данных (реестровая запись</w:t>
      </w:r>
      <w:r w:rsidR="002B4EA9" w:rsidRPr="00D6475E">
        <w:rPr>
          <w:i/>
        </w:rPr>
        <w:t xml:space="preserve"> 523</w:t>
      </w:r>
      <w:r w:rsidRPr="00D6475E">
        <w:rPr>
          <w:i/>
        </w:rPr>
        <w:t>). Программное обеспечение соответствует классу, указанному в едином реестре российских программ для электронных вычислительных машин и баз данных. Предоставление эквивалентного продукта не допускается (пункт 1 части 1 статьи 33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bookmarkEnd w:id="0"/>
    <w:bookmarkEnd w:id="1"/>
    <w:p w:rsidR="001E5361" w:rsidRPr="00D6475E" w:rsidRDefault="001E5361" w:rsidP="001E5361">
      <w:pPr>
        <w:spacing w:line="276" w:lineRule="auto"/>
        <w:contextualSpacing/>
      </w:pPr>
    </w:p>
    <w:p w:rsidR="002E7120" w:rsidRPr="00D6475E" w:rsidRDefault="009C24F5" w:rsidP="009C24F5">
      <w:pPr>
        <w:spacing w:line="276" w:lineRule="auto"/>
        <w:contextualSpacing/>
        <w:jc w:val="center"/>
      </w:pPr>
      <w:r w:rsidRPr="00D6475E">
        <w:t xml:space="preserve">Описательная часть </w:t>
      </w:r>
    </w:p>
    <w:p w:rsidR="009C24F5" w:rsidRPr="00D6475E" w:rsidRDefault="009C24F5" w:rsidP="009C24F5">
      <w:pPr>
        <w:spacing w:line="276" w:lineRule="auto"/>
        <w:contextualSpacing/>
      </w:pPr>
    </w:p>
    <w:p w:rsidR="009C24F5" w:rsidRPr="00D6475E" w:rsidRDefault="009C24F5" w:rsidP="009C24F5">
      <w:pPr>
        <w:pStyle w:val="a3"/>
        <w:numPr>
          <w:ilvl w:val="0"/>
          <w:numId w:val="38"/>
        </w:numPr>
        <w:ind w:left="0" w:firstLine="0"/>
        <w:jc w:val="both"/>
        <w:rPr>
          <w:b/>
        </w:rPr>
      </w:pPr>
      <w:r w:rsidRPr="00D6475E">
        <w:rPr>
          <w:b/>
        </w:rPr>
        <w:t>ОБЩИЕ СВЕДЕНИЯ</w:t>
      </w:r>
    </w:p>
    <w:p w:rsidR="009C24F5" w:rsidRPr="00D6475E" w:rsidRDefault="009C24F5" w:rsidP="009C24F5">
      <w:pPr>
        <w:jc w:val="both"/>
      </w:pPr>
      <w:r w:rsidRPr="00D6475E">
        <w:t>В настоящем техническом задании описаны требования, предъявляемые к системе «</w:t>
      </w:r>
      <w:proofErr w:type="spellStart"/>
      <w:r w:rsidRPr="00D6475E">
        <w:t>Контур</w:t>
      </w:r>
      <w:proofErr w:type="gramStart"/>
      <w:r w:rsidRPr="00D6475E">
        <w:t>.Э</w:t>
      </w:r>
      <w:proofErr w:type="gramEnd"/>
      <w:r w:rsidRPr="00D6475E">
        <w:t>кстерн</w:t>
      </w:r>
      <w:proofErr w:type="spellEnd"/>
      <w:r w:rsidRPr="00D6475E">
        <w:t>» (далее − Система).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t>Предоставление эквивалента недопустимо из-за уже затраченных средств Лицензиата на внедрение, сопровождение и обучение сотрудников работе в Системе.</w:t>
      </w:r>
    </w:p>
    <w:p w:rsidR="009C24F5" w:rsidRPr="00D6475E" w:rsidRDefault="009C24F5" w:rsidP="009C24F5">
      <w:pPr>
        <w:pStyle w:val="aa"/>
        <w:numPr>
          <w:ilvl w:val="0"/>
          <w:numId w:val="38"/>
        </w:numPr>
        <w:ind w:left="0" w:firstLine="0"/>
        <w:jc w:val="both"/>
        <w:rPr>
          <w:color w:val="000000"/>
        </w:rPr>
      </w:pPr>
      <w:r w:rsidRPr="00D6475E">
        <w:rPr>
          <w:b/>
          <w:color w:val="000000"/>
        </w:rPr>
        <w:t>ТРЕБОВАНИЯ, ПРЕДЪЯВЛЯЕМЫЕ К СИСТЕМЕ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настоящего технического задания.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lastRenderedPageBreak/>
        <w:t>2.2. Формирование и передача отчётности в контролирующие органы должны отвечать следующим критериям: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t>2.2.1. ФНС</w:t>
      </w:r>
    </w:p>
    <w:p w:rsidR="009C24F5" w:rsidRPr="00D6475E" w:rsidRDefault="009C24F5" w:rsidP="009C24F5">
      <w:pPr>
        <w:pStyle w:val="aa"/>
        <w:numPr>
          <w:ilvl w:val="0"/>
          <w:numId w:val="39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 xml:space="preserve">возможность формирования отчетности в </w:t>
      </w:r>
      <w:proofErr w:type="spellStart"/>
      <w:r w:rsidRPr="00D6475E">
        <w:rPr>
          <w:color w:val="000000"/>
        </w:rPr>
        <w:t>веб-интерфейсе</w:t>
      </w:r>
      <w:proofErr w:type="spellEnd"/>
      <w:r w:rsidRPr="00D6475E">
        <w:rPr>
          <w:color w:val="000000"/>
        </w:rPr>
        <w:t xml:space="preserve"> в режиме </w:t>
      </w:r>
      <w:proofErr w:type="spellStart"/>
      <w:r w:rsidRPr="00D6475E">
        <w:rPr>
          <w:color w:val="000000"/>
        </w:rPr>
        <w:t>онлайн</w:t>
      </w:r>
      <w:proofErr w:type="spellEnd"/>
      <w:r w:rsidRPr="00D6475E">
        <w:rPr>
          <w:color w:val="000000"/>
        </w:rPr>
        <w:t xml:space="preserve"> в актуальном формате;</w:t>
      </w:r>
    </w:p>
    <w:p w:rsidR="009C24F5" w:rsidRPr="00D6475E" w:rsidRDefault="009C24F5" w:rsidP="009C24F5">
      <w:pPr>
        <w:pStyle w:val="aa"/>
        <w:numPr>
          <w:ilvl w:val="0"/>
          <w:numId w:val="39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:rsidR="009C24F5" w:rsidRPr="00D6475E" w:rsidRDefault="009C24F5" w:rsidP="009C24F5">
      <w:pPr>
        <w:pStyle w:val="aa"/>
        <w:numPr>
          <w:ilvl w:val="0"/>
          <w:numId w:val="39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:rsidR="009C24F5" w:rsidRPr="00D6475E" w:rsidRDefault="009C24F5" w:rsidP="009C24F5">
      <w:pPr>
        <w:pStyle w:val="aa"/>
        <w:numPr>
          <w:ilvl w:val="0"/>
          <w:numId w:val="39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proofErr w:type="gramStart"/>
      <w:r w:rsidRPr="00D6475E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документооборота при представлении налоговых деклараций (расчетов) в электронной форме по телекоммуникационным каналам связи»;</w:t>
      </w:r>
      <w:proofErr w:type="gramEnd"/>
    </w:p>
    <w:p w:rsidR="009C24F5" w:rsidRPr="00D6475E" w:rsidRDefault="009C24F5" w:rsidP="009C24F5">
      <w:pPr>
        <w:pStyle w:val="aa"/>
        <w:numPr>
          <w:ilvl w:val="0"/>
          <w:numId w:val="39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 xml:space="preserve">возможность делать запросы на получение различных справок и выписок в электронном виде (информационное обслуживание налогоплательщиков </w:t>
      </w:r>
      <w:r w:rsidRPr="00D6475E">
        <w:rPr>
          <w:color w:val="000000"/>
        </w:rPr>
        <w:sym w:font="Symbol" w:char="F02D"/>
      </w:r>
      <w:r w:rsidRPr="00D6475E">
        <w:rPr>
          <w:color w:val="000000"/>
        </w:rPr>
        <w:t xml:space="preserve"> далее ИОН);</w:t>
      </w:r>
    </w:p>
    <w:p w:rsidR="009C24F5" w:rsidRPr="00D6475E" w:rsidRDefault="009C24F5" w:rsidP="009C24F5">
      <w:pPr>
        <w:pStyle w:val="aa"/>
        <w:numPr>
          <w:ilvl w:val="0"/>
          <w:numId w:val="39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получения справочной информации и нормативных документов по заполнению форм налоговой отчетности;</w:t>
      </w:r>
    </w:p>
    <w:p w:rsidR="009C24F5" w:rsidRPr="00D6475E" w:rsidRDefault="009C24F5" w:rsidP="009C24F5">
      <w:pPr>
        <w:pStyle w:val="aa"/>
        <w:numPr>
          <w:ilvl w:val="0"/>
          <w:numId w:val="39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получения требований от ФНС;</w:t>
      </w:r>
    </w:p>
    <w:p w:rsidR="009C24F5" w:rsidRPr="00D6475E" w:rsidRDefault="009C24F5" w:rsidP="009C24F5">
      <w:pPr>
        <w:pStyle w:val="aa"/>
        <w:numPr>
          <w:ilvl w:val="0"/>
          <w:numId w:val="39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массово загружать готовые отчеты и массово отправлять их в ФНС;</w:t>
      </w:r>
    </w:p>
    <w:p w:rsidR="009C24F5" w:rsidRPr="00D6475E" w:rsidRDefault="009C24F5" w:rsidP="009C24F5">
      <w:pPr>
        <w:pStyle w:val="aa"/>
        <w:numPr>
          <w:ilvl w:val="0"/>
          <w:numId w:val="39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t>2.2.2. СФР</w:t>
      </w:r>
    </w:p>
    <w:p w:rsidR="009C24F5" w:rsidRPr="00D6475E" w:rsidRDefault="009C24F5" w:rsidP="009C24F5">
      <w:pPr>
        <w:pStyle w:val="aa"/>
        <w:numPr>
          <w:ilvl w:val="0"/>
          <w:numId w:val="40"/>
        </w:numPr>
        <w:tabs>
          <w:tab w:val="left" w:pos="567"/>
        </w:tabs>
        <w:ind w:left="0" w:firstLine="0"/>
        <w:jc w:val="both"/>
      </w:pPr>
      <w:r w:rsidRPr="00D6475E">
        <w:t xml:space="preserve">возможность формирования отчетности в режиме </w:t>
      </w:r>
      <w:proofErr w:type="spellStart"/>
      <w:r w:rsidRPr="00D6475E">
        <w:t>онлайн</w:t>
      </w:r>
      <w:proofErr w:type="spellEnd"/>
      <w:r w:rsidRPr="00D6475E">
        <w:t xml:space="preserve"> в актуальном формате в </w:t>
      </w:r>
      <w:proofErr w:type="spellStart"/>
      <w:r w:rsidRPr="00D6475E">
        <w:t>веб-интерфейсе</w:t>
      </w:r>
      <w:proofErr w:type="spellEnd"/>
      <w:r w:rsidRPr="00D6475E">
        <w:t xml:space="preserve"> на серверной площадке, защищенной в соответствии с требованиями, установленными Федеральным законом РФ от 27.07.2006 № 152-ФЗ «О персональных данных»;</w:t>
      </w:r>
    </w:p>
    <w:p w:rsidR="009C24F5" w:rsidRPr="00D6475E" w:rsidRDefault="009C24F5" w:rsidP="009C24F5">
      <w:pPr>
        <w:pStyle w:val="aa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:rsidR="009C24F5" w:rsidRPr="00D6475E" w:rsidRDefault="009C24F5" w:rsidP="009C24F5">
      <w:pPr>
        <w:pStyle w:val="aa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формировать и просматривать перечень кадровых мероприятий, полученный на основе сформированной или переданной в Системе отчетности по форме ЕФС-1 (ранее − СЗВ-ТД);</w:t>
      </w:r>
    </w:p>
    <w:p w:rsidR="009C24F5" w:rsidRPr="00D6475E" w:rsidRDefault="009C24F5" w:rsidP="009C24F5">
      <w:pPr>
        <w:pStyle w:val="aa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 xml:space="preserve">возможность формирования и передачи отчетности по форме ЕФС-1 (бывшие формы СЗВ-ТД, СЗВ-СТАЖ, ДСВ-З, </w:t>
      </w:r>
      <w:proofErr w:type="spellStart"/>
      <w:r w:rsidRPr="00D6475E">
        <w:rPr>
          <w:color w:val="000000"/>
        </w:rPr>
        <w:t>СИоЗП</w:t>
      </w:r>
      <w:proofErr w:type="spellEnd"/>
      <w:r w:rsidRPr="00D6475E">
        <w:rPr>
          <w:color w:val="000000"/>
        </w:rPr>
        <w:t xml:space="preserve">, </w:t>
      </w:r>
      <w:proofErr w:type="spellStart"/>
      <w:r w:rsidRPr="00D6475E">
        <w:rPr>
          <w:color w:val="000000"/>
        </w:rPr>
        <w:t>СИоРУН</w:t>
      </w:r>
      <w:proofErr w:type="spellEnd"/>
      <w:r w:rsidRPr="00D6475E">
        <w:rPr>
          <w:color w:val="000000"/>
        </w:rPr>
        <w:t>, 4-ФСС);</w:t>
      </w:r>
    </w:p>
    <w:p w:rsidR="009C24F5" w:rsidRPr="00D6475E" w:rsidRDefault="009C24F5" w:rsidP="009C24F5">
      <w:pPr>
        <w:pStyle w:val="aa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формирования и передачи ПОВЭД, специальных социальных выплат;</w:t>
      </w:r>
    </w:p>
    <w:p w:rsidR="009C24F5" w:rsidRPr="00D6475E" w:rsidRDefault="009C24F5" w:rsidP="009C24F5">
      <w:pPr>
        <w:pStyle w:val="aa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отправки реестров листков нетрудоспособности и электронных листков нетрудоспособности;</w:t>
      </w:r>
    </w:p>
    <w:p w:rsidR="009C24F5" w:rsidRPr="00D6475E" w:rsidRDefault="009C24F5" w:rsidP="009C24F5">
      <w:pPr>
        <w:pStyle w:val="aa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 xml:space="preserve">документооборот по </w:t>
      </w:r>
      <w:proofErr w:type="spellStart"/>
      <w:r w:rsidRPr="00D6475E">
        <w:rPr>
          <w:color w:val="000000"/>
        </w:rPr>
        <w:t>проактивным</w:t>
      </w:r>
      <w:proofErr w:type="spellEnd"/>
      <w:r w:rsidRPr="00D6475E">
        <w:rPr>
          <w:color w:val="000000"/>
        </w:rPr>
        <w:t xml:space="preserve"> выплатам социальных пособий;</w:t>
      </w:r>
    </w:p>
    <w:p w:rsidR="009C24F5" w:rsidRPr="00D6475E" w:rsidRDefault="009C24F5" w:rsidP="009C24F5">
      <w:pPr>
        <w:pStyle w:val="aa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:rsidR="009C24F5" w:rsidRPr="00D6475E" w:rsidRDefault="009C24F5" w:rsidP="009C24F5">
      <w:pPr>
        <w:pStyle w:val="aa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получение информации от СФР в электронном виде по телекоммуникационным каналам связи;</w:t>
      </w:r>
    </w:p>
    <w:p w:rsidR="009C24F5" w:rsidRPr="00D6475E" w:rsidRDefault="009C24F5" w:rsidP="009C24F5">
      <w:pPr>
        <w:pStyle w:val="aa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массово загружать готовые отчеты и массово отправлять их в СФР;</w:t>
      </w:r>
    </w:p>
    <w:p w:rsidR="009C24F5" w:rsidRPr="00D6475E" w:rsidRDefault="009C24F5" w:rsidP="009C24F5">
      <w:pPr>
        <w:pStyle w:val="a3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D6475E">
        <w:rPr>
          <w:rFonts w:eastAsiaTheme="minorHAnsi"/>
          <w:color w:val="000000"/>
        </w:rPr>
        <w:t xml:space="preserve">возможность получения информации от СФР в </w:t>
      </w:r>
      <w:proofErr w:type="spellStart"/>
      <w:r w:rsidRPr="00D6475E">
        <w:rPr>
          <w:rFonts w:eastAsiaTheme="minorHAnsi"/>
          <w:color w:val="000000"/>
        </w:rPr>
        <w:t>эл</w:t>
      </w:r>
      <w:proofErr w:type="spellEnd"/>
      <w:r w:rsidRPr="00D6475E">
        <w:rPr>
          <w:rFonts w:eastAsiaTheme="minorHAnsi"/>
          <w:color w:val="000000"/>
        </w:rPr>
        <w:t>. виде о ФИО-СНИЛС сотрудников и расчетных счетах (информационное обслуживание страхователей – далее ИОС).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t>2.2.3. Росстат</w:t>
      </w:r>
    </w:p>
    <w:p w:rsidR="009C24F5" w:rsidRPr="00D6475E" w:rsidRDefault="009C24F5" w:rsidP="009C24F5">
      <w:pPr>
        <w:pStyle w:val="aa"/>
        <w:numPr>
          <w:ilvl w:val="0"/>
          <w:numId w:val="41"/>
        </w:numPr>
        <w:ind w:left="0" w:firstLine="0"/>
        <w:jc w:val="both"/>
        <w:rPr>
          <w:color w:val="000000"/>
        </w:rPr>
      </w:pPr>
      <w:r w:rsidRPr="00D6475E">
        <w:rPr>
          <w:color w:val="000000"/>
        </w:rPr>
        <w:lastRenderedPageBreak/>
        <w:t>возможность подготовки форм статистической отчетности непосредственно в системе;</w:t>
      </w:r>
    </w:p>
    <w:p w:rsidR="009C24F5" w:rsidRPr="00D6475E" w:rsidRDefault="009C24F5" w:rsidP="009C24F5">
      <w:pPr>
        <w:pStyle w:val="aa"/>
        <w:numPr>
          <w:ilvl w:val="0"/>
          <w:numId w:val="41"/>
        </w:numPr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:rsidR="009C24F5" w:rsidRPr="00D6475E" w:rsidRDefault="009C24F5" w:rsidP="009C24F5">
      <w:pPr>
        <w:pStyle w:val="aa"/>
        <w:numPr>
          <w:ilvl w:val="0"/>
          <w:numId w:val="41"/>
        </w:numPr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:rsidR="009C24F5" w:rsidRPr="00D6475E" w:rsidRDefault="009C24F5" w:rsidP="009C24F5">
      <w:pPr>
        <w:pStyle w:val="aa"/>
        <w:numPr>
          <w:ilvl w:val="0"/>
          <w:numId w:val="41"/>
        </w:numPr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:rsidR="009C24F5" w:rsidRPr="00D6475E" w:rsidRDefault="009C24F5" w:rsidP="009C24F5">
      <w:pPr>
        <w:pStyle w:val="aa"/>
        <w:numPr>
          <w:ilvl w:val="0"/>
          <w:numId w:val="41"/>
        </w:numPr>
        <w:ind w:left="0" w:firstLine="0"/>
        <w:jc w:val="both"/>
        <w:rPr>
          <w:color w:val="000000"/>
        </w:rPr>
      </w:pPr>
      <w:r w:rsidRPr="00D6475E">
        <w:rPr>
          <w:color w:val="000000"/>
        </w:rPr>
        <w:t>возможность массово загружать готовые отчеты и массово отправлять их в Росстат.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t>2.3. 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t>2.4. Должна быть возможность получения рассылок из контролирующих органов.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t xml:space="preserve">2.5. Доступ к </w:t>
      </w:r>
      <w:proofErr w:type="spellStart"/>
      <w:r w:rsidRPr="00D6475E">
        <w:rPr>
          <w:color w:val="000000"/>
        </w:rPr>
        <w:t>веб-интерфейсу</w:t>
      </w:r>
      <w:proofErr w:type="spellEnd"/>
      <w:r w:rsidRPr="00D6475E">
        <w:rPr>
          <w:color w:val="000000"/>
        </w:rPr>
        <w:t xml:space="preserve"> системы должен осуществляться по шифрованному каналу связи, исключающему доступ третьих лиц.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t>2.6. Система должна позволять подписание передаваемой отчётности электронными подписями сторон электронного документооборота.</w:t>
      </w:r>
    </w:p>
    <w:p w:rsidR="009C24F5" w:rsidRPr="00D6475E" w:rsidRDefault="009C24F5" w:rsidP="009C24F5">
      <w:pPr>
        <w:pStyle w:val="aa"/>
        <w:jc w:val="both"/>
      </w:pPr>
      <w:r w:rsidRPr="00D6475E">
        <w:rPr>
          <w:color w:val="000000"/>
        </w:rPr>
        <w:t xml:space="preserve">2.7. Система должна позволять подписание передаваемой отчётности электронными подписями сторон электронного документооборота, </w:t>
      </w:r>
      <w:r w:rsidRPr="00D6475E">
        <w:t xml:space="preserve">в том числе с возможностью использования машиночитаемой доверенности (далее </w:t>
      </w:r>
      <w:r w:rsidRPr="00D6475E">
        <w:sym w:font="Symbol" w:char="F02D"/>
      </w:r>
      <w:r w:rsidRPr="00D6475E">
        <w:t xml:space="preserve"> МЧД).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t>2.8. В Системе должно осуществляться хранение всех созданных и/или загруженных в Системе МЧД Абонента.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t>2.9.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  <w:r w:rsidRPr="00D6475E">
        <w:rPr>
          <w:color w:val="000000"/>
        </w:rPr>
        <w:t>2.10. Возможность вести юридически значимую переписку с контролирующими органами по телекоммуникационным каналам связи.</w:t>
      </w:r>
    </w:p>
    <w:p w:rsidR="009C24F5" w:rsidRPr="00D6475E" w:rsidRDefault="009C24F5" w:rsidP="009C24F5">
      <w:pPr>
        <w:tabs>
          <w:tab w:val="left" w:pos="426"/>
        </w:tabs>
        <w:jc w:val="both"/>
      </w:pPr>
      <w:r w:rsidRPr="00D6475E">
        <w:rPr>
          <w:color w:val="000000"/>
        </w:rPr>
        <w:t xml:space="preserve">2.11. </w:t>
      </w:r>
      <w:r w:rsidRPr="00D6475E">
        <w:t xml:space="preserve">Должна быть возможность получения информации о состоянии Единого налогового счета (далее </w:t>
      </w:r>
      <w:r w:rsidRPr="00D6475E">
        <w:sym w:font="Symbol" w:char="F02D"/>
      </w:r>
      <w:r w:rsidRPr="00D6475E">
        <w:t xml:space="preserve"> ЕНС) в автоматическом режиме (</w:t>
      </w:r>
      <w:proofErr w:type="spellStart"/>
      <w:r w:rsidRPr="00D6475E">
        <w:t>автосверка</w:t>
      </w:r>
      <w:proofErr w:type="spellEnd"/>
      <w:r w:rsidRPr="00D6475E">
        <w:t xml:space="preserve"> ЕНС). </w:t>
      </w:r>
    </w:p>
    <w:p w:rsidR="009C24F5" w:rsidRPr="00D6475E" w:rsidRDefault="009C24F5" w:rsidP="009C24F5">
      <w:pPr>
        <w:pStyle w:val="aa"/>
        <w:jc w:val="both"/>
      </w:pPr>
      <w:r w:rsidRPr="00D6475E">
        <w:t xml:space="preserve">Данные о состоянии ЕНС могут быть получены следующими способами: </w:t>
      </w:r>
    </w:p>
    <w:p w:rsidR="009C24F5" w:rsidRPr="00D6475E" w:rsidRDefault="009C24F5" w:rsidP="009C24F5">
      <w:pPr>
        <w:pStyle w:val="a3"/>
        <w:numPr>
          <w:ilvl w:val="0"/>
          <w:numId w:val="43"/>
        </w:numPr>
        <w:ind w:left="0" w:firstLine="0"/>
        <w:jc w:val="both"/>
      </w:pPr>
      <w:r w:rsidRPr="00D6475E">
        <w:t>направлением запросов ИОН в ИФНС;</w:t>
      </w:r>
    </w:p>
    <w:p w:rsidR="009C24F5" w:rsidRPr="00D6475E" w:rsidRDefault="009C24F5" w:rsidP="009C24F5">
      <w:pPr>
        <w:pStyle w:val="aa"/>
        <w:numPr>
          <w:ilvl w:val="0"/>
          <w:numId w:val="42"/>
        </w:numPr>
        <w:ind w:left="0" w:firstLine="0"/>
        <w:jc w:val="both"/>
        <w:rPr>
          <w:color w:val="000000"/>
        </w:rPr>
      </w:pPr>
      <w:r w:rsidRPr="00D6475E">
        <w:t>интеграцией с ФНС (при этом Лицензиат представляет согласие Лицензиару на раскрытие Оператору налоговой тайны по коду 21001).</w:t>
      </w:r>
    </w:p>
    <w:p w:rsidR="009C24F5" w:rsidRPr="00D6475E" w:rsidRDefault="009C24F5" w:rsidP="009C24F5">
      <w:pPr>
        <w:pStyle w:val="aa"/>
        <w:jc w:val="both"/>
      </w:pPr>
      <w:r w:rsidRPr="00D6475E">
        <w:rPr>
          <w:color w:val="000000"/>
        </w:rPr>
        <w:t>2.12</w:t>
      </w:r>
      <w:r w:rsidRPr="00D6475E">
        <w:t>. Автоматическая сверка данных в отчетах за разные отчетные периоды или данных в декларациях разного типа.</w:t>
      </w:r>
    </w:p>
    <w:p w:rsidR="009C24F5" w:rsidRPr="00D6475E" w:rsidRDefault="009C24F5" w:rsidP="009C24F5">
      <w:pPr>
        <w:pStyle w:val="aa"/>
        <w:jc w:val="both"/>
      </w:pPr>
      <w:r w:rsidRPr="00D6475E">
        <w:t>2.13. Доступ к системе должен быть предоставлен 9 (девяти) пользователям Лицензиата:</w:t>
      </w:r>
    </w:p>
    <w:p w:rsidR="009C24F5" w:rsidRPr="00D6475E" w:rsidRDefault="009C24F5" w:rsidP="009C24F5">
      <w:pPr>
        <w:pStyle w:val="aa"/>
        <w:numPr>
          <w:ilvl w:val="0"/>
          <w:numId w:val="44"/>
        </w:numPr>
        <w:ind w:left="0" w:firstLine="0"/>
        <w:jc w:val="both"/>
      </w:pPr>
      <w:r w:rsidRPr="00D6475E">
        <w:t>1 пользователь с возможностью выдачи одного Сертификата Лицензиаром в соответствии с его регламентом оказания услуг удостоверяющего центра;</w:t>
      </w:r>
    </w:p>
    <w:p w:rsidR="009C24F5" w:rsidRPr="00D6475E" w:rsidRDefault="009C24F5" w:rsidP="009C24F5">
      <w:pPr>
        <w:pStyle w:val="aa"/>
        <w:numPr>
          <w:ilvl w:val="0"/>
          <w:numId w:val="44"/>
        </w:numPr>
        <w:ind w:left="0" w:firstLine="0"/>
        <w:jc w:val="both"/>
      </w:pPr>
      <w:r w:rsidRPr="00D6475E">
        <w:t xml:space="preserve">1 пользователь Лицензиата с возможностью авторизации </w:t>
      </w:r>
      <w:r w:rsidRPr="00D6475E">
        <w:rPr>
          <w:iCs/>
        </w:rPr>
        <w:t>по логину и паролю или Сертификату, выданным сторонним аккредитованным УЦ, в том числе Сертификатом УЦ ФНС.</w:t>
      </w:r>
    </w:p>
    <w:p w:rsidR="009C24F5" w:rsidRPr="00D6475E" w:rsidRDefault="009C24F5" w:rsidP="009C24F5">
      <w:pPr>
        <w:pStyle w:val="aa"/>
        <w:jc w:val="both"/>
      </w:pPr>
      <w:r w:rsidRPr="00D6475E">
        <w:t>2.14. Должна быть возможность настроить права Администратора нескольким пользователям. Все Администраторы при этом будут наделены равными правами</w:t>
      </w:r>
    </w:p>
    <w:p w:rsidR="009C24F5" w:rsidRPr="00D6475E" w:rsidRDefault="009C24F5" w:rsidP="009C24F5">
      <w:pPr>
        <w:pStyle w:val="aa"/>
        <w:tabs>
          <w:tab w:val="left" w:pos="284"/>
        </w:tabs>
        <w:spacing w:line="276" w:lineRule="auto"/>
        <w:jc w:val="both"/>
      </w:pPr>
      <w:r w:rsidRPr="00D6475E">
        <w:t xml:space="preserve">2.15. Должна быть предусмотрена возможность получать информацию, отправляемую ежедневно на электронную почту, указанную в Системе Лицензиатом, которая включает:  </w:t>
      </w:r>
    </w:p>
    <w:p w:rsidR="009C24F5" w:rsidRPr="00D6475E" w:rsidRDefault="009C24F5" w:rsidP="009C24F5">
      <w:pPr>
        <w:pStyle w:val="aa"/>
        <w:tabs>
          <w:tab w:val="left" w:pos="284"/>
        </w:tabs>
        <w:spacing w:line="276" w:lineRule="auto"/>
        <w:jc w:val="both"/>
      </w:pPr>
      <w:proofErr w:type="gramStart"/>
      <w:r w:rsidRPr="00D6475E">
        <w:t>- просроченные за последние 2 дня задачи по требованиям и отчетам;</w:t>
      </w:r>
      <w:proofErr w:type="gramEnd"/>
    </w:p>
    <w:p w:rsidR="009C24F5" w:rsidRPr="00D6475E" w:rsidRDefault="009C24F5" w:rsidP="009C24F5">
      <w:pPr>
        <w:pStyle w:val="aa"/>
        <w:tabs>
          <w:tab w:val="left" w:pos="284"/>
        </w:tabs>
        <w:spacing w:line="276" w:lineRule="auto"/>
        <w:jc w:val="both"/>
      </w:pPr>
      <w:r w:rsidRPr="00D6475E">
        <w:t>- задачи по отчетам и требования</w:t>
      </w:r>
      <w:proofErr w:type="gramStart"/>
      <w:r w:rsidRPr="00D6475E">
        <w:t>м-</w:t>
      </w:r>
      <w:proofErr w:type="gramEnd"/>
      <w:r w:rsidRPr="00D6475E">
        <w:t xml:space="preserve"> со сроком исполнения на текущий день;</w:t>
      </w:r>
    </w:p>
    <w:p w:rsidR="009C24F5" w:rsidRPr="00D6475E" w:rsidRDefault="009C24F5" w:rsidP="009C24F5">
      <w:pPr>
        <w:pStyle w:val="aa"/>
        <w:jc w:val="both"/>
      </w:pPr>
      <w:r w:rsidRPr="00D6475E">
        <w:lastRenderedPageBreak/>
        <w:t>- задачи по отчетам со сроком исполнения в ближайшие 7 дней и задачи по требованиям со сроком исполнения в ближайшие 3 дня.</w:t>
      </w:r>
    </w:p>
    <w:p w:rsidR="009C24F5" w:rsidRPr="00D6475E" w:rsidRDefault="009C24F5" w:rsidP="009C24F5">
      <w:pPr>
        <w:pStyle w:val="aa"/>
        <w:jc w:val="both"/>
      </w:pPr>
      <w:r w:rsidRPr="00D6475E">
        <w:t>2.16. Должен быть настроен режим работы Лицензиата в Системе, при котором:</w:t>
      </w:r>
    </w:p>
    <w:p w:rsidR="009C24F5" w:rsidRPr="00D6475E" w:rsidRDefault="009C24F5" w:rsidP="009C24F5">
      <w:pPr>
        <w:pStyle w:val="aa"/>
        <w:jc w:val="both"/>
      </w:pPr>
      <w:r w:rsidRPr="00D6475E">
        <w:rPr>
          <w:color w:val="000000"/>
        </w:rPr>
        <w:t xml:space="preserve">− </w:t>
      </w:r>
      <w:r w:rsidRPr="00D6475E">
        <w:t>Лицензиат имеет возможность вести документооборот 15 (пятнадцати) организаций с контролирующими органами;</w:t>
      </w:r>
    </w:p>
    <w:p w:rsidR="009C24F5" w:rsidRPr="00D6475E" w:rsidRDefault="009C24F5" w:rsidP="009C24F5">
      <w:pPr>
        <w:pStyle w:val="aa"/>
        <w:jc w:val="both"/>
      </w:pPr>
      <w:r w:rsidRPr="00D6475E">
        <w:rPr>
          <w:color w:val="000000"/>
        </w:rPr>
        <w:t xml:space="preserve">− </w:t>
      </w:r>
      <w:r w:rsidRPr="00D6475E">
        <w:t>для подписи документов Лицензиата и обслуживаемых организаций используется СКПЭП Пользователя данного Лицензиата.</w:t>
      </w:r>
    </w:p>
    <w:p w:rsidR="009C24F5" w:rsidRPr="00D6475E" w:rsidRDefault="009C24F5" w:rsidP="009C24F5">
      <w:pPr>
        <w:pStyle w:val="aa"/>
        <w:jc w:val="both"/>
      </w:pPr>
      <w:r w:rsidRPr="00D6475E">
        <w:t>2.17. Возможность массово отправлять отчеты в ИФНС, СФР или ТОГС.</w:t>
      </w:r>
    </w:p>
    <w:p w:rsidR="009C24F5" w:rsidRPr="00D6475E" w:rsidRDefault="009C24F5" w:rsidP="009C24F5">
      <w:pPr>
        <w:pStyle w:val="a3"/>
        <w:ind w:left="0"/>
        <w:rPr>
          <w:rFonts w:eastAsiaTheme="minorHAnsi"/>
          <w:color w:val="000000"/>
        </w:rPr>
      </w:pPr>
    </w:p>
    <w:p w:rsidR="009C24F5" w:rsidRPr="00D6475E" w:rsidRDefault="009C24F5" w:rsidP="009C24F5">
      <w:pPr>
        <w:pStyle w:val="aa"/>
        <w:numPr>
          <w:ilvl w:val="0"/>
          <w:numId w:val="38"/>
        </w:numPr>
        <w:ind w:left="0" w:firstLine="0"/>
        <w:jc w:val="both"/>
        <w:rPr>
          <w:b/>
          <w:color w:val="000000"/>
        </w:rPr>
      </w:pPr>
      <w:r w:rsidRPr="00D6475E">
        <w:rPr>
          <w:b/>
          <w:color w:val="000000"/>
        </w:rPr>
        <w:t>ТРЕБОВАНИЯ, ПРЕДЪЯВЛЯЕМЫЕ К АБОНЕНТСКОМУ ОБСЛУЖИВАНИЮ</w:t>
      </w:r>
    </w:p>
    <w:p w:rsidR="009C24F5" w:rsidRPr="00D6475E" w:rsidRDefault="009C24F5" w:rsidP="009C24F5">
      <w:pPr>
        <w:pStyle w:val="aa"/>
        <w:jc w:val="both"/>
        <w:rPr>
          <w:b/>
          <w:color w:val="000000"/>
        </w:rPr>
      </w:pPr>
      <w:r w:rsidRPr="00D6475E">
        <w:rPr>
          <w:color w:val="000000"/>
        </w:rPr>
        <w:t>3.1. Техническая поддержка пользователей системы в виде консультаций по телефону  в режиме 24 часа в сутки 7 дней в неделю.</w:t>
      </w:r>
    </w:p>
    <w:p w:rsidR="009C24F5" w:rsidRPr="00D6475E" w:rsidRDefault="009C24F5" w:rsidP="009C24F5">
      <w:pPr>
        <w:pStyle w:val="aa"/>
        <w:jc w:val="both"/>
        <w:rPr>
          <w:color w:val="000000"/>
        </w:rPr>
      </w:pPr>
    </w:p>
    <w:p w:rsidR="009C24F5" w:rsidRPr="00D6475E" w:rsidRDefault="009C24F5" w:rsidP="009C24F5">
      <w:pPr>
        <w:pStyle w:val="aa"/>
        <w:numPr>
          <w:ilvl w:val="0"/>
          <w:numId w:val="38"/>
        </w:numPr>
        <w:ind w:left="0" w:firstLine="0"/>
        <w:jc w:val="both"/>
        <w:rPr>
          <w:b/>
          <w:color w:val="000000"/>
        </w:rPr>
      </w:pPr>
      <w:r w:rsidRPr="00D6475E">
        <w:rPr>
          <w:b/>
          <w:color w:val="000000"/>
        </w:rPr>
        <w:t>Лицензиар обязан:</w:t>
      </w:r>
    </w:p>
    <w:p w:rsidR="009C24F5" w:rsidRPr="00D6475E" w:rsidRDefault="009C24F5" w:rsidP="009C24F5">
      <w:pPr>
        <w:pStyle w:val="a3"/>
        <w:snapToGrid w:val="0"/>
        <w:ind w:left="0"/>
        <w:jc w:val="both"/>
      </w:pPr>
      <w:r w:rsidRPr="00D6475E">
        <w:t xml:space="preserve">4.1. Обеспечить надлежащую передачу прав (простых (неисключительных) лицензий) на использование результатов интеллектуальной деятельности – программ для </w:t>
      </w:r>
      <w:proofErr w:type="spellStart"/>
      <w:r w:rsidRPr="00D6475E">
        <w:t>ЭВМ</w:t>
      </w:r>
      <w:proofErr w:type="gramStart"/>
      <w:r w:rsidRPr="00D6475E">
        <w:t>:с</w:t>
      </w:r>
      <w:proofErr w:type="gramEnd"/>
      <w:r w:rsidRPr="00D6475E">
        <w:t>истемы</w:t>
      </w:r>
      <w:proofErr w:type="spellEnd"/>
      <w:r w:rsidRPr="00D6475E">
        <w:t xml:space="preserve"> и СКЗИ «</w:t>
      </w:r>
      <w:proofErr w:type="spellStart"/>
      <w:r w:rsidRPr="00D6475E">
        <w:t>КриптоПро</w:t>
      </w:r>
      <w:proofErr w:type="spellEnd"/>
      <w:r w:rsidRPr="00D6475E">
        <w:t xml:space="preserve"> CSP»− путем заключения с Лицензиата лицензионного(</w:t>
      </w:r>
      <w:proofErr w:type="spellStart"/>
      <w:r w:rsidRPr="00D6475E">
        <w:t>ых</w:t>
      </w:r>
      <w:proofErr w:type="spellEnd"/>
      <w:r w:rsidRPr="00D6475E">
        <w:t xml:space="preserve">) и (или) </w:t>
      </w:r>
      <w:proofErr w:type="spellStart"/>
      <w:r w:rsidRPr="00D6475E">
        <w:t>сублицензионного</w:t>
      </w:r>
      <w:proofErr w:type="spellEnd"/>
      <w:r w:rsidRPr="00D6475E">
        <w:t xml:space="preserve"> (</w:t>
      </w:r>
      <w:proofErr w:type="spellStart"/>
      <w:r w:rsidRPr="00D6475E">
        <w:t>ых</w:t>
      </w:r>
      <w:proofErr w:type="spellEnd"/>
      <w:r w:rsidRPr="00D6475E">
        <w:t>) договора (</w:t>
      </w:r>
      <w:proofErr w:type="spellStart"/>
      <w:r w:rsidRPr="00D6475E">
        <w:t>ов</w:t>
      </w:r>
      <w:proofErr w:type="spellEnd"/>
      <w:r w:rsidRPr="00D6475E">
        <w:t>).</w:t>
      </w:r>
    </w:p>
    <w:p w:rsidR="009C24F5" w:rsidRPr="00D6475E" w:rsidRDefault="009C24F5" w:rsidP="009C24F5">
      <w:pPr>
        <w:pStyle w:val="a3"/>
        <w:snapToGrid w:val="0"/>
        <w:ind w:left="0"/>
        <w:jc w:val="both"/>
      </w:pPr>
      <w:r w:rsidRPr="00D6475E">
        <w:t>4.2. Надлежащим образом оказать услуги абонентского обслуживания в соответствии с требованиями, установленными разделом 3настоящего Технического задания.</w:t>
      </w:r>
    </w:p>
    <w:p w:rsidR="00D6475E" w:rsidRPr="00D6475E" w:rsidRDefault="009C24F5" w:rsidP="009C24F5">
      <w:pPr>
        <w:pStyle w:val="a3"/>
        <w:snapToGrid w:val="0"/>
        <w:ind w:left="0"/>
        <w:jc w:val="both"/>
      </w:pPr>
      <w:r w:rsidRPr="00D6475E">
        <w:t>Реестровая запись в реестре РПО 523</w:t>
      </w:r>
      <w:r w:rsidR="00D6475E" w:rsidRPr="00D6475E">
        <w:t>.</w:t>
      </w:r>
    </w:p>
    <w:p w:rsidR="00D6475E" w:rsidRPr="00D6475E" w:rsidRDefault="00D6475E" w:rsidP="009C24F5">
      <w:pPr>
        <w:pStyle w:val="a3"/>
        <w:snapToGrid w:val="0"/>
        <w:ind w:left="0"/>
        <w:jc w:val="both"/>
      </w:pPr>
      <w:r w:rsidRPr="00D6475E">
        <w:t xml:space="preserve">Контактное лицо по технической части – </w:t>
      </w:r>
      <w:proofErr w:type="spellStart"/>
      <w:r w:rsidRPr="00D6475E">
        <w:t>Дебелова</w:t>
      </w:r>
      <w:proofErr w:type="spellEnd"/>
      <w:r w:rsidRPr="00D6475E">
        <w:t xml:space="preserve"> Татьяна Никитична, тел. 8-4212-406-013.</w:t>
      </w:r>
    </w:p>
    <w:p w:rsidR="009C24F5" w:rsidRPr="00D6475E" w:rsidRDefault="009C24F5" w:rsidP="009C24F5">
      <w:pPr>
        <w:spacing w:line="276" w:lineRule="auto"/>
        <w:contextualSpacing/>
      </w:pPr>
    </w:p>
    <w:sectPr w:rsidR="009C24F5" w:rsidRPr="00D6475E" w:rsidSect="00A54C91">
      <w:pgSz w:w="16838" w:h="11906" w:orient="landscape" w:code="9"/>
      <w:pgMar w:top="1134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B7463DC"/>
    <w:lvl w:ilvl="0">
      <w:start w:val="1"/>
      <w:numFmt w:val="decimal"/>
      <w:lvlText w:val="%1."/>
      <w:lvlJc w:val="left"/>
      <w:pPr>
        <w:ind w:left="759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0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4" w:hanging="2160"/>
      </w:pPr>
      <w:rPr>
        <w:rFonts w:hint="default"/>
      </w:rPr>
    </w:lvl>
  </w:abstractNum>
  <w:abstractNum w:abstractNumId="1">
    <w:nsid w:val="014D1AA5"/>
    <w:multiLevelType w:val="hybridMultilevel"/>
    <w:tmpl w:val="DBE465D2"/>
    <w:lvl w:ilvl="0" w:tplc="49B6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13A7D"/>
    <w:multiLevelType w:val="hybridMultilevel"/>
    <w:tmpl w:val="000E8324"/>
    <w:lvl w:ilvl="0" w:tplc="49B6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F4A0F"/>
    <w:multiLevelType w:val="hybridMultilevel"/>
    <w:tmpl w:val="876CCB9E"/>
    <w:lvl w:ilvl="0" w:tplc="699A98D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0D9117C4"/>
    <w:multiLevelType w:val="multilevel"/>
    <w:tmpl w:val="2D34A1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F8642B"/>
    <w:multiLevelType w:val="multilevel"/>
    <w:tmpl w:val="2D34A1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0A666A9"/>
    <w:multiLevelType w:val="hybridMultilevel"/>
    <w:tmpl w:val="78C22F86"/>
    <w:lvl w:ilvl="0" w:tplc="49B6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E3CFC"/>
    <w:multiLevelType w:val="hybridMultilevel"/>
    <w:tmpl w:val="170A5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0">
    <w:nsid w:val="1C0F0F89"/>
    <w:multiLevelType w:val="hybridMultilevel"/>
    <w:tmpl w:val="710C6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549D8"/>
    <w:multiLevelType w:val="hybridMultilevel"/>
    <w:tmpl w:val="6A049CF8"/>
    <w:lvl w:ilvl="0" w:tplc="87AA2BD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E6581"/>
    <w:multiLevelType w:val="hybridMultilevel"/>
    <w:tmpl w:val="BABE7A18"/>
    <w:lvl w:ilvl="0" w:tplc="49B6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14B73"/>
    <w:multiLevelType w:val="hybridMultilevel"/>
    <w:tmpl w:val="9842A87E"/>
    <w:lvl w:ilvl="0" w:tplc="C630A574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85E70"/>
    <w:multiLevelType w:val="hybridMultilevel"/>
    <w:tmpl w:val="EF0A0916"/>
    <w:lvl w:ilvl="0" w:tplc="699A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17A42"/>
    <w:multiLevelType w:val="multilevel"/>
    <w:tmpl w:val="2D34A1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D1C41E3"/>
    <w:multiLevelType w:val="hybridMultilevel"/>
    <w:tmpl w:val="B906B4F6"/>
    <w:lvl w:ilvl="0" w:tplc="49B6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32137"/>
    <w:multiLevelType w:val="hybridMultilevel"/>
    <w:tmpl w:val="F32A312E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5A399E"/>
    <w:multiLevelType w:val="multilevel"/>
    <w:tmpl w:val="2D34A1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80C22"/>
    <w:multiLevelType w:val="hybridMultilevel"/>
    <w:tmpl w:val="F0081D16"/>
    <w:lvl w:ilvl="0" w:tplc="2FAC65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04535"/>
    <w:multiLevelType w:val="multilevel"/>
    <w:tmpl w:val="2D34A1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70846C4"/>
    <w:multiLevelType w:val="hybridMultilevel"/>
    <w:tmpl w:val="1DC43B4A"/>
    <w:lvl w:ilvl="0" w:tplc="49B6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776430"/>
    <w:multiLevelType w:val="hybridMultilevel"/>
    <w:tmpl w:val="BF70DFF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6080B"/>
    <w:multiLevelType w:val="multilevel"/>
    <w:tmpl w:val="8B7463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5" w:hanging="2160"/>
      </w:pPr>
      <w:rPr>
        <w:rFonts w:hint="default"/>
      </w:rPr>
    </w:lvl>
  </w:abstractNum>
  <w:abstractNum w:abstractNumId="25">
    <w:nsid w:val="4E5A0F49"/>
    <w:multiLevelType w:val="hybridMultilevel"/>
    <w:tmpl w:val="064CD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97B54"/>
    <w:multiLevelType w:val="multilevel"/>
    <w:tmpl w:val="4A24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1119CB"/>
    <w:multiLevelType w:val="hybridMultilevel"/>
    <w:tmpl w:val="65361D9A"/>
    <w:lvl w:ilvl="0" w:tplc="113CA99C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AD31B31"/>
    <w:multiLevelType w:val="hybridMultilevel"/>
    <w:tmpl w:val="CC3CB41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5C6434BE"/>
    <w:multiLevelType w:val="hybridMultilevel"/>
    <w:tmpl w:val="AD8A28C0"/>
    <w:lvl w:ilvl="0" w:tplc="A72AA6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C3277"/>
    <w:multiLevelType w:val="hybridMultilevel"/>
    <w:tmpl w:val="9640BE64"/>
    <w:lvl w:ilvl="0" w:tplc="49B65F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4FA202D"/>
    <w:multiLevelType w:val="hybridMultilevel"/>
    <w:tmpl w:val="19C632DC"/>
    <w:lvl w:ilvl="0" w:tplc="C04E12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57576E3"/>
    <w:multiLevelType w:val="multilevel"/>
    <w:tmpl w:val="3F0C158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5" w:hanging="2160"/>
      </w:pPr>
      <w:rPr>
        <w:rFonts w:hint="default"/>
      </w:rPr>
    </w:lvl>
  </w:abstractNum>
  <w:abstractNum w:abstractNumId="33">
    <w:nsid w:val="687358B9"/>
    <w:multiLevelType w:val="hybridMultilevel"/>
    <w:tmpl w:val="72E06C0E"/>
    <w:lvl w:ilvl="0" w:tplc="0366E2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6E0A3CAA"/>
    <w:multiLevelType w:val="multilevel"/>
    <w:tmpl w:val="17C4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E85C5C"/>
    <w:multiLevelType w:val="hybridMultilevel"/>
    <w:tmpl w:val="EBBE8FB6"/>
    <w:lvl w:ilvl="0" w:tplc="699A98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6741E9B"/>
    <w:multiLevelType w:val="hybridMultilevel"/>
    <w:tmpl w:val="8B48D000"/>
    <w:lvl w:ilvl="0" w:tplc="402C575C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7CC2897"/>
    <w:multiLevelType w:val="multilevel"/>
    <w:tmpl w:val="8B7463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5" w:hanging="2160"/>
      </w:pPr>
      <w:rPr>
        <w:rFonts w:hint="default"/>
      </w:rPr>
    </w:lvl>
  </w:abstractNum>
  <w:abstractNum w:abstractNumId="38">
    <w:nsid w:val="77D91051"/>
    <w:multiLevelType w:val="hybridMultilevel"/>
    <w:tmpl w:val="3998D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E2577B"/>
    <w:multiLevelType w:val="hybridMultilevel"/>
    <w:tmpl w:val="C0E24F7E"/>
    <w:lvl w:ilvl="0" w:tplc="49B6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422D61"/>
    <w:multiLevelType w:val="multilevel"/>
    <w:tmpl w:val="3F0C158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5" w:hanging="2160"/>
      </w:pPr>
      <w:rPr>
        <w:rFonts w:hint="default"/>
      </w:rPr>
    </w:lvl>
  </w:abstractNum>
  <w:abstractNum w:abstractNumId="41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AA7638"/>
    <w:multiLevelType w:val="hybridMultilevel"/>
    <w:tmpl w:val="C9DEC1A2"/>
    <w:lvl w:ilvl="0" w:tplc="49B6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7"/>
  </w:num>
  <w:num w:numId="5">
    <w:abstractNumId w:val="24"/>
  </w:num>
  <w:num w:numId="6">
    <w:abstractNumId w:val="36"/>
  </w:num>
  <w:num w:numId="7">
    <w:abstractNumId w:val="37"/>
  </w:num>
  <w:num w:numId="8">
    <w:abstractNumId w:val="25"/>
  </w:num>
  <w:num w:numId="9">
    <w:abstractNumId w:val="35"/>
  </w:num>
  <w:num w:numId="10">
    <w:abstractNumId w:val="8"/>
  </w:num>
  <w:num w:numId="11">
    <w:abstractNumId w:val="10"/>
  </w:num>
  <w:num w:numId="12">
    <w:abstractNumId w:val="28"/>
  </w:num>
  <w:num w:numId="13">
    <w:abstractNumId w:val="33"/>
  </w:num>
  <w:num w:numId="14">
    <w:abstractNumId w:val="3"/>
  </w:num>
  <w:num w:numId="15">
    <w:abstractNumId w:val="38"/>
  </w:num>
  <w:num w:numId="16">
    <w:abstractNumId w:val="13"/>
  </w:num>
  <w:num w:numId="17">
    <w:abstractNumId w:val="18"/>
  </w:num>
  <w:num w:numId="18">
    <w:abstractNumId w:val="21"/>
  </w:num>
  <w:num w:numId="19">
    <w:abstractNumId w:val="15"/>
  </w:num>
  <w:num w:numId="20">
    <w:abstractNumId w:val="5"/>
  </w:num>
  <w:num w:numId="21">
    <w:abstractNumId w:val="4"/>
  </w:num>
  <w:num w:numId="22">
    <w:abstractNumId w:val="29"/>
  </w:num>
  <w:num w:numId="23">
    <w:abstractNumId w:val="20"/>
  </w:num>
  <w:num w:numId="24">
    <w:abstractNumId w:val="40"/>
  </w:num>
  <w:num w:numId="25">
    <w:abstractNumId w:val="32"/>
  </w:num>
  <w:num w:numId="26">
    <w:abstractNumId w:val="14"/>
  </w:num>
  <w:num w:numId="27">
    <w:abstractNumId w:val="2"/>
  </w:num>
  <w:num w:numId="28">
    <w:abstractNumId w:val="1"/>
  </w:num>
  <w:num w:numId="29">
    <w:abstractNumId w:val="39"/>
  </w:num>
  <w:num w:numId="30">
    <w:abstractNumId w:val="42"/>
  </w:num>
  <w:num w:numId="31">
    <w:abstractNumId w:val="22"/>
  </w:num>
  <w:num w:numId="32">
    <w:abstractNumId w:val="6"/>
  </w:num>
  <w:num w:numId="33">
    <w:abstractNumId w:val="26"/>
  </w:num>
  <w:num w:numId="34">
    <w:abstractNumId w:val="34"/>
  </w:num>
  <w:num w:numId="35">
    <w:abstractNumId w:val="12"/>
  </w:num>
  <w:num w:numId="36">
    <w:abstractNumId w:val="16"/>
  </w:num>
  <w:num w:numId="37">
    <w:abstractNumId w:val="30"/>
  </w:num>
  <w:num w:numId="38">
    <w:abstractNumId w:val="9"/>
  </w:num>
  <w:num w:numId="39">
    <w:abstractNumId w:val="17"/>
  </w:num>
  <w:num w:numId="40">
    <w:abstractNumId w:val="23"/>
  </w:num>
  <w:num w:numId="41">
    <w:abstractNumId w:val="41"/>
  </w:num>
  <w:num w:numId="42">
    <w:abstractNumId w:val="7"/>
  </w:num>
  <w:num w:numId="43">
    <w:abstractNumId w:val="19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3FE"/>
    <w:rsid w:val="00002554"/>
    <w:rsid w:val="00021328"/>
    <w:rsid w:val="00032B02"/>
    <w:rsid w:val="0003391F"/>
    <w:rsid w:val="00061542"/>
    <w:rsid w:val="00065698"/>
    <w:rsid w:val="000715D7"/>
    <w:rsid w:val="00074A24"/>
    <w:rsid w:val="00080BCD"/>
    <w:rsid w:val="00082EEA"/>
    <w:rsid w:val="00084A54"/>
    <w:rsid w:val="00091A53"/>
    <w:rsid w:val="00091C66"/>
    <w:rsid w:val="00092D24"/>
    <w:rsid w:val="000C0F1A"/>
    <w:rsid w:val="000C4A66"/>
    <w:rsid w:val="000D01A9"/>
    <w:rsid w:val="000D0376"/>
    <w:rsid w:val="000E1578"/>
    <w:rsid w:val="000E75FC"/>
    <w:rsid w:val="000F54A0"/>
    <w:rsid w:val="000F6DC0"/>
    <w:rsid w:val="0011231A"/>
    <w:rsid w:val="00116867"/>
    <w:rsid w:val="00120192"/>
    <w:rsid w:val="001215D5"/>
    <w:rsid w:val="0013253C"/>
    <w:rsid w:val="00137B14"/>
    <w:rsid w:val="0015423B"/>
    <w:rsid w:val="0015586A"/>
    <w:rsid w:val="0016089F"/>
    <w:rsid w:val="001703FA"/>
    <w:rsid w:val="001768B8"/>
    <w:rsid w:val="00190C75"/>
    <w:rsid w:val="001930EC"/>
    <w:rsid w:val="00197BE0"/>
    <w:rsid w:val="001A0316"/>
    <w:rsid w:val="001B7353"/>
    <w:rsid w:val="001C42FE"/>
    <w:rsid w:val="001D15CC"/>
    <w:rsid w:val="001E5361"/>
    <w:rsid w:val="00201849"/>
    <w:rsid w:val="00202B95"/>
    <w:rsid w:val="002041E8"/>
    <w:rsid w:val="002142DF"/>
    <w:rsid w:val="00227E0C"/>
    <w:rsid w:val="002354BA"/>
    <w:rsid w:val="002473F6"/>
    <w:rsid w:val="00261AC5"/>
    <w:rsid w:val="002633FE"/>
    <w:rsid w:val="00273B35"/>
    <w:rsid w:val="00273BF0"/>
    <w:rsid w:val="0027431C"/>
    <w:rsid w:val="00283883"/>
    <w:rsid w:val="002844D5"/>
    <w:rsid w:val="002B2A50"/>
    <w:rsid w:val="002B3D8A"/>
    <w:rsid w:val="002B4EA9"/>
    <w:rsid w:val="002C0D45"/>
    <w:rsid w:val="002C489B"/>
    <w:rsid w:val="002D50FB"/>
    <w:rsid w:val="002E1A1B"/>
    <w:rsid w:val="002E2DF9"/>
    <w:rsid w:val="002E7120"/>
    <w:rsid w:val="002F1680"/>
    <w:rsid w:val="002F3947"/>
    <w:rsid w:val="003278BB"/>
    <w:rsid w:val="00331382"/>
    <w:rsid w:val="00335F45"/>
    <w:rsid w:val="00336EF4"/>
    <w:rsid w:val="00337502"/>
    <w:rsid w:val="00350F0A"/>
    <w:rsid w:val="00356732"/>
    <w:rsid w:val="0035674F"/>
    <w:rsid w:val="0036523E"/>
    <w:rsid w:val="0037393C"/>
    <w:rsid w:val="00377117"/>
    <w:rsid w:val="00382608"/>
    <w:rsid w:val="0038626B"/>
    <w:rsid w:val="0038710A"/>
    <w:rsid w:val="00387A25"/>
    <w:rsid w:val="00396022"/>
    <w:rsid w:val="003A206E"/>
    <w:rsid w:val="003B12BD"/>
    <w:rsid w:val="003B42CB"/>
    <w:rsid w:val="003B7115"/>
    <w:rsid w:val="003C00A7"/>
    <w:rsid w:val="003E6EE0"/>
    <w:rsid w:val="003E7F10"/>
    <w:rsid w:val="003F03DE"/>
    <w:rsid w:val="00400517"/>
    <w:rsid w:val="0041017A"/>
    <w:rsid w:val="00413C66"/>
    <w:rsid w:val="00421B5E"/>
    <w:rsid w:val="0045452B"/>
    <w:rsid w:val="00472ACB"/>
    <w:rsid w:val="00495352"/>
    <w:rsid w:val="004A0E65"/>
    <w:rsid w:val="004A30BD"/>
    <w:rsid w:val="004B13E5"/>
    <w:rsid w:val="004B7228"/>
    <w:rsid w:val="004D531A"/>
    <w:rsid w:val="004D6241"/>
    <w:rsid w:val="004D66DA"/>
    <w:rsid w:val="004F6ED4"/>
    <w:rsid w:val="005052EE"/>
    <w:rsid w:val="00507C63"/>
    <w:rsid w:val="00535D64"/>
    <w:rsid w:val="00535DAA"/>
    <w:rsid w:val="00542EAD"/>
    <w:rsid w:val="0054555A"/>
    <w:rsid w:val="00547CA8"/>
    <w:rsid w:val="00557C2F"/>
    <w:rsid w:val="0056404F"/>
    <w:rsid w:val="005715D6"/>
    <w:rsid w:val="0057198F"/>
    <w:rsid w:val="00590119"/>
    <w:rsid w:val="00594CB7"/>
    <w:rsid w:val="005A07EB"/>
    <w:rsid w:val="005A6EC3"/>
    <w:rsid w:val="005B38C1"/>
    <w:rsid w:val="005B4393"/>
    <w:rsid w:val="005B6E60"/>
    <w:rsid w:val="005C0ADD"/>
    <w:rsid w:val="005E1BEA"/>
    <w:rsid w:val="005E275F"/>
    <w:rsid w:val="005E6223"/>
    <w:rsid w:val="005F245A"/>
    <w:rsid w:val="005F6AA0"/>
    <w:rsid w:val="00604473"/>
    <w:rsid w:val="006166F6"/>
    <w:rsid w:val="00617E76"/>
    <w:rsid w:val="006201AE"/>
    <w:rsid w:val="00621DDF"/>
    <w:rsid w:val="00626310"/>
    <w:rsid w:val="0063187B"/>
    <w:rsid w:val="00652AD1"/>
    <w:rsid w:val="0066101E"/>
    <w:rsid w:val="006621D3"/>
    <w:rsid w:val="00681728"/>
    <w:rsid w:val="00682234"/>
    <w:rsid w:val="006933C9"/>
    <w:rsid w:val="006B1B0C"/>
    <w:rsid w:val="006C3E47"/>
    <w:rsid w:val="006D187F"/>
    <w:rsid w:val="006D785F"/>
    <w:rsid w:val="006E58C5"/>
    <w:rsid w:val="006E62CB"/>
    <w:rsid w:val="006F0240"/>
    <w:rsid w:val="006F1863"/>
    <w:rsid w:val="007046B8"/>
    <w:rsid w:val="00704733"/>
    <w:rsid w:val="00714A6C"/>
    <w:rsid w:val="00717E5A"/>
    <w:rsid w:val="0072153B"/>
    <w:rsid w:val="00722DC4"/>
    <w:rsid w:val="00730541"/>
    <w:rsid w:val="0073240C"/>
    <w:rsid w:val="00733F05"/>
    <w:rsid w:val="00740401"/>
    <w:rsid w:val="00747846"/>
    <w:rsid w:val="007626E5"/>
    <w:rsid w:val="007845DB"/>
    <w:rsid w:val="00790AA8"/>
    <w:rsid w:val="007911EB"/>
    <w:rsid w:val="0079336C"/>
    <w:rsid w:val="007A110A"/>
    <w:rsid w:val="007A2D5E"/>
    <w:rsid w:val="007B7289"/>
    <w:rsid w:val="007B7633"/>
    <w:rsid w:val="007C2892"/>
    <w:rsid w:val="007C4B3C"/>
    <w:rsid w:val="007D6042"/>
    <w:rsid w:val="007D7173"/>
    <w:rsid w:val="007E7C28"/>
    <w:rsid w:val="008022F9"/>
    <w:rsid w:val="00802C5E"/>
    <w:rsid w:val="00814395"/>
    <w:rsid w:val="0081500A"/>
    <w:rsid w:val="008160DB"/>
    <w:rsid w:val="00824439"/>
    <w:rsid w:val="00835727"/>
    <w:rsid w:val="00840B53"/>
    <w:rsid w:val="008459EE"/>
    <w:rsid w:val="00850226"/>
    <w:rsid w:val="0085585C"/>
    <w:rsid w:val="008926B4"/>
    <w:rsid w:val="00894980"/>
    <w:rsid w:val="008B676A"/>
    <w:rsid w:val="008C19AF"/>
    <w:rsid w:val="008D4990"/>
    <w:rsid w:val="008D5370"/>
    <w:rsid w:val="008D6333"/>
    <w:rsid w:val="008D752A"/>
    <w:rsid w:val="008E398A"/>
    <w:rsid w:val="008F0F96"/>
    <w:rsid w:val="008F1673"/>
    <w:rsid w:val="008F247B"/>
    <w:rsid w:val="008F39C8"/>
    <w:rsid w:val="00903788"/>
    <w:rsid w:val="00906E82"/>
    <w:rsid w:val="00913078"/>
    <w:rsid w:val="00913C04"/>
    <w:rsid w:val="00915316"/>
    <w:rsid w:val="009243DC"/>
    <w:rsid w:val="00930FD3"/>
    <w:rsid w:val="00940119"/>
    <w:rsid w:val="00940DFB"/>
    <w:rsid w:val="009504EF"/>
    <w:rsid w:val="009506C3"/>
    <w:rsid w:val="00953599"/>
    <w:rsid w:val="009555D2"/>
    <w:rsid w:val="0096178B"/>
    <w:rsid w:val="00961A32"/>
    <w:rsid w:val="00972A41"/>
    <w:rsid w:val="0099008B"/>
    <w:rsid w:val="009A4F13"/>
    <w:rsid w:val="009A6B47"/>
    <w:rsid w:val="009A6BFE"/>
    <w:rsid w:val="009A784E"/>
    <w:rsid w:val="009C24F5"/>
    <w:rsid w:val="009E28C4"/>
    <w:rsid w:val="009E431C"/>
    <w:rsid w:val="009E53B9"/>
    <w:rsid w:val="00A30C0B"/>
    <w:rsid w:val="00A35020"/>
    <w:rsid w:val="00A47D9F"/>
    <w:rsid w:val="00A54C91"/>
    <w:rsid w:val="00A55535"/>
    <w:rsid w:val="00A62AE0"/>
    <w:rsid w:val="00A6694C"/>
    <w:rsid w:val="00A809F8"/>
    <w:rsid w:val="00A8422F"/>
    <w:rsid w:val="00A873D5"/>
    <w:rsid w:val="00A94D48"/>
    <w:rsid w:val="00AB141E"/>
    <w:rsid w:val="00AC1D99"/>
    <w:rsid w:val="00AC255C"/>
    <w:rsid w:val="00AD1795"/>
    <w:rsid w:val="00AD5F23"/>
    <w:rsid w:val="00AE0003"/>
    <w:rsid w:val="00AE041E"/>
    <w:rsid w:val="00AE2E3D"/>
    <w:rsid w:val="00AE4B1A"/>
    <w:rsid w:val="00AF12FC"/>
    <w:rsid w:val="00AF17C6"/>
    <w:rsid w:val="00AF2B78"/>
    <w:rsid w:val="00AF572C"/>
    <w:rsid w:val="00AF68D4"/>
    <w:rsid w:val="00B11156"/>
    <w:rsid w:val="00B22EE8"/>
    <w:rsid w:val="00B23D9E"/>
    <w:rsid w:val="00B439F3"/>
    <w:rsid w:val="00B44FFB"/>
    <w:rsid w:val="00B61B2D"/>
    <w:rsid w:val="00B649F2"/>
    <w:rsid w:val="00B64B4B"/>
    <w:rsid w:val="00B710D0"/>
    <w:rsid w:val="00B7366C"/>
    <w:rsid w:val="00B90273"/>
    <w:rsid w:val="00B91643"/>
    <w:rsid w:val="00B95D01"/>
    <w:rsid w:val="00BB17EE"/>
    <w:rsid w:val="00BC1377"/>
    <w:rsid w:val="00BC2688"/>
    <w:rsid w:val="00BE15D1"/>
    <w:rsid w:val="00BE6A3E"/>
    <w:rsid w:val="00BF3731"/>
    <w:rsid w:val="00C17852"/>
    <w:rsid w:val="00C32660"/>
    <w:rsid w:val="00C35ED7"/>
    <w:rsid w:val="00C35FF9"/>
    <w:rsid w:val="00C36D9B"/>
    <w:rsid w:val="00C4155F"/>
    <w:rsid w:val="00C42E4E"/>
    <w:rsid w:val="00C46797"/>
    <w:rsid w:val="00C72449"/>
    <w:rsid w:val="00C73A28"/>
    <w:rsid w:val="00C9072F"/>
    <w:rsid w:val="00C90C90"/>
    <w:rsid w:val="00CA7D3D"/>
    <w:rsid w:val="00CF11FF"/>
    <w:rsid w:val="00CF1E85"/>
    <w:rsid w:val="00CF3EDB"/>
    <w:rsid w:val="00D06D5B"/>
    <w:rsid w:val="00D12C69"/>
    <w:rsid w:val="00D31C4B"/>
    <w:rsid w:val="00D55AEB"/>
    <w:rsid w:val="00D6455C"/>
    <w:rsid w:val="00D6475E"/>
    <w:rsid w:val="00D82411"/>
    <w:rsid w:val="00D944B7"/>
    <w:rsid w:val="00DA255A"/>
    <w:rsid w:val="00DA2A65"/>
    <w:rsid w:val="00DA55F2"/>
    <w:rsid w:val="00DB548B"/>
    <w:rsid w:val="00DE28A4"/>
    <w:rsid w:val="00DE748F"/>
    <w:rsid w:val="00DF2D28"/>
    <w:rsid w:val="00E31F8B"/>
    <w:rsid w:val="00E459AE"/>
    <w:rsid w:val="00E45A0E"/>
    <w:rsid w:val="00E57A18"/>
    <w:rsid w:val="00E65BE8"/>
    <w:rsid w:val="00EA02A2"/>
    <w:rsid w:val="00EB1AA9"/>
    <w:rsid w:val="00EC2822"/>
    <w:rsid w:val="00EC7EA0"/>
    <w:rsid w:val="00ED3D00"/>
    <w:rsid w:val="00EE012F"/>
    <w:rsid w:val="00EE1681"/>
    <w:rsid w:val="00EE17CD"/>
    <w:rsid w:val="00EE229A"/>
    <w:rsid w:val="00EF3E92"/>
    <w:rsid w:val="00F03DAA"/>
    <w:rsid w:val="00F2792A"/>
    <w:rsid w:val="00F33B0E"/>
    <w:rsid w:val="00F3488C"/>
    <w:rsid w:val="00F35DC6"/>
    <w:rsid w:val="00F5575A"/>
    <w:rsid w:val="00F66C21"/>
    <w:rsid w:val="00F82CB2"/>
    <w:rsid w:val="00F92A0A"/>
    <w:rsid w:val="00FC6649"/>
    <w:rsid w:val="00FD23F2"/>
    <w:rsid w:val="00FD26F4"/>
    <w:rsid w:val="00FE269B"/>
    <w:rsid w:val="00FE7694"/>
    <w:rsid w:val="00FF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4"/>
    <w:uiPriority w:val="34"/>
    <w:qFormat/>
    <w:rsid w:val="002C489B"/>
    <w:pPr>
      <w:ind w:left="720"/>
      <w:contextualSpacing/>
    </w:pPr>
  </w:style>
  <w:style w:type="table" w:styleId="a5">
    <w:name w:val="Table Grid"/>
    <w:basedOn w:val="a1"/>
    <w:uiPriority w:val="39"/>
    <w:rsid w:val="00DA5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11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11E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547CA8"/>
    <w:rPr>
      <w:color w:val="0000FF"/>
      <w:u w:val="single"/>
    </w:rPr>
  </w:style>
  <w:style w:type="character" w:customStyle="1" w:styleId="a4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3"/>
    <w:uiPriority w:val="34"/>
    <w:qFormat/>
    <w:locked/>
    <w:rsid w:val="002D5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 (4)"/>
    <w:basedOn w:val="a"/>
    <w:rsid w:val="00E57A18"/>
    <w:pPr>
      <w:widowControl w:val="0"/>
      <w:shd w:val="clear" w:color="auto" w:fill="FFFFFF"/>
      <w:spacing w:line="250" w:lineRule="exact"/>
      <w:jc w:val="center"/>
    </w:pPr>
    <w:rPr>
      <w:b/>
      <w:bCs/>
      <w:sz w:val="20"/>
      <w:szCs w:val="20"/>
    </w:rPr>
  </w:style>
  <w:style w:type="paragraph" w:styleId="a9">
    <w:name w:val="No Spacing"/>
    <w:uiPriority w:val="1"/>
    <w:qFormat/>
    <w:rsid w:val="00082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C24F5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830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9B697-331E-41F5-AF27-752F45F4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Большова </cp:lastModifiedBy>
  <cp:revision>3</cp:revision>
  <cp:lastPrinted>2023-12-05T07:08:00Z</cp:lastPrinted>
  <dcterms:created xsi:type="dcterms:W3CDTF">2026-07-02T06:58:00Z</dcterms:created>
  <dcterms:modified xsi:type="dcterms:W3CDTF">2026-07-03T00:54:00Z</dcterms:modified>
</cp:coreProperties>
</file>