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 xml:space="preserve">КОНТРАКТ  № 298 </w:t>
      </w:r>
    </w:p>
    <w:p>
      <w:pPr>
        <w:keepNext/>
        <w:keepLines/>
        <w:widowControl w:val="0"/>
        <w:suppressLineNumbers/>
        <w:suppressAutoHyphens/>
        <w:jc w:val="center"/>
        <w:rPr>
          <w:b/>
          <w:bCs/>
        </w:rPr>
      </w:pPr>
      <w:r>
        <w:rPr>
          <w:b/>
          <w:bCs/>
        </w:rPr>
        <w:t>на поставку реактивов для нужд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261770500425477050100100080600000244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90 (девяносто) календарных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298 </w:t>
      </w:r>
    </w:p>
    <w:p>
      <w:pPr>
        <w:keepNext/>
        <w:keepLines/>
        <w:widowControl w:val="0"/>
        <w:suppressLineNumbers/>
        <w:suppressAutoHyphens/>
        <w:ind w:left="6521"/>
        <w:jc w:val="right"/>
      </w:pPr>
      <w:r>
        <w:t>от «___» 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143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3067"/>
        <w:gridCol w:w="1523"/>
        <w:gridCol w:w="4252"/>
        <w:gridCol w:w="851"/>
        <w:gridCol w:w="985"/>
        <w:gridCol w:w="1353"/>
        <w:gridCol w:w="1692"/>
      </w:tblGrid>
      <w:tr>
        <w:trPr>
          <w:trHeight w:val="1156"/>
        </w:trPr>
        <w:tc>
          <w:tcPr>
            <w:tcW w:w="655" w:type="dxa"/>
            <w:vAlign w:val="center"/>
          </w:tcPr>
          <w:p>
            <w:pPr>
              <w:keepNext/>
              <w:keepLines/>
              <w:widowControl w:val="0"/>
              <w:suppressLineNumbers/>
              <w:tabs>
                <w:tab w:val="center" w:pos="252"/>
              </w:tabs>
              <w:suppressAutoHyphens/>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067" w:type="dxa"/>
            <w:vAlign w:val="center"/>
          </w:tcPr>
          <w:p>
            <w:pPr>
              <w:keepNext/>
              <w:keepLines/>
              <w:widowControl w:val="0"/>
              <w:suppressLineNumbers/>
              <w:suppressAutoHyphens/>
              <w:jc w:val="center"/>
              <w:rPr>
                <w:bCs/>
                <w:sz w:val="20"/>
                <w:szCs w:val="20"/>
              </w:rPr>
            </w:pPr>
            <w:r>
              <w:rPr>
                <w:bCs/>
                <w:sz w:val="20"/>
                <w:szCs w:val="20"/>
              </w:rPr>
              <w:t>Наименование Товара,</w:t>
            </w:r>
          </w:p>
          <w:p>
            <w:pPr>
              <w:keepNext/>
              <w:keepLines/>
              <w:widowControl w:val="0"/>
              <w:suppressLineNumbers/>
              <w:suppressAutoHyphens/>
              <w:jc w:val="center"/>
              <w:rPr>
                <w:bCs/>
                <w:sz w:val="20"/>
                <w:szCs w:val="20"/>
              </w:rPr>
            </w:pPr>
            <w:r>
              <w:rPr>
                <w:bCs/>
                <w:sz w:val="20"/>
                <w:szCs w:val="20"/>
              </w:rPr>
              <w:t xml:space="preserve">страна происхождения </w:t>
            </w:r>
            <w:r>
              <w:rPr>
                <w:bCs/>
                <w:sz w:val="20"/>
                <w:szCs w:val="20"/>
              </w:rPr>
              <w:br/>
            </w:r>
          </w:p>
        </w:tc>
        <w:tc>
          <w:tcPr>
            <w:tcW w:w="1523" w:type="dxa"/>
            <w:vAlign w:val="center"/>
          </w:tcPr>
          <w:p>
            <w:pPr>
              <w:keepNext/>
              <w:keepLines/>
              <w:widowControl w:val="0"/>
              <w:suppressLineNumbers/>
              <w:suppressAutoHyphens/>
              <w:jc w:val="center"/>
              <w:rPr>
                <w:bCs/>
                <w:sz w:val="20"/>
                <w:szCs w:val="20"/>
              </w:rPr>
            </w:pPr>
            <w:r>
              <w:rPr>
                <w:bCs/>
                <w:sz w:val="20"/>
                <w:szCs w:val="20"/>
              </w:rPr>
              <w:t>КТРУ/ОКПД</w:t>
            </w:r>
            <w:proofErr w:type="gramStart"/>
            <w:r>
              <w:rPr>
                <w:bCs/>
                <w:sz w:val="20"/>
                <w:szCs w:val="20"/>
              </w:rPr>
              <w:t>2</w:t>
            </w:r>
            <w:proofErr w:type="gramEnd"/>
          </w:p>
        </w:tc>
        <w:tc>
          <w:tcPr>
            <w:tcW w:w="4252" w:type="dxa"/>
            <w:vAlign w:val="center"/>
          </w:tcPr>
          <w:p>
            <w:pPr>
              <w:keepNext/>
              <w:keepLines/>
              <w:widowControl w:val="0"/>
              <w:suppressLineNumbers/>
              <w:suppressAutoHyphens/>
              <w:jc w:val="center"/>
              <w:rPr>
                <w:sz w:val="20"/>
                <w:szCs w:val="20"/>
              </w:rPr>
            </w:pPr>
            <w:r>
              <w:rPr>
                <w:sz w:val="20"/>
                <w:szCs w:val="20"/>
              </w:rPr>
              <w:t>Технические характеристики</w:t>
            </w:r>
          </w:p>
        </w:tc>
        <w:tc>
          <w:tcPr>
            <w:tcW w:w="851" w:type="dxa"/>
            <w:vAlign w:val="center"/>
          </w:tcPr>
          <w:p>
            <w:pPr>
              <w:keepNext/>
              <w:keepLines/>
              <w:widowControl w:val="0"/>
              <w:suppressLineNumbers/>
              <w:suppressAutoHyphens/>
              <w:jc w:val="center"/>
              <w:rPr>
                <w:sz w:val="20"/>
                <w:szCs w:val="20"/>
              </w:rPr>
            </w:pPr>
            <w:r>
              <w:rPr>
                <w:sz w:val="20"/>
                <w:szCs w:val="20"/>
              </w:rPr>
              <w:t>Ед. изм</w:t>
            </w:r>
          </w:p>
        </w:tc>
        <w:tc>
          <w:tcPr>
            <w:tcW w:w="985" w:type="dxa"/>
            <w:vAlign w:val="center"/>
          </w:tcPr>
          <w:p>
            <w:pPr>
              <w:keepNext/>
              <w:keepLines/>
              <w:widowControl w:val="0"/>
              <w:suppressLineNumbers/>
              <w:suppressAutoHyphens/>
              <w:jc w:val="center"/>
              <w:rPr>
                <w:sz w:val="20"/>
                <w:szCs w:val="20"/>
              </w:rPr>
            </w:pPr>
            <w:r>
              <w:rPr>
                <w:sz w:val="20"/>
                <w:szCs w:val="20"/>
              </w:rPr>
              <w:t>Кол-во</w:t>
            </w:r>
          </w:p>
        </w:tc>
        <w:tc>
          <w:tcPr>
            <w:tcW w:w="1353" w:type="dxa"/>
            <w:vAlign w:val="center"/>
          </w:tcPr>
          <w:p>
            <w:pPr>
              <w:keepNext/>
              <w:keepLines/>
              <w:widowControl w:val="0"/>
              <w:suppressLineNumbers/>
              <w:suppressAutoHyphens/>
              <w:ind w:left="-108" w:right="-108"/>
              <w:jc w:val="center"/>
              <w:rPr>
                <w:bCs/>
                <w:spacing w:val="2"/>
                <w:sz w:val="20"/>
                <w:szCs w:val="20"/>
              </w:rPr>
            </w:pPr>
            <w:r>
              <w:rPr>
                <w:bCs/>
                <w:spacing w:val="2"/>
                <w:sz w:val="20"/>
                <w:szCs w:val="20"/>
              </w:rPr>
              <w:t>Цена единицы</w:t>
            </w:r>
          </w:p>
          <w:p>
            <w:pPr>
              <w:keepNext/>
              <w:keepLines/>
              <w:widowControl w:val="0"/>
              <w:suppressLineNumbers/>
              <w:suppressAutoHyphens/>
              <w:ind w:left="-108" w:right="-108" w:hanging="108"/>
              <w:jc w:val="center"/>
              <w:rPr>
                <w:bCs/>
                <w:spacing w:val="2"/>
                <w:sz w:val="20"/>
                <w:szCs w:val="20"/>
              </w:rPr>
            </w:pPr>
            <w:r>
              <w:rPr>
                <w:bCs/>
                <w:spacing w:val="2"/>
                <w:sz w:val="20"/>
                <w:szCs w:val="20"/>
              </w:rPr>
              <w:t>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c>
          <w:tcPr>
            <w:tcW w:w="1692" w:type="dxa"/>
            <w:vAlign w:val="center"/>
          </w:tcPr>
          <w:p>
            <w:pPr>
              <w:keepNext/>
              <w:keepLines/>
              <w:widowControl w:val="0"/>
              <w:suppressLineNumbers/>
              <w:suppressAutoHyphens/>
              <w:ind w:left="-108" w:right="-108" w:firstLine="108"/>
              <w:jc w:val="center"/>
              <w:rPr>
                <w:bCs/>
                <w:spacing w:val="2"/>
                <w:sz w:val="20"/>
                <w:szCs w:val="20"/>
              </w:rPr>
            </w:pPr>
            <w:r>
              <w:rPr>
                <w:sz w:val="20"/>
                <w:szCs w:val="20"/>
              </w:rPr>
              <w:t>Сумма</w:t>
            </w:r>
            <w:r>
              <w:rPr>
                <w:bCs/>
                <w:spacing w:val="2"/>
                <w:sz w:val="20"/>
                <w:szCs w:val="20"/>
              </w:rPr>
              <w:t xml:space="preserve"> 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r>
      <w:tr>
        <w:trPr>
          <w:trHeight w:val="685"/>
        </w:trPr>
        <w:tc>
          <w:tcPr>
            <w:tcW w:w="655" w:type="dxa"/>
            <w:vAlign w:val="center"/>
          </w:tcPr>
          <w:p>
            <w:pPr>
              <w:keepNext/>
              <w:keepLines/>
              <w:widowControl w:val="0"/>
              <w:suppressLineNumbers/>
              <w:suppressAutoHyphens/>
              <w:ind w:left="360"/>
              <w:jc w:val="center"/>
              <w:rPr>
                <w:sz w:val="20"/>
                <w:szCs w:val="20"/>
                <w:lang w:val="en-US"/>
              </w:rPr>
            </w:pPr>
            <w:r>
              <w:rPr>
                <w:sz w:val="20"/>
                <w:szCs w:val="20"/>
                <w:lang w:val="en-US"/>
              </w:rPr>
              <w:t>1</w:t>
            </w:r>
          </w:p>
        </w:tc>
        <w:tc>
          <w:tcPr>
            <w:tcW w:w="3067" w:type="dxa"/>
            <w:vAlign w:val="center"/>
          </w:tcPr>
          <w:p>
            <w:pPr>
              <w:rPr>
                <w:color w:val="000000"/>
                <w:sz w:val="20"/>
                <w:szCs w:val="20"/>
              </w:rPr>
            </w:pPr>
            <w:r>
              <w:rPr>
                <w:color w:val="000000"/>
                <w:sz w:val="20"/>
                <w:szCs w:val="20"/>
              </w:rPr>
              <w:t>Аммоний тиоцианат</w:t>
            </w:r>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r>
              <w:rPr>
                <w:bCs/>
                <w:sz w:val="20"/>
                <w:szCs w:val="20"/>
              </w:rPr>
              <w:t>Аммоний тиоцианат 98,5% белый кристаллический порошок, фасовка 100 г.</w:t>
            </w:r>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1</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r>
        <w:trPr>
          <w:trHeight w:val="685"/>
        </w:trPr>
        <w:tc>
          <w:tcPr>
            <w:tcW w:w="655" w:type="dxa"/>
            <w:vAlign w:val="center"/>
          </w:tcPr>
          <w:p>
            <w:pPr>
              <w:keepNext/>
              <w:keepLines/>
              <w:widowControl w:val="0"/>
              <w:suppressLineNumbers/>
              <w:suppressAutoHyphens/>
              <w:ind w:left="360"/>
              <w:jc w:val="center"/>
              <w:rPr>
                <w:sz w:val="20"/>
                <w:szCs w:val="20"/>
                <w:lang w:val="en-US"/>
              </w:rPr>
            </w:pPr>
            <w:r>
              <w:rPr>
                <w:sz w:val="20"/>
                <w:szCs w:val="20"/>
                <w:lang w:val="en-US"/>
              </w:rPr>
              <w:t>2</w:t>
            </w:r>
          </w:p>
        </w:tc>
        <w:tc>
          <w:tcPr>
            <w:tcW w:w="3067" w:type="dxa"/>
            <w:vAlign w:val="center"/>
          </w:tcPr>
          <w:p>
            <w:pPr>
              <w:rPr>
                <w:color w:val="000000"/>
                <w:sz w:val="20"/>
                <w:szCs w:val="20"/>
              </w:rPr>
            </w:pPr>
            <w:r>
              <w:rPr>
                <w:color w:val="000000"/>
                <w:sz w:val="20"/>
                <w:szCs w:val="20"/>
              </w:rPr>
              <w:t>Йодид калия</w:t>
            </w:r>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r>
              <w:rPr>
                <w:bCs/>
                <w:sz w:val="20"/>
                <w:szCs w:val="20"/>
              </w:rPr>
              <w:t>Йодид калия, ≥99% белый порошок, фасовка  1 кг.</w:t>
            </w:r>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1</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r>
        <w:trPr>
          <w:trHeight w:val="685"/>
        </w:trPr>
        <w:tc>
          <w:tcPr>
            <w:tcW w:w="655" w:type="dxa"/>
            <w:vAlign w:val="center"/>
          </w:tcPr>
          <w:p>
            <w:pPr>
              <w:keepNext/>
              <w:keepLines/>
              <w:widowControl w:val="0"/>
              <w:suppressLineNumbers/>
              <w:suppressAutoHyphens/>
              <w:ind w:left="360"/>
              <w:jc w:val="center"/>
              <w:rPr>
                <w:sz w:val="20"/>
                <w:szCs w:val="20"/>
              </w:rPr>
            </w:pPr>
            <w:r>
              <w:rPr>
                <w:sz w:val="20"/>
                <w:szCs w:val="20"/>
              </w:rPr>
              <w:t>3</w:t>
            </w:r>
          </w:p>
        </w:tc>
        <w:tc>
          <w:tcPr>
            <w:tcW w:w="3067" w:type="dxa"/>
            <w:vAlign w:val="center"/>
          </w:tcPr>
          <w:p>
            <w:pPr>
              <w:rPr>
                <w:color w:val="000000"/>
                <w:sz w:val="20"/>
                <w:szCs w:val="20"/>
              </w:rPr>
            </w:pPr>
            <w:r>
              <w:rPr>
                <w:color w:val="000000"/>
                <w:sz w:val="20"/>
                <w:szCs w:val="20"/>
              </w:rPr>
              <w:t>Сульфат железа(II) гептагидрат</w:t>
            </w:r>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r>
              <w:rPr>
                <w:bCs/>
                <w:sz w:val="20"/>
                <w:szCs w:val="20"/>
              </w:rPr>
              <w:t>Сульфат железа(II) гептагидрат, реактивной чистоты, 99% кристаллический порошок синего или зеленого цвета, фасовка 100 г.</w:t>
            </w:r>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1</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r>
        <w:trPr>
          <w:trHeight w:val="685"/>
        </w:trPr>
        <w:tc>
          <w:tcPr>
            <w:tcW w:w="655" w:type="dxa"/>
            <w:vAlign w:val="center"/>
          </w:tcPr>
          <w:p>
            <w:pPr>
              <w:keepNext/>
              <w:keepLines/>
              <w:widowControl w:val="0"/>
              <w:suppressLineNumbers/>
              <w:suppressAutoHyphens/>
              <w:ind w:left="360"/>
              <w:jc w:val="center"/>
              <w:rPr>
                <w:sz w:val="20"/>
                <w:szCs w:val="20"/>
              </w:rPr>
            </w:pPr>
            <w:r>
              <w:rPr>
                <w:sz w:val="20"/>
                <w:szCs w:val="20"/>
              </w:rPr>
              <w:t>4</w:t>
            </w:r>
          </w:p>
        </w:tc>
        <w:tc>
          <w:tcPr>
            <w:tcW w:w="3067" w:type="dxa"/>
            <w:vAlign w:val="center"/>
          </w:tcPr>
          <w:p>
            <w:pPr>
              <w:rPr>
                <w:color w:val="000000"/>
                <w:sz w:val="20"/>
                <w:szCs w:val="20"/>
              </w:rPr>
            </w:pPr>
            <w:r>
              <w:rPr>
                <w:color w:val="000000"/>
                <w:sz w:val="20"/>
                <w:szCs w:val="20"/>
              </w:rPr>
              <w:t>Гидропероксид кумола</w:t>
            </w:r>
          </w:p>
        </w:tc>
        <w:tc>
          <w:tcPr>
            <w:tcW w:w="1523" w:type="dxa"/>
            <w:vAlign w:val="center"/>
          </w:tcPr>
          <w:p>
            <w:pPr>
              <w:jc w:val="center"/>
              <w:rPr>
                <w:color w:val="000000"/>
                <w:sz w:val="20"/>
                <w:szCs w:val="20"/>
              </w:rPr>
            </w:pPr>
            <w:r>
              <w:rPr>
                <w:color w:val="000000"/>
                <w:sz w:val="20"/>
                <w:szCs w:val="20"/>
              </w:rPr>
              <w:t>20.59.52.199</w:t>
            </w:r>
          </w:p>
        </w:tc>
        <w:tc>
          <w:tcPr>
            <w:tcW w:w="4252" w:type="dxa"/>
            <w:vAlign w:val="center"/>
          </w:tcPr>
          <w:p>
            <w:pPr>
              <w:keepNext/>
              <w:keepLines/>
              <w:widowControl w:val="0"/>
              <w:suppressLineNumbers/>
              <w:suppressAutoHyphens/>
              <w:rPr>
                <w:bCs/>
                <w:sz w:val="20"/>
                <w:szCs w:val="20"/>
              </w:rPr>
            </w:pPr>
            <w:r>
              <w:rPr>
                <w:bCs/>
                <w:sz w:val="20"/>
                <w:szCs w:val="20"/>
              </w:rPr>
              <w:t>Гидропероксид кумола, 90%-98% бесцветная или бледно-желтая прозрачная жидкость, фасовка 500 г.</w:t>
            </w:r>
          </w:p>
        </w:tc>
        <w:tc>
          <w:tcPr>
            <w:tcW w:w="851" w:type="dxa"/>
            <w:vAlign w:val="center"/>
          </w:tcPr>
          <w:p>
            <w:pPr>
              <w:jc w:val="center"/>
              <w:rPr>
                <w:color w:val="000000"/>
                <w:sz w:val="20"/>
                <w:szCs w:val="20"/>
              </w:rPr>
            </w:pPr>
            <w:r>
              <w:rPr>
                <w:color w:val="000000"/>
                <w:sz w:val="20"/>
                <w:szCs w:val="20"/>
              </w:rPr>
              <w:t>шт.</w:t>
            </w:r>
          </w:p>
        </w:tc>
        <w:tc>
          <w:tcPr>
            <w:tcW w:w="985" w:type="dxa"/>
            <w:vAlign w:val="center"/>
          </w:tcPr>
          <w:p>
            <w:pPr>
              <w:jc w:val="center"/>
              <w:rPr>
                <w:color w:val="000000"/>
                <w:sz w:val="20"/>
                <w:szCs w:val="20"/>
              </w:rPr>
            </w:pPr>
            <w:r>
              <w:rPr>
                <w:color w:val="000000"/>
                <w:sz w:val="20"/>
                <w:szCs w:val="20"/>
              </w:rPr>
              <w:t>2</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1702"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55931419">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E23A-000A-4C34-8B8D-70484326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4336</Words>
  <Characters>24718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20</cp:revision>
  <cp:lastPrinted>2022-11-03T12:33:00Z</cp:lastPrinted>
  <dcterms:created xsi:type="dcterms:W3CDTF">2026-04-20T10:03:00Z</dcterms:created>
  <dcterms:modified xsi:type="dcterms:W3CDTF">2026-05-29T07:30:00Z</dcterms:modified>
</cp:coreProperties>
</file>