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 xml:space="preserve">в течение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>3 (трех)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385"/>
        <w:gridCol w:w="696"/>
        <w:gridCol w:w="1039"/>
        <w:gridCol w:w="1171"/>
        <w:gridCol w:w="1954"/>
      </w:tblGrid>
      <w:tr>
        <w:trPr>
          <w:trHeight w:val="36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fill="FDFDFD" w:val="clear"/>
              </w:rPr>
              <w:t>Почтовая марка стандарт номиналом 100,00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fill="FDFDFD" w:val="clear"/>
              </w:rPr>
              <w:t>Почтовая марка стандарт номиналом 50,00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Почтовая марка стандарт номиналом 10,00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Calibri" w:cs="Times New Roman" w:ascii="Times New Roman" w:hAnsi="Times New Roman"/>
          <w:sz w:val="24"/>
          <w:szCs w:val="24"/>
        </w:rPr>
        <w:t>маркированн</w:t>
      </w:r>
      <w:r>
        <w:rPr>
          <w:rFonts w:eastAsia="Calibri" w:cs="Times New Roman" w:ascii="Times New Roman" w:hAnsi="Times New Roman"/>
          <w:sz w:val="24"/>
          <w:szCs w:val="24"/>
        </w:rPr>
        <w:t>ой</w:t>
      </w:r>
      <w:r>
        <w:rPr>
          <w:rFonts w:eastAsia="Calibri" w:cs="Times New Roman" w:ascii="Times New Roman" w:hAnsi="Times New Roman"/>
          <w:sz w:val="24"/>
          <w:szCs w:val="24"/>
        </w:rPr>
        <w:t xml:space="preserve"> продукци</w:t>
      </w:r>
      <w:r>
        <w:rPr>
          <w:rFonts w:eastAsia="Calibri" w:cs="Times New Roman" w:ascii="Times New Roman" w:hAnsi="Times New Roman"/>
          <w:sz w:val="24"/>
          <w:szCs w:val="24"/>
        </w:rPr>
        <w:t>и</w:t>
      </w:r>
    </w:p>
    <w:p>
      <w:pPr>
        <w:pStyle w:val="Normal"/>
        <w:jc w:val="center"/>
        <w:rPr>
          <w:rFonts w:ascii="Times New Roman" w:hAnsi="Times New Roman"/>
          <w:b/>
          <w:bCs/>
          <w:spacing w:val="-4"/>
          <w:sz w:val="16"/>
          <w:szCs w:val="16"/>
        </w:rPr>
      </w:pPr>
      <w:r>
        <w:rPr>
          <w:rFonts w:ascii="Times New Roman" w:hAnsi="Times New Roman"/>
          <w:b/>
          <w:bCs/>
          <w:spacing w:val="-4"/>
          <w:sz w:val="16"/>
          <w:szCs w:val="16"/>
        </w:rPr>
      </w:r>
    </w:p>
    <w:tbl>
      <w:tblPr>
        <w:tblW w:w="949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6515"/>
        <w:gridCol w:w="2416"/>
      </w:tblGrid>
      <w:tr>
        <w:trPr>
          <w:trHeight w:val="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eastAsia="Calibri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eastAsia="Calibri" w:ascii="Times New Roman" w:hAnsi="Times New Roman"/>
                <w:b/>
                <w:sz w:val="24"/>
                <w:szCs w:val="24"/>
                <w:lang w:val="ru-RU"/>
              </w:rPr>
              <w:t>товара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</w:rPr>
              <w:t>Кол-во</w:t>
            </w:r>
            <w:r>
              <w:rPr>
                <w:rFonts w:eastAsia="Calibri" w:ascii="Times New Roman" w:hAnsi="Times New Roman"/>
                <w:b/>
                <w:sz w:val="24"/>
                <w:szCs w:val="24"/>
                <w:lang w:val="ru-RU"/>
              </w:rPr>
              <w:t>, шт.</w:t>
            </w:r>
          </w:p>
        </w:tc>
      </w:tr>
      <w:tr>
        <w:trPr>
          <w:trHeight w:val="92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fill="FDFDFD" w:val="clear"/>
              </w:rPr>
              <w:t>Почтовая марка стандарт номиналом 100,00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92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Почтовая марка стандарт номиналом 50,00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</w:tr>
      <w:tr>
        <w:trPr>
          <w:trHeight w:val="928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Почтовая марка стандарт номиналом 10,00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Требования Заказчика</w:t>
      </w:r>
    </w:p>
    <w:p>
      <w:pPr>
        <w:pStyle w:val="12"/>
        <w:spacing w:lineRule="auto" w:line="228"/>
        <w:ind w:firstLine="72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основании п. 1.6. «Положения о знаках почтовой оплаты и специальных почтовых штемпелях Российской Федерации», утвержденного приказом Министерства связи Российской Федерации от 26.05.1994 г. №115 знаки почтовой оплаты должны печататься предприятиями Государственного производственного объединения государственных знаков Министерства финансов Российской Федерации (Гознак) и иметь степень защиты в виде водяных знаков. Почтовые марки должны соответствовать «Шестому стандартному выпуску почтовых марок РФ» ТУ 47-05-68-05.</w:t>
      </w:r>
    </w:p>
    <w:p>
      <w:pPr>
        <w:pStyle w:val="12"/>
        <w:spacing w:lineRule="auto" w:line="228"/>
        <w:ind w:firstLine="72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Поставляемые знаки почтовой оплаты должны являться гарантией Заказчику в доставке внутренней и отправке международной корреспонденции Учреждением Федеральной почтовой связи. Марки почтовые должны быть новыми, готовыми к эксплуатации, преимущественно прямоугольной формы. На них должен быть указан номинал, определяющий франкировальную силу знака почтовой оплаты.</w:t>
      </w:r>
    </w:p>
    <w:p>
      <w:pPr>
        <w:pStyle w:val="Normal"/>
        <w:ind w:firstLine="567" w:right="-1"/>
        <w:jc w:val="both"/>
        <w:rPr/>
      </w:pPr>
      <w:r>
        <w:rPr>
          <w:rStyle w:val="Blk"/>
          <w:rFonts w:ascii="Times New Roman" w:hAnsi="Times New Roman"/>
          <w:b/>
          <w:bCs/>
          <w:sz w:val="24"/>
          <w:szCs w:val="24"/>
          <w:lang w:val="ru-RU"/>
        </w:rPr>
        <w:t>Место поставки товара: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Кемеровская область, г. Кемерово, ул. Красная, 11. </w:t>
      </w:r>
    </w:p>
    <w:p>
      <w:pPr>
        <w:pStyle w:val="Normal"/>
        <w:ind w:firstLine="567" w:right="-1"/>
        <w:jc w:val="both"/>
        <w:rPr/>
      </w:pPr>
      <w:r>
        <w:rPr>
          <w:rStyle w:val="Blk"/>
          <w:rFonts w:eastAsia="Calibri" w:cs="Times New Roman" w:ascii="Times New Roman" w:hAnsi="Times New Roman"/>
          <w:b/>
          <w:bCs/>
          <w:sz w:val="24"/>
          <w:szCs w:val="24"/>
          <w:lang w:val="ru-RU" w:eastAsia="ar-SA"/>
        </w:rPr>
        <w:t>Срок поставки товара:</w:t>
      </w:r>
      <w:r>
        <w:rPr>
          <w:rStyle w:val="Blk"/>
          <w:rFonts w:eastAsia="Calibri" w:cs="Times New Roman" w:ascii="Times New Roman" w:hAnsi="Times New Roman"/>
          <w:bCs/>
          <w:sz w:val="24"/>
          <w:szCs w:val="24"/>
          <w:lang w:val="ru-RU" w:eastAsia="ar-SA"/>
        </w:rPr>
        <w:t xml:space="preserve"> в течение 3 (трех) рабочих дней с момента заключения Контракта. Допускается досрочная поставка Товара и поставка Товара партиями.</w:t>
      </w:r>
      <w:bookmarkStart w:id="5" w:name="_GoBack_Копия_1"/>
      <w:bookmarkEnd w:id="5"/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</w:r>
      <w:bookmarkStart w:id="6" w:name="_GoBack"/>
      <w:bookmarkStart w:id="7" w:name="_GoBack"/>
      <w:bookmarkEnd w:id="7"/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Application>LibreOffice/24.2.0.3$Windows_X86_64 LibreOffice_project/da48488a73ddd66ea24cf16bbc4f7b9c08e9bea1</Application>
  <AppVersion>15.0000</AppVersion>
  <Pages>7</Pages>
  <Words>1974</Words>
  <Characters>13645</Characters>
  <CharactersWithSpaces>16290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2026-08-31T16:27:25Z</dcterms:modified>
  <cp:revision>145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