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media/image2.wmf" ContentType="image/x-wmf"/>
  <Override PartName="/word/media/image3.wmf" ContentType="image/x-wmf"/>
  <Override PartName="/word/media/image4.wmf" ContentType="image/x-wmf"/>
  <Override PartName="/word/media/image5.wmf" ContentType="image/x-w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ind w:firstLine="567"/>
        <w:rPr/>
      </w:pPr>
      <w:bookmarkStart w:id="0" w:name="_Toc379535108"/>
      <w:r>
        <w:rPr/>
        <w:t>Обоснование начальной (максимальной) цены государственного контракта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поставку строительных материалов</w:t>
      </w:r>
      <w:r>
        <w:rPr>
          <w:rFonts w:ascii="Times New Roman" w:hAnsi="Times New Roman"/>
          <w:b/>
          <w:bCs/>
          <w:sz w:val="24"/>
          <w:szCs w:val="24"/>
        </w:rPr>
        <w:t>.</w:t>
      </w:r>
      <w:bookmarkEnd w:id="0"/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Используемый метод определения начальной (максимальной) цены контракта с обоснованием: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Начальная (максимальная) цена государственного контракта (далее - НМЦК)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b/>
          <w:sz w:val="24"/>
          <w:szCs w:val="24"/>
        </w:rPr>
        <w:t>поставку строительных материалов (</w:t>
      </w:r>
      <w:r>
        <w:rPr>
          <w:rFonts w:ascii="Times New Roman" w:hAnsi="Times New Roman"/>
          <w:sz w:val="24"/>
          <w:szCs w:val="24"/>
        </w:rPr>
        <w:t>далее – товар) определена и обоснована Заказчиком посредством применения метода сопоставимых рыночных цен (анализа рынка) в соответствии с требованиями статьи  22 Закона о контрактной системе в сфере закупок, при этом используются Методические рекомендации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утвержденные приказом Минэкономразвития РФ от 02.10.2013 № 567 (далее – Методические рекомендации).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Расчет производится в соответствии с Разделом </w:t>
      </w:r>
      <w:r>
        <w:rPr>
          <w:rFonts w:ascii="Times New Roman" w:hAnsi="Times New Roman"/>
          <w:sz w:val="24"/>
          <w:szCs w:val="24"/>
          <w:lang w:val="en-US" w:eastAsia="en-US"/>
        </w:rPr>
        <w:t>III</w:t>
      </w:r>
      <w:r>
        <w:rPr>
          <w:rFonts w:ascii="Times New Roman" w:hAnsi="Times New Roman"/>
          <w:sz w:val="24"/>
          <w:szCs w:val="24"/>
          <w:lang w:eastAsia="en-US"/>
        </w:rPr>
        <w:t xml:space="preserve">Методических рекомендаций по применению методов определения начальной (максимальной) цены контракта, цены контракта заключаемого с единственным поставщиком (подрядчиком, исполнителем), утверждены на основании ч. 20 ст.22 Закона № 44-ФЗ. </w:t>
      </w:r>
    </w:p>
    <w:p>
      <w:pPr>
        <w:pStyle w:val="ListParagraph"/>
        <w:tabs>
          <w:tab w:val="clear" w:pos="708"/>
          <w:tab w:val="left" w:pos="993" w:leader="none"/>
        </w:tabs>
        <w:spacing w:lineRule="auto" w:line="240" w:before="0" w:after="0"/>
        <w:ind w:firstLine="567" w:star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Проведено исследование рынка для выявления имеющихся на рынке товаров, отвечающих требованиям, установленным описанием объекта закупки.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2. НМЦК методом сопоставимых рыночных цен (анализа рынка) определено по формуле:</w:t>
      </w:r>
    </w:p>
    <w:tbl>
      <w:tblPr>
        <w:tblW w:w="1478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0" w:firstColumn="1" w:lastColumn="0" w:noHBand="0" w:val="00a0"/>
      </w:tblPr>
      <w:tblGrid>
        <w:gridCol w:w="7393"/>
        <w:gridCol w:w="7393"/>
      </w:tblGrid>
      <w:tr>
        <w:trPr/>
        <w:tc>
          <w:tcPr>
            <w:tcW w:w="7393" w:type="dxa"/>
            <w:tcBorders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>
              <w:rPr/>
              <w:drawing>
                <wp:inline distT="0" distB="0" distL="0" distR="0">
                  <wp:extent cx="1595120" cy="318770"/>
                  <wp:effectExtent l="0" t="0" r="0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120" cy="318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 - количество закупаемого товара;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- количество значений, используемых в расчете;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- номер источника ценовой информации;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>
              <w:rPr/>
              <w:drawing>
                <wp:inline distT="0" distB="0" distL="0" distR="0">
                  <wp:extent cx="116840" cy="201930"/>
                  <wp:effectExtent l="0" t="0" r="0" b="0"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201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цена товара, представленная в источнике с номером i, скорректированная с учетом коэффициентов (индексов), применяемых для пересчета цен  с учетом различий в характеристиках услуг, коммерческих и (или) финансовых условий оказание услуг, определяемых в соответствии с </w:t>
            </w:r>
            <w:hyperlink r:id="rId4">
              <w:r>
                <w:rPr>
                  <w:rStyle w:val="Style8"/>
                  <w:rFonts w:ascii="Times New Roman" w:hAnsi="Times New Roman"/>
                  <w:sz w:val="24"/>
                  <w:szCs w:val="24"/>
                </w:rPr>
                <w:t>пунктом 3.17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. Методических рекомендаций. Коэффициенты для корректировки ценовых предложений, полученных в ходе проведения исследования рынка, не применялись.</w:t>
            </w:r>
          </w:p>
        </w:tc>
        <w:tc>
          <w:tcPr>
            <w:tcW w:w="7393" w:type="dxa"/>
            <w:tcBorders>
              <w:star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целях определения однородности совокупности значений выявленных цен, используемых в расчете НМЦК, был определен коэффициент вариации цены: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1180465" cy="318770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465" cy="318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1552575" cy="520700"/>
                  <wp:effectExtent l="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52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среднее квадратичное отклонение;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116840" cy="201930"/>
                  <wp:effectExtent l="0" t="0" r="0" b="0"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201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цена товара, указанная в источнике с номером i.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&lt;ц&gt; - средняя арифметическая величина цены товара.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- количество значений, используемых в расчете.</w:t>
            </w:r>
          </w:p>
          <w:p>
            <w:pPr>
              <w:pStyle w:val="ListParagraph"/>
              <w:tabs>
                <w:tab w:val="clear" w:pos="708"/>
                <w:tab w:val="left" w:pos="993" w:leader="none"/>
              </w:tabs>
              <w:spacing w:lineRule="auto" w:line="240" w:before="0" w:after="0"/>
              <w:ind w:start="0"/>
              <w:contextualSpacing/>
              <w:jc w:val="both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</w:r>
          </w:p>
          <w:p>
            <w:pPr>
              <w:pStyle w:val="ListParagraph"/>
              <w:tabs>
                <w:tab w:val="clear" w:pos="708"/>
                <w:tab w:val="left" w:pos="993" w:leader="none"/>
              </w:tabs>
              <w:spacing w:lineRule="auto" w:line="240" w:before="0" w:after="0"/>
              <w:ind w:start="0"/>
              <w:contextualSpacing/>
              <w:jc w:val="both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Коэффициент вариации в отношении каждого предложения не превышает 33%, что свидетельствует об однородности совокупности значений цен, использованных при расчете НМЦК (пункт 3.20.2.Методических рекомендаций).</w:t>
            </w:r>
          </w:p>
        </w:tc>
      </w:tr>
    </w:tbl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3. Расчетные значения НМЦК приведены в таблице:</w:t>
      </w:r>
    </w:p>
    <w:tbl>
      <w:tblPr>
        <w:tblW w:w="15877" w:type="dxa"/>
        <w:jc w:val="start"/>
        <w:tblInd w:w="-31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0" w:firstColumn="1" w:lastColumn="0" w:noHBand="0" w:val="00a0"/>
      </w:tblPr>
      <w:tblGrid>
        <w:gridCol w:w="565"/>
        <w:gridCol w:w="4355"/>
        <w:gridCol w:w="913"/>
        <w:gridCol w:w="976"/>
        <w:gridCol w:w="1351"/>
        <w:gridCol w:w="1364"/>
        <w:gridCol w:w="1410"/>
        <w:gridCol w:w="1081"/>
        <w:gridCol w:w="1080"/>
        <w:gridCol w:w="1065"/>
        <w:gridCol w:w="1717"/>
      </w:tblGrid>
      <w:tr>
        <w:trPr>
          <w:trHeight w:val="915" w:hRule="atLeast"/>
        </w:trPr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35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9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Источник 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ООО Тепловоз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вх. В-204-25384 от 25.08.2026</w:t>
            </w:r>
          </w:p>
        </w:tc>
        <w:tc>
          <w:tcPr>
            <w:tcW w:w="136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 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Уколов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вх. В-204-25385 от 25.08.2026</w:t>
            </w:r>
          </w:p>
        </w:tc>
        <w:tc>
          <w:tcPr>
            <w:tcW w:w="141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 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Бевз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вх. В-204-25386 от 25.08.2026</w:t>
            </w:r>
          </w:p>
        </w:tc>
        <w:tc>
          <w:tcPr>
            <w:tcW w:w="1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Вариации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 (V%)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Средняя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арифмет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ическая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цена за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единицу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&lt;ц&gt;, руб.</w:t>
            </w:r>
          </w:p>
        </w:tc>
        <w:tc>
          <w:tcPr>
            <w:tcW w:w="1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Минимальная цена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единицу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&lt;ц&gt;, руб.</w:t>
            </w:r>
          </w:p>
        </w:tc>
        <w:tc>
          <w:tcPr>
            <w:tcW w:w="1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НМЦК мин, руб.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itl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itl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itl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itl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itl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itl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itl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itl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itl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itl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itl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>
        <w:trPr>
          <w:trHeight w:val="219" w:hRule="atLeast"/>
        </w:trPr>
        <w:tc>
          <w:tcPr>
            <w:tcW w:w="5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start="0" w:end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Cэндвич-труба раструб 1,0м, 200х280, Н+Н, 0,5 мм, 0,5 мм</w:t>
            </w:r>
          </w:p>
        </w:tc>
        <w:tc>
          <w:tcPr>
            <w:tcW w:w="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5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5 768,40</w:t>
            </w:r>
          </w:p>
        </w:tc>
        <w:tc>
          <w:tcPr>
            <w:tcW w:w="136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6 489,45</w:t>
            </w:r>
          </w:p>
        </w:tc>
        <w:tc>
          <w:tcPr>
            <w:tcW w:w="141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6 489,45</w:t>
            </w:r>
          </w:p>
        </w:tc>
        <w:tc>
          <w:tcPr>
            <w:tcW w:w="10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6,66</w:t>
            </w:r>
          </w:p>
        </w:tc>
        <w:tc>
          <w:tcPr>
            <w:tcW w:w="10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6 249,10</w:t>
            </w:r>
          </w:p>
        </w:tc>
        <w:tc>
          <w:tcPr>
            <w:tcW w:w="10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5 768,40</w:t>
            </w:r>
          </w:p>
        </w:tc>
        <w:tc>
          <w:tcPr>
            <w:tcW w:w="17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63 452,40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start="0" w:end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Сэндвич-тройник 90 градусов 200х280, Н+Н, 0,5 мм, 0,5 мм</w:t>
            </w:r>
          </w:p>
        </w:tc>
        <w:tc>
          <w:tcPr>
            <w:tcW w:w="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6 908,40</w:t>
            </w:r>
          </w:p>
        </w:tc>
        <w:tc>
          <w:tcPr>
            <w:tcW w:w="136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7 771,95</w:t>
            </w:r>
          </w:p>
        </w:tc>
        <w:tc>
          <w:tcPr>
            <w:tcW w:w="141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7 771,95</w:t>
            </w:r>
          </w:p>
        </w:tc>
        <w:tc>
          <w:tcPr>
            <w:tcW w:w="10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6,66</w:t>
            </w:r>
          </w:p>
        </w:tc>
        <w:tc>
          <w:tcPr>
            <w:tcW w:w="10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7 484,10</w:t>
            </w:r>
          </w:p>
        </w:tc>
        <w:tc>
          <w:tcPr>
            <w:tcW w:w="10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6 908,40</w:t>
            </w:r>
          </w:p>
        </w:tc>
        <w:tc>
          <w:tcPr>
            <w:tcW w:w="17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6 908,40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start="0" w:end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Труба стальная черная шовная ВГП Ду 50х3,5 (2м)</w:t>
            </w:r>
          </w:p>
        </w:tc>
        <w:tc>
          <w:tcPr>
            <w:tcW w:w="9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606,12</w:t>
            </w:r>
          </w:p>
        </w:tc>
        <w:tc>
          <w:tcPr>
            <w:tcW w:w="136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663,84</w:t>
            </w:r>
          </w:p>
        </w:tc>
        <w:tc>
          <w:tcPr>
            <w:tcW w:w="141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779,29</w:t>
            </w:r>
          </w:p>
        </w:tc>
        <w:tc>
          <w:tcPr>
            <w:tcW w:w="1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12,91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683,08</w:t>
            </w:r>
          </w:p>
        </w:tc>
        <w:tc>
          <w:tcPr>
            <w:tcW w:w="1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606,12</w:t>
            </w:r>
          </w:p>
        </w:tc>
        <w:tc>
          <w:tcPr>
            <w:tcW w:w="1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2 424,48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35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start="0" w:end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Труба стальная черная шовная ВГП Ду 40х3,5 (2м)</w:t>
            </w:r>
          </w:p>
        </w:tc>
        <w:tc>
          <w:tcPr>
            <w:tcW w:w="9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484,84</w:t>
            </w:r>
          </w:p>
        </w:tc>
        <w:tc>
          <w:tcPr>
            <w:tcW w:w="136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531,02</w:t>
            </w:r>
          </w:p>
        </w:tc>
        <w:tc>
          <w:tcPr>
            <w:tcW w:w="141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623,37</w:t>
            </w:r>
          </w:p>
        </w:tc>
        <w:tc>
          <w:tcPr>
            <w:tcW w:w="1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12,91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546,41</w:t>
            </w:r>
          </w:p>
        </w:tc>
        <w:tc>
          <w:tcPr>
            <w:tcW w:w="1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484,84</w:t>
            </w:r>
          </w:p>
        </w:tc>
        <w:tc>
          <w:tcPr>
            <w:tcW w:w="1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1 939,36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35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start="0" w:end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Шибер раструб ф 200, 1,0 мм нерж.</w:t>
            </w:r>
          </w:p>
        </w:tc>
        <w:tc>
          <w:tcPr>
            <w:tcW w:w="9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2 200,20</w:t>
            </w:r>
          </w:p>
        </w:tc>
        <w:tc>
          <w:tcPr>
            <w:tcW w:w="136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2 475,23</w:t>
            </w:r>
          </w:p>
        </w:tc>
        <w:tc>
          <w:tcPr>
            <w:tcW w:w="141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2 475,23</w:t>
            </w:r>
          </w:p>
        </w:tc>
        <w:tc>
          <w:tcPr>
            <w:tcW w:w="1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6,66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2 383,55</w:t>
            </w:r>
          </w:p>
        </w:tc>
        <w:tc>
          <w:tcPr>
            <w:tcW w:w="1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2 200,20</w:t>
            </w:r>
          </w:p>
        </w:tc>
        <w:tc>
          <w:tcPr>
            <w:tcW w:w="1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2 200,20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3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start="0" w:end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Адаптер раструб ф 200х200, 1,0 мм, нержавейка h=120 мм</w:t>
            </w:r>
          </w:p>
        </w:tc>
        <w:tc>
          <w:tcPr>
            <w:tcW w:w="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513,00</w:t>
            </w:r>
          </w:p>
        </w:tc>
        <w:tc>
          <w:tcPr>
            <w:tcW w:w="136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577,13</w:t>
            </w:r>
          </w:p>
        </w:tc>
        <w:tc>
          <w:tcPr>
            <w:tcW w:w="141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577,13</w:t>
            </w:r>
          </w:p>
        </w:tc>
        <w:tc>
          <w:tcPr>
            <w:tcW w:w="10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6,66</w:t>
            </w:r>
          </w:p>
        </w:tc>
        <w:tc>
          <w:tcPr>
            <w:tcW w:w="10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555,75</w:t>
            </w:r>
          </w:p>
        </w:tc>
        <w:tc>
          <w:tcPr>
            <w:tcW w:w="10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513,00</w:t>
            </w:r>
          </w:p>
        </w:tc>
        <w:tc>
          <w:tcPr>
            <w:tcW w:w="17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513,00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3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start="0" w:end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Сгон Ду-50 стальной,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en-US"/>
              </w:rPr>
              <w:t xml:space="preserve">L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125 мм</w:t>
            </w:r>
          </w:p>
        </w:tc>
        <w:tc>
          <w:tcPr>
            <w:tcW w:w="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5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95,76</w:t>
            </w:r>
          </w:p>
        </w:tc>
        <w:tc>
          <w:tcPr>
            <w:tcW w:w="136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104,88</w:t>
            </w:r>
          </w:p>
        </w:tc>
        <w:tc>
          <w:tcPr>
            <w:tcW w:w="141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123,12</w:t>
            </w:r>
          </w:p>
        </w:tc>
        <w:tc>
          <w:tcPr>
            <w:tcW w:w="10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12,91</w:t>
            </w:r>
          </w:p>
        </w:tc>
        <w:tc>
          <w:tcPr>
            <w:tcW w:w="10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107,92</w:t>
            </w:r>
          </w:p>
        </w:tc>
        <w:tc>
          <w:tcPr>
            <w:tcW w:w="10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95,76</w:t>
            </w:r>
          </w:p>
        </w:tc>
        <w:tc>
          <w:tcPr>
            <w:tcW w:w="17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574,56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3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start="0" w:end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Кран шаровый Ду-50 (вр/вр), рычаг латунный LD Pride (2 дюйма)</w:t>
            </w:r>
          </w:p>
        </w:tc>
        <w:tc>
          <w:tcPr>
            <w:tcW w:w="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3 016,02</w:t>
            </w:r>
          </w:p>
        </w:tc>
        <w:tc>
          <w:tcPr>
            <w:tcW w:w="136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3 303,26</w:t>
            </w:r>
          </w:p>
        </w:tc>
        <w:tc>
          <w:tcPr>
            <w:tcW w:w="141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3 877,74</w:t>
            </w:r>
          </w:p>
        </w:tc>
        <w:tc>
          <w:tcPr>
            <w:tcW w:w="10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12,91</w:t>
            </w:r>
          </w:p>
        </w:tc>
        <w:tc>
          <w:tcPr>
            <w:tcW w:w="10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3 399,01</w:t>
            </w:r>
          </w:p>
        </w:tc>
        <w:tc>
          <w:tcPr>
            <w:tcW w:w="10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3 016,02</w:t>
            </w:r>
          </w:p>
        </w:tc>
        <w:tc>
          <w:tcPr>
            <w:tcW w:w="17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12 064,08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3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start="0" w:end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Кран шаровый Ду-32 (вр/вр), рычаг латунный LD Pride (8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дюймов)</w:t>
            </w:r>
          </w:p>
        </w:tc>
        <w:tc>
          <w:tcPr>
            <w:tcW w:w="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1 176,11</w:t>
            </w:r>
          </w:p>
        </w:tc>
        <w:tc>
          <w:tcPr>
            <w:tcW w:w="136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1 288,12</w:t>
            </w:r>
          </w:p>
        </w:tc>
        <w:tc>
          <w:tcPr>
            <w:tcW w:w="141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1 512,14</w:t>
            </w:r>
          </w:p>
        </w:tc>
        <w:tc>
          <w:tcPr>
            <w:tcW w:w="10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12,91</w:t>
            </w:r>
          </w:p>
        </w:tc>
        <w:tc>
          <w:tcPr>
            <w:tcW w:w="10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1 325,46</w:t>
            </w:r>
          </w:p>
        </w:tc>
        <w:tc>
          <w:tcPr>
            <w:tcW w:w="10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1 176,11</w:t>
            </w:r>
          </w:p>
        </w:tc>
        <w:tc>
          <w:tcPr>
            <w:tcW w:w="17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2 352,22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3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start="0" w:end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Отвод Ду-40х3 стальной крутоизогнутый</w:t>
            </w:r>
          </w:p>
        </w:tc>
        <w:tc>
          <w:tcPr>
            <w:tcW w:w="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51,35</w:t>
            </w:r>
          </w:p>
        </w:tc>
        <w:tc>
          <w:tcPr>
            <w:tcW w:w="136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56,24</w:t>
            </w:r>
          </w:p>
        </w:tc>
        <w:tc>
          <w:tcPr>
            <w:tcW w:w="141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66,01</w:t>
            </w:r>
          </w:p>
        </w:tc>
        <w:tc>
          <w:tcPr>
            <w:tcW w:w="10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12,90</w:t>
            </w:r>
          </w:p>
        </w:tc>
        <w:tc>
          <w:tcPr>
            <w:tcW w:w="10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57,87</w:t>
            </w:r>
          </w:p>
        </w:tc>
        <w:tc>
          <w:tcPr>
            <w:tcW w:w="10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51,35</w:t>
            </w:r>
          </w:p>
        </w:tc>
        <w:tc>
          <w:tcPr>
            <w:tcW w:w="17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154,05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43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start="0" w:end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Отвод Ду-50/57х3 стальной крутоизогнутый</w:t>
            </w:r>
          </w:p>
        </w:tc>
        <w:tc>
          <w:tcPr>
            <w:tcW w:w="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72,97</w:t>
            </w:r>
          </w:p>
        </w:tc>
        <w:tc>
          <w:tcPr>
            <w:tcW w:w="136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79,92</w:t>
            </w:r>
          </w:p>
        </w:tc>
        <w:tc>
          <w:tcPr>
            <w:tcW w:w="141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93,83</w:t>
            </w:r>
          </w:p>
        </w:tc>
        <w:tc>
          <w:tcPr>
            <w:tcW w:w="10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12,92</w:t>
            </w:r>
          </w:p>
        </w:tc>
        <w:tc>
          <w:tcPr>
            <w:tcW w:w="10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82,24</w:t>
            </w:r>
          </w:p>
        </w:tc>
        <w:tc>
          <w:tcPr>
            <w:tcW w:w="10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72,97</w:t>
            </w:r>
          </w:p>
        </w:tc>
        <w:tc>
          <w:tcPr>
            <w:tcW w:w="17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218,91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43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start="0" w:end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Хомут обжимной раструб, ф 280, AISI 439/0,5 мм, h=46мм</w:t>
            </w:r>
          </w:p>
        </w:tc>
        <w:tc>
          <w:tcPr>
            <w:tcW w:w="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5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410,40</w:t>
            </w:r>
          </w:p>
        </w:tc>
        <w:tc>
          <w:tcPr>
            <w:tcW w:w="136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461,70</w:t>
            </w:r>
          </w:p>
        </w:tc>
        <w:tc>
          <w:tcPr>
            <w:tcW w:w="141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461,70</w:t>
            </w:r>
          </w:p>
        </w:tc>
        <w:tc>
          <w:tcPr>
            <w:tcW w:w="10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6,66</w:t>
            </w:r>
          </w:p>
        </w:tc>
        <w:tc>
          <w:tcPr>
            <w:tcW w:w="10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444,60</w:t>
            </w:r>
          </w:p>
        </w:tc>
        <w:tc>
          <w:tcPr>
            <w:tcW w:w="10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410,40</w:t>
            </w:r>
          </w:p>
        </w:tc>
        <w:tc>
          <w:tcPr>
            <w:tcW w:w="17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4 514,40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43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start="0" w:end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Старт-сэндвич, раструб, холодный, 200*280,Н+Н, 1,0 мм, 0,5 мм, (П-М)</w:t>
            </w:r>
          </w:p>
        </w:tc>
        <w:tc>
          <w:tcPr>
            <w:tcW w:w="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2 223,00</w:t>
            </w:r>
          </w:p>
        </w:tc>
        <w:tc>
          <w:tcPr>
            <w:tcW w:w="136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2 500,87</w:t>
            </w:r>
          </w:p>
        </w:tc>
        <w:tc>
          <w:tcPr>
            <w:tcW w:w="141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2 500,87</w:t>
            </w:r>
          </w:p>
        </w:tc>
        <w:tc>
          <w:tcPr>
            <w:tcW w:w="10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6,66</w:t>
            </w:r>
          </w:p>
        </w:tc>
        <w:tc>
          <w:tcPr>
            <w:tcW w:w="10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2 408,25</w:t>
            </w:r>
          </w:p>
        </w:tc>
        <w:tc>
          <w:tcPr>
            <w:tcW w:w="10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2 223,00</w:t>
            </w:r>
          </w:p>
        </w:tc>
        <w:tc>
          <w:tcPr>
            <w:tcW w:w="17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2 223,00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43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start="0" w:end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Кран шаровый Ду-15 (вр / вр), рычаг латунный LD Pride</w:t>
            </w:r>
          </w:p>
        </w:tc>
        <w:tc>
          <w:tcPr>
            <w:tcW w:w="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251,58</w:t>
            </w:r>
          </w:p>
        </w:tc>
        <w:tc>
          <w:tcPr>
            <w:tcW w:w="136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275,54</w:t>
            </w:r>
          </w:p>
        </w:tc>
        <w:tc>
          <w:tcPr>
            <w:tcW w:w="141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323,45</w:t>
            </w:r>
          </w:p>
        </w:tc>
        <w:tc>
          <w:tcPr>
            <w:tcW w:w="10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12,91</w:t>
            </w:r>
          </w:p>
        </w:tc>
        <w:tc>
          <w:tcPr>
            <w:tcW w:w="10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283,52</w:t>
            </w:r>
          </w:p>
        </w:tc>
        <w:tc>
          <w:tcPr>
            <w:tcW w:w="10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251,58</w:t>
            </w:r>
          </w:p>
        </w:tc>
        <w:tc>
          <w:tcPr>
            <w:tcW w:w="17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251,58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43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start="0" w:end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Оголовок раструб, 200х280, Н+Н, 0,5 мм 0,5 мм</w:t>
            </w:r>
          </w:p>
        </w:tc>
        <w:tc>
          <w:tcPr>
            <w:tcW w:w="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2 120,40</w:t>
            </w:r>
          </w:p>
        </w:tc>
        <w:tc>
          <w:tcPr>
            <w:tcW w:w="136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2 385,45</w:t>
            </w:r>
          </w:p>
        </w:tc>
        <w:tc>
          <w:tcPr>
            <w:tcW w:w="141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2 385,45</w:t>
            </w:r>
          </w:p>
        </w:tc>
        <w:tc>
          <w:tcPr>
            <w:tcW w:w="10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6,66</w:t>
            </w:r>
          </w:p>
        </w:tc>
        <w:tc>
          <w:tcPr>
            <w:tcW w:w="10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2 297,10</w:t>
            </w:r>
          </w:p>
        </w:tc>
        <w:tc>
          <w:tcPr>
            <w:tcW w:w="10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2 120,40</w:t>
            </w:r>
          </w:p>
        </w:tc>
        <w:tc>
          <w:tcPr>
            <w:tcW w:w="17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2 120,40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43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start="0" w:end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Циркуляционный насос Wellmix WRS 32/60 В (180 мм, корпус-латунь)</w:t>
            </w:r>
          </w:p>
        </w:tc>
        <w:tc>
          <w:tcPr>
            <w:tcW w:w="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7 560,00</w:t>
            </w:r>
          </w:p>
        </w:tc>
        <w:tc>
          <w:tcPr>
            <w:tcW w:w="136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7 560,00</w:t>
            </w:r>
          </w:p>
        </w:tc>
        <w:tc>
          <w:tcPr>
            <w:tcW w:w="141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8 100,00</w:t>
            </w:r>
          </w:p>
        </w:tc>
        <w:tc>
          <w:tcPr>
            <w:tcW w:w="10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4,03</w:t>
            </w:r>
          </w:p>
        </w:tc>
        <w:tc>
          <w:tcPr>
            <w:tcW w:w="10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7 740,00</w:t>
            </w:r>
          </w:p>
        </w:tc>
        <w:tc>
          <w:tcPr>
            <w:tcW w:w="10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7 560,00</w:t>
            </w:r>
          </w:p>
        </w:tc>
        <w:tc>
          <w:tcPr>
            <w:tcW w:w="17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15 120,00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43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start="0" w:end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Сгон Ду-32 стальной</w:t>
            </w:r>
          </w:p>
        </w:tc>
        <w:tc>
          <w:tcPr>
            <w:tcW w:w="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55,44</w:t>
            </w:r>
          </w:p>
        </w:tc>
        <w:tc>
          <w:tcPr>
            <w:tcW w:w="136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60,72</w:t>
            </w:r>
          </w:p>
        </w:tc>
        <w:tc>
          <w:tcPr>
            <w:tcW w:w="141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71,28</w:t>
            </w:r>
          </w:p>
        </w:tc>
        <w:tc>
          <w:tcPr>
            <w:tcW w:w="10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12,91</w:t>
            </w:r>
          </w:p>
        </w:tc>
        <w:tc>
          <w:tcPr>
            <w:tcW w:w="10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62,48</w:t>
            </w:r>
          </w:p>
        </w:tc>
        <w:tc>
          <w:tcPr>
            <w:tcW w:w="10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55,44</w:t>
            </w:r>
          </w:p>
        </w:tc>
        <w:tc>
          <w:tcPr>
            <w:tcW w:w="17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110,88</w:t>
            </w:r>
          </w:p>
        </w:tc>
      </w:tr>
      <w:tr>
        <w:trPr>
          <w:trHeight w:val="489" w:hRule="atLeast"/>
        </w:trPr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3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itle"/>
              <w:spacing w:before="0" w:after="0"/>
              <w:rPr>
                <w:rFonts w:ascii="Times New Roman" w:hAnsi="Times New Roman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</w:r>
          </w:p>
        </w:tc>
        <w:tc>
          <w:tcPr>
            <w:tcW w:w="13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itle"/>
              <w:spacing w:before="0" w:after="0"/>
              <w:rPr>
                <w:rFonts w:ascii="Times New Roman" w:hAnsi="Times New Roman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itle"/>
              <w:spacing w:before="0" w:after="0"/>
              <w:rPr>
                <w:rFonts w:ascii="Times New Roman" w:hAnsi="Times New Roman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</w:r>
          </w:p>
        </w:tc>
        <w:tc>
          <w:tcPr>
            <w:tcW w:w="1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1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ind w:hanging="0" w:start="0" w:end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117 141,92</w:t>
            </w:r>
          </w:p>
        </w:tc>
      </w:tr>
    </w:tbl>
    <w:p>
      <w:pPr>
        <w:pStyle w:val="ListParagraph"/>
        <w:tabs>
          <w:tab w:val="clear" w:pos="708"/>
          <w:tab w:val="left" w:pos="993" w:leader="none"/>
        </w:tabs>
        <w:spacing w:lineRule="auto" w:line="240" w:before="0" w:after="0"/>
        <w:ind w:start="0"/>
        <w:contextualSpacing/>
        <w:rPr/>
      </w:pPr>
      <w:r>
        <w:rPr>
          <w:rFonts w:ascii="Times New Roman" w:hAnsi="Times New Roman"/>
          <w:color w:val="333333"/>
          <w:sz w:val="24"/>
          <w:szCs w:val="24"/>
        </w:rPr>
        <w:t>Формула определения НМЦК методом сопоставимых рыночных цен (анализа рынка) установлена в </w:t>
      </w:r>
      <w:hyperlink r:id="rId8">
        <w:r>
          <w:rPr>
            <w:rStyle w:val="Hyperlink"/>
            <w:rFonts w:ascii="Times New Roman" w:hAnsi="Times New Roman"/>
            <w:color w:val="007C84"/>
            <w:sz w:val="24"/>
            <w:szCs w:val="24"/>
          </w:rPr>
          <w:t>пункте 3.21</w:t>
        </w:r>
      </w:hyperlink>
      <w:r>
        <w:rPr>
          <w:rFonts w:ascii="Times New Roman" w:hAnsi="Times New Roman"/>
          <w:color w:val="333333"/>
          <w:sz w:val="24"/>
          <w:szCs w:val="24"/>
        </w:rPr>
        <w:t> Методических рекомендаций.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rFonts w:ascii="Times New Roman" w:hAnsi="Times New Roman"/>
          <w:sz w:val="24"/>
          <w:szCs w:val="24"/>
        </w:rPr>
      </w:pPr>
      <w:r>
        <w:rPr>
          <w:color w:val="333333"/>
          <w:sz w:val="24"/>
          <w:szCs w:val="24"/>
        </w:rPr>
        <w:tab/>
        <w:t>При этом предложения, полученные от поставщиков, должны содержать цену единицы товара (работы, услуги), которая с учетом количества (объема) закупаемого товара (работы, услуги) используется заказчиком при расчете НМЦК.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/>
      </w:pPr>
      <w:r>
        <w:rPr>
          <w:color w:val="333333"/>
          <w:sz w:val="24"/>
          <w:szCs w:val="24"/>
        </w:rPr>
        <w:tab/>
        <w:t>Вместе с тем Методические </w:t>
      </w:r>
      <w:hyperlink r:id="rId9">
        <w:r>
          <w:rPr>
            <w:rStyle w:val="Hyperlink"/>
            <w:color w:val="007C84"/>
            <w:sz w:val="24"/>
            <w:szCs w:val="24"/>
          </w:rPr>
          <w:t>рекомендации</w:t>
        </w:r>
      </w:hyperlink>
      <w:r>
        <w:rPr>
          <w:color w:val="333333"/>
          <w:sz w:val="24"/>
          <w:szCs w:val="24"/>
        </w:rPr>
        <w:t> не содержат запрет об использовании заказчиком при расчете НМЦК предложений, содержащих минимальную цену товара (работы, услуги).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/>
      </w:pPr>
      <w:r>
        <w:rPr>
          <w:color w:val="333333"/>
          <w:sz w:val="24"/>
          <w:szCs w:val="24"/>
        </w:rPr>
        <w:tab/>
        <w:t>*В соответствии с </w:t>
      </w:r>
      <w:hyperlink r:id="rId10">
        <w:r>
          <w:rPr>
            <w:rStyle w:val="Hyperlink"/>
            <w:color w:val="007C84"/>
            <w:sz w:val="24"/>
            <w:szCs w:val="24"/>
          </w:rPr>
          <w:t>частью 2 статьи 72</w:t>
        </w:r>
      </w:hyperlink>
      <w:r>
        <w:rPr>
          <w:color w:val="333333"/>
          <w:sz w:val="24"/>
          <w:szCs w:val="24"/>
        </w:rPr>
        <w:t> Бюджетного кодекса Российской Федерации государственные (муниципальные) контракты заключаются и оплачиваются в пределах лимитов бюджетных обязательств, за исключением случаев, установленных </w:t>
      </w:r>
      <w:hyperlink r:id="rId11">
        <w:r>
          <w:rPr>
            <w:rStyle w:val="Hyperlink"/>
            <w:color w:val="007C84"/>
            <w:sz w:val="24"/>
            <w:szCs w:val="24"/>
          </w:rPr>
          <w:t>пунктом 3</w:t>
        </w:r>
      </w:hyperlink>
      <w:r>
        <w:rPr>
          <w:color w:val="333333"/>
          <w:sz w:val="24"/>
          <w:szCs w:val="24"/>
        </w:rPr>
        <w:t> указанной статьи.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rFonts w:ascii="Times New Roman" w:hAnsi="Times New Roman"/>
          <w:sz w:val="24"/>
          <w:szCs w:val="24"/>
        </w:rPr>
      </w:pPr>
      <w:r>
        <w:rPr>
          <w:color w:val="333333"/>
          <w:sz w:val="24"/>
          <w:szCs w:val="24"/>
        </w:rPr>
        <w:tab/>
        <w:t>При этом в соответствии с положениями бюджетного законодательства цена заключаемого контракта ограничивается пределами лимитов бюджетных обязательств.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rFonts w:ascii="Times New Roman" w:hAnsi="Times New Roman"/>
          <w:sz w:val="24"/>
          <w:szCs w:val="24"/>
        </w:rPr>
      </w:pPr>
      <w:r>
        <w:rPr>
          <w:color w:val="333333"/>
          <w:sz w:val="24"/>
          <w:szCs w:val="24"/>
        </w:rPr>
        <w:tab/>
        <w:t>Следовательно, Заказчик вправе указать цену меньшую, чем в представленном обосновании НМЦК (в том числе полученной по результатам трех коммерческих предложений), и соответствующую выделенным лимитам бюджетных обязательств.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rFonts w:ascii="Times New Roman" w:hAnsi="Times New Roman"/>
          <w:sz w:val="24"/>
          <w:szCs w:val="24"/>
        </w:rPr>
      </w:pPr>
      <w:r>
        <w:rPr>
          <w:color w:val="333333"/>
          <w:sz w:val="24"/>
          <w:szCs w:val="24"/>
        </w:rPr>
        <w:tab/>
        <w:t>Аналогичная позиция содержится в письме Минфина России от 16.06.2017 № 24-01-10/37713 «О применении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части обоснования начальной (максимальной) цены контракта».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rFonts w:ascii="Times New Roman" w:hAnsi="Times New Roman"/>
          <w:sz w:val="24"/>
          <w:szCs w:val="24"/>
        </w:rPr>
      </w:pPr>
      <w:r>
        <w:rPr>
          <w:color w:val="333333"/>
          <w:sz w:val="24"/>
          <w:szCs w:val="24"/>
        </w:rPr>
        <w:tab/>
      </w:r>
      <w:r>
        <w:rPr>
          <w:sz w:val="24"/>
          <w:szCs w:val="24"/>
        </w:rPr>
        <w:t>Таким образом, в целях экономии бюджетных средств Заказчиком принято решение определить начальную (максимальную) цену контракта исходя их минимального предложения, полученного по результатам анализа рынка.</w:t>
      </w:r>
    </w:p>
    <w:p>
      <w:pPr>
        <w:pStyle w:val="ListParagraph"/>
        <w:tabs>
          <w:tab w:val="clear" w:pos="708"/>
          <w:tab w:val="left" w:pos="993" w:leader="none"/>
        </w:tabs>
        <w:spacing w:lineRule="auto" w:line="240" w:before="0" w:after="0"/>
        <w:ind w:start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Окончательно, НМЦК</w:t>
      </w:r>
      <w:r>
        <w:rPr>
          <w:rFonts w:ascii="Times New Roman" w:hAnsi="Times New Roman"/>
          <w:sz w:val="24"/>
          <w:szCs w:val="24"/>
          <w:vertAlign w:val="subscript"/>
        </w:rPr>
        <w:t xml:space="preserve">мин </w:t>
      </w:r>
      <w:r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color w:val="000000"/>
          <w:sz w:val="24"/>
          <w:szCs w:val="24"/>
        </w:rPr>
        <w:t xml:space="preserve">  117 141,92 руб.</w:t>
      </w:r>
    </w:p>
    <w:p>
      <w:pPr>
        <w:pStyle w:val="Style20"/>
        <w:tabs>
          <w:tab w:val="clear" w:pos="708"/>
          <w:tab w:val="left" w:pos="993" w:leader="none"/>
        </w:tabs>
        <w:spacing w:lineRule="auto" w:line="240" w:before="0" w:after="0"/>
        <w:ind w:hanging="0" w:start="0" w:end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Обоснование НМЦК подготовил:</w:t>
      </w:r>
    </w:p>
    <w:p>
      <w:pPr>
        <w:pStyle w:val="Style20"/>
        <w:tabs>
          <w:tab w:val="clear" w:pos="708"/>
          <w:tab w:val="left" w:pos="993" w:leader="none"/>
        </w:tabs>
        <w:spacing w:lineRule="auto" w:line="240" w:before="0" w:after="0"/>
        <w:ind w:hanging="0" w:start="0" w:end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Ведущий специалист-эксперт </w:t>
      </w:r>
      <w:r>
        <w:rPr>
          <w:rFonts w:cs="Times New Roman" w:ascii="Times New Roman" w:hAnsi="Times New Roman"/>
          <w:sz w:val="24"/>
          <w:szCs w:val="24"/>
        </w:rPr>
        <w:t xml:space="preserve"> О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ЭРЗСиРИ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___________________                      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С.В. Немов</w:t>
      </w:r>
    </w:p>
    <w:sectPr>
      <w:type w:val="nextPage"/>
      <w:pgSz w:orient="landscape" w:w="16838" w:h="11906"/>
      <w:pgMar w:left="1134" w:right="567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Cambria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Hyperlink" w:uiPriority="0"/>
    <w:lsdException w:name="Strong" w:locked="1" w:uiPriority="0" w:semiHidden="0" w:unhideWhenUsed="0" w:qFormat="1"/>
    <w:lsdException w:name="Emphasis" w:locked="1" w:uiPriority="0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e1b8c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930128"/>
    <w:pPr>
      <w:widowControl w:val="false"/>
      <w:suppressAutoHyphens w:val="true"/>
      <w:spacing w:lineRule="auto" w:line="240" w:before="0" w:after="0"/>
      <w:jc w:val="center"/>
      <w:outlineLvl w:val="0"/>
    </w:pPr>
    <w:rPr>
      <w:rFonts w:ascii="Times New Roman" w:hAnsi="Times New Roman"/>
      <w:b/>
      <w:bCs/>
      <w:kern w:val="2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locked/>
    <w:rsid w:val="00930128"/>
    <w:rPr>
      <w:rFonts w:ascii="Times New Roman" w:hAnsi="Times New Roman" w:cs="Times New Roman"/>
      <w:b/>
      <w:bCs/>
      <w:kern w:val="2"/>
      <w:sz w:val="24"/>
      <w:szCs w:val="24"/>
      <w:lang w:eastAsia="ru-RU"/>
    </w:rPr>
  </w:style>
  <w:style w:type="character" w:styleId="Style13" w:customStyle="1">
    <w:name w:val="Абзац списка Знак"/>
    <w:link w:val="ListParagraph"/>
    <w:uiPriority w:val="99"/>
    <w:qFormat/>
    <w:locked/>
    <w:rsid w:val="00930128"/>
    <w:rPr>
      <w:rFonts w:ascii="Calibri" w:hAnsi="Calibri" w:eastAsia="Times New Roman"/>
      <w:sz w:val="20"/>
      <w:lang w:eastAsia="ru-RU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locked/>
    <w:rsid w:val="00930128"/>
    <w:rPr>
      <w:rFonts w:ascii="Tahoma" w:hAnsi="Tahoma" w:cs="Tahoma"/>
      <w:sz w:val="16"/>
      <w:szCs w:val="16"/>
      <w:lang w:eastAsia="ru-RU"/>
    </w:rPr>
  </w:style>
  <w:style w:type="character" w:styleId="Style15" w:customStyle="1">
    <w:name w:val="Название Знак"/>
    <w:basedOn w:val="DefaultParagraphFont"/>
    <w:qFormat/>
    <w:rsid w:val="00cd13bc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Hyperlink">
    <w:name w:val="Hyperlink"/>
    <w:rsid w:val="00216d8a"/>
    <w:rPr>
      <w:color w:val="0000FF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Style13"/>
    <w:uiPriority w:val="99"/>
    <w:qFormat/>
    <w:rsid w:val="00930128"/>
    <w:pPr>
      <w:spacing w:before="0" w:after="200"/>
      <w:ind w:start="720"/>
      <w:contextualSpacing/>
    </w:pPr>
    <w:rPr>
      <w:sz w:val="20"/>
      <w:szCs w:val="20"/>
    </w:rPr>
  </w:style>
  <w:style w:type="paragraph" w:styleId="BalloonText">
    <w:name w:val="Balloon Text"/>
    <w:basedOn w:val="Normal"/>
    <w:link w:val="Style14"/>
    <w:uiPriority w:val="99"/>
    <w:semiHidden/>
    <w:qFormat/>
    <w:rsid w:val="0093012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Style15"/>
    <w:qFormat/>
    <w:locked/>
    <w:rsid w:val="00cd13bc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ormalWeb">
    <w:name w:val="Normal (Web)"/>
    <w:basedOn w:val="Normal"/>
    <w:uiPriority w:val="99"/>
    <w:unhideWhenUsed/>
    <w:qFormat/>
    <w:rsid w:val="00216d8a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Style20">
    <w:name w:val="Абзац списка"/>
    <w:basedOn w:val="Normal"/>
    <w:qFormat/>
    <w:pPr>
      <w:ind w:hanging="0" w:start="720" w:end="0"/>
    </w:pPr>
    <w:rPr>
      <w:rFonts w:eastAsia="Calibri" w:cs="Times New Roman"/>
      <w:sz w:val="20"/>
      <w:szCs w:val="20"/>
      <w:lang w:val="ru-RU"/>
    </w:rPr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4137f8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hyperlink" Target="consultantplus://offline/ref=D0CAF0B8C67906DA34BEBEE94786BBF561CA64FCF0F645C1567BF5349B08BACFF09E5B0432B21FFD28oCN" TargetMode="External"/><Relationship Id="rId5" Type="http://schemas.openxmlformats.org/officeDocument/2006/relationships/image" Target="media/image3.wmf"/><Relationship Id="rId6" Type="http://schemas.openxmlformats.org/officeDocument/2006/relationships/image" Target="media/image4.wmf"/><Relationship Id="rId7" Type="http://schemas.openxmlformats.org/officeDocument/2006/relationships/image" Target="media/image5.wmf"/><Relationship Id="rId8" Type="http://schemas.openxmlformats.org/officeDocument/2006/relationships/hyperlink" Target="consultantplus://offline/ref=802B7C9370D41F1047ABDC7BD8C3E55987AF54E48AA59615827F3847C2E277FAC2C4C066A05D9187q9ZFK" TargetMode="External"/><Relationship Id="rId9" Type="http://schemas.openxmlformats.org/officeDocument/2006/relationships/hyperlink" Target="consultantplus://offline/ref=802B7C9370D41F1047ABDC7BD8C3E55987AF54E48AA59615827F3847C2E277FAC2C4C066A05D9086q9Z1K" TargetMode="External"/><Relationship Id="rId10" Type="http://schemas.openxmlformats.org/officeDocument/2006/relationships/hyperlink" Target="consultantplus://offline/ref=802B7C9370D41F1047ABDC7BD8C3E55984A857E28CAA9615827F3847C2E277FAC2C4C066A05E9485q9Z8K" TargetMode="External"/><Relationship Id="rId11" Type="http://schemas.openxmlformats.org/officeDocument/2006/relationships/hyperlink" Target="consultantplus://offline/ref=802B7C9370D41F1047ABDC7BD8C3E55984A857E28CAA9615827F3847C2E277FAC2C4C066A05E9184q9ZBK" TargetMode="Externa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3611F8-8D5B-4DCA-A688-9D5EA7F69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Application>LibreOffice/25.8.2.2$Windows_X86_64 LibreOffice_project/d401f2107ccab8f924a8e2df40f573aab7605b6f</Application>
  <AppVersion>15.0000</AppVersion>
  <Pages>3</Pages>
  <Words>931</Words>
  <Characters>5618</Characters>
  <CharactersWithSpaces>6411</CharactersWithSpaces>
  <Paragraphs>257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2025-10-27T04:56:00Z</dcterms:created>
  <dc:creator>УМТО ГУ МЧС</dc:creator>
  <dc:description/>
  <dc:language>ru-RU</dc:language>
  <cp:lastModifiedBy/>
  <cp:lastPrinted>2026-08-07T07:23:00Z</cp:lastPrinted>
  <dcterms:modified xsi:type="dcterms:W3CDTF">2026-08-27T16:17:00Z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