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567" w:leader="none"/>
          <w:tab w:val="left" w:pos="851" w:leader="none"/>
          <w:tab w:val="center" w:pos="2880" w:leader="none"/>
        </w:tabs>
        <w:suppressAutoHyphens w:val="true"/>
        <w:spacing w:before="0" w:after="0" w:line="240"/>
        <w:ind w:right="0" w:left="0" w:firstLine="567"/>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Государственный контракт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__________</w:t>
      </w:r>
    </w:p>
    <w:p>
      <w:pPr>
        <w:tabs>
          <w:tab w:val="left" w:pos="567" w:leader="none"/>
          <w:tab w:val="left" w:pos="851" w:leader="none"/>
          <w:tab w:val="center" w:pos="2880" w:leader="none"/>
        </w:tabs>
        <w:suppressAutoHyphens w:val="true"/>
        <w:spacing w:before="0" w:after="0" w:line="240"/>
        <w:ind w:right="0" w:left="0" w:firstLine="567"/>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333333"/>
          <w:spacing w:val="0"/>
          <w:position w:val="0"/>
          <w:sz w:val="24"/>
          <w:shd w:fill="FFFFFF"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Идентификационный код закупки _______________________)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tbl>
      <w:tblPr/>
      <w:tblGrid>
        <w:gridCol w:w="5151"/>
        <w:gridCol w:w="5167"/>
      </w:tblGrid>
      <w:tr>
        <w:trPr>
          <w:trHeight w:val="1" w:hRule="atLeast"/>
          <w:jc w:val="left"/>
        </w:trPr>
        <w:tc>
          <w:tcPr>
            <w:tcW w:w="515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567" w:leader="none"/>
                <w:tab w:val="left" w:pos="851" w:leader="none"/>
              </w:tabs>
              <w:suppressAutoHyphens w:val="true"/>
              <w:spacing w:before="0" w:after="0" w:line="240"/>
              <w:ind w:right="0" w:left="-108" w:firstLine="108"/>
              <w:jc w:val="both"/>
              <w:rPr>
                <w:color w:val="auto"/>
                <w:position w:val="0"/>
                <w:shd w:fill="auto" w:val="clear"/>
              </w:rPr>
            </w:pPr>
            <w:r>
              <w:rPr>
                <w:rFonts w:ascii="Times New Roman" w:hAnsi="Times New Roman" w:cs="Times New Roman" w:eastAsia="Times New Roman"/>
                <w:color w:val="auto"/>
                <w:spacing w:val="-4"/>
                <w:position w:val="0"/>
                <w:sz w:val="24"/>
                <w:shd w:fill="auto" w:val="clear"/>
              </w:rPr>
              <w:t xml:space="preserve">г. Омск</w:t>
            </w:r>
          </w:p>
        </w:tc>
        <w:tc>
          <w:tcPr>
            <w:tcW w:w="516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tabs>
                <w:tab w:val="left" w:pos="567" w:leader="none"/>
                <w:tab w:val="left" w:pos="851" w:leader="none"/>
              </w:tabs>
              <w:suppressAutoHyphens w:val="true"/>
              <w:spacing w:before="0" w:after="0" w:line="240"/>
              <w:ind w:right="-138" w:left="0" w:firstLine="0"/>
              <w:jc w:val="right"/>
              <w:rPr>
                <w:color w:val="auto"/>
                <w:position w:val="0"/>
                <w:shd w:fill="auto" w:val="clear"/>
              </w:rPr>
            </w:pPr>
            <w:r>
              <w:rPr>
                <w:rFonts w:ascii="Times New Roman" w:hAnsi="Times New Roman" w:cs="Times New Roman" w:eastAsia="Times New Roman"/>
                <w:color w:val="auto"/>
                <w:spacing w:val="-4"/>
                <w:position w:val="0"/>
                <w:sz w:val="24"/>
                <w:shd w:fill="auto" w:val="clear"/>
              </w:rPr>
              <w:t xml:space="preserve"> «___» ____ 2026 </w:t>
            </w:r>
            <w:r>
              <w:rPr>
                <w:rFonts w:ascii="Times New Roman" w:hAnsi="Times New Roman" w:cs="Times New Roman" w:eastAsia="Times New Roman"/>
                <w:color w:val="auto"/>
                <w:spacing w:val="-4"/>
                <w:position w:val="0"/>
                <w:sz w:val="24"/>
                <w:shd w:fill="auto" w:val="clear"/>
              </w:rPr>
              <w:t xml:space="preserve">года</w:t>
            </w:r>
          </w:p>
        </w:tc>
      </w:tr>
      <w:tr>
        <w:trPr>
          <w:trHeight w:val="1" w:hRule="atLeast"/>
          <w:jc w:val="left"/>
        </w:trPr>
        <w:tc>
          <w:tcPr>
            <w:tcW w:w="515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567" w:leader="none"/>
                <w:tab w:val="left" w:pos="851" w:leader="none"/>
              </w:tabs>
              <w:suppressAutoHyphens w:val="true"/>
              <w:spacing w:before="0" w:after="0" w:line="240"/>
              <w:ind w:right="0" w:left="0" w:firstLine="0"/>
              <w:jc w:val="both"/>
              <w:rPr>
                <w:rFonts w:ascii="Calibri" w:hAnsi="Calibri" w:cs="Calibri" w:eastAsia="Calibri"/>
                <w:color w:val="auto"/>
                <w:spacing w:val="0"/>
                <w:position w:val="0"/>
                <w:sz w:val="22"/>
                <w:shd w:fill="auto" w:val="clear"/>
              </w:rPr>
            </w:pPr>
          </w:p>
        </w:tc>
        <w:tc>
          <w:tcPr>
            <w:tcW w:w="516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tabs>
                <w:tab w:val="left" w:pos="567" w:leader="none"/>
                <w:tab w:val="left" w:pos="851" w:leader="none"/>
              </w:tabs>
              <w:suppressAutoHyphens w:val="true"/>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Федеральное государственное бюджетное профессиональное образовательное учреждение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Омское специальное учебно-воспитательное учреждение закрытого типа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далее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Омское СУВУ), </w:t>
      </w:r>
      <w:r>
        <w:rPr>
          <w:rFonts w:ascii="Times New Roman" w:hAnsi="Times New Roman" w:cs="Times New Roman" w:eastAsia="Times New Roman"/>
          <w:color w:val="auto"/>
          <w:spacing w:val="0"/>
          <w:position w:val="0"/>
          <w:sz w:val="24"/>
          <w:shd w:fill="auto" w:val="clear"/>
        </w:rPr>
        <w:t xml:space="preserve">именуемое в дальнейшем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Заказчик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лице директора Руденко Сергея Анатольевича, действующего на основании Устава, с одной стороны, и </w:t>
      </w:r>
      <w:r>
        <w:rPr>
          <w:rFonts w:ascii="Times New Roman" w:hAnsi="Times New Roman" w:cs="Times New Roman" w:eastAsia="Times New Roman"/>
          <w:b/>
          <w:color w:val="auto"/>
          <w:spacing w:val="0"/>
          <w:position w:val="0"/>
          <w:sz w:val="24"/>
          <w:shd w:fill="auto" w:val="clear"/>
        </w:rPr>
        <w:t xml:space="preserve">____</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(сокращенно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ООО ____),</w:t>
      </w:r>
      <w:r>
        <w:rPr>
          <w:rFonts w:ascii="Times New Roman" w:hAnsi="Times New Roman" w:cs="Times New Roman" w:eastAsia="Times New Roman"/>
          <w:color w:val="auto"/>
          <w:spacing w:val="0"/>
          <w:position w:val="0"/>
          <w:sz w:val="24"/>
          <w:shd w:fill="auto" w:val="clear"/>
        </w:rPr>
        <w:t xml:space="preserve"> именуемый в дальнейшем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Поставщик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лице ___, действующего на основании ____, с другой стороны, вместе именуемые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Стороны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основании пункта 5 части 1 статьи 93 Федерального закона от 05.04.2013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44-</w:t>
      </w:r>
      <w:r>
        <w:rPr>
          <w:rFonts w:ascii="Times New Roman" w:hAnsi="Times New Roman" w:cs="Times New Roman" w:eastAsia="Times New Roman"/>
          <w:color w:val="auto"/>
          <w:spacing w:val="0"/>
          <w:position w:val="0"/>
          <w:sz w:val="24"/>
          <w:shd w:fill="auto" w:val="clear"/>
        </w:rPr>
        <w:t xml:space="preserve">ФЗ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заключили настоящий государственный контракт (далее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контракт) о нижеследующем:</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p>
    <w:p>
      <w:pPr>
        <w:numPr>
          <w:ilvl w:val="0"/>
          <w:numId w:val="13"/>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Предмет контракта</w:t>
      </w:r>
    </w:p>
    <w:p>
      <w:pPr>
        <w:numPr>
          <w:ilvl w:val="0"/>
          <w:numId w:val="13"/>
        </w:numPr>
        <w:tabs>
          <w:tab w:val="left" w:pos="16776856" w:leader="none"/>
          <w:tab w:val="left" w:pos="360"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обязуется поставить Заказчику </w:t>
      </w:r>
      <w:r>
        <w:rPr>
          <w:rFonts w:ascii="Times New Roman" w:hAnsi="Times New Roman" w:cs="Times New Roman" w:eastAsia="Times New Roman"/>
          <w:b/>
          <w:i/>
          <w:color w:val="auto"/>
          <w:spacing w:val="0"/>
          <w:position w:val="0"/>
          <w:sz w:val="24"/>
          <w:shd w:fill="auto" w:val="clear"/>
        </w:rPr>
        <w:t xml:space="preserve">автоматизированное рабочее место для нужд Омского СУВУ </w:t>
      </w:r>
      <w:r>
        <w:rPr>
          <w:rFonts w:ascii="Times New Roman" w:hAnsi="Times New Roman" w:cs="Times New Roman" w:eastAsia="Times New Roman"/>
          <w:color w:val="auto"/>
          <w:spacing w:val="0"/>
          <w:position w:val="0"/>
          <w:sz w:val="24"/>
          <w:shd w:fill="auto" w:val="clear"/>
        </w:rPr>
        <w:t xml:space="preserve">(далее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товар) в соответствии со Спецификацией на поставку товара (Приложение к настоящему контракту), являющейся неотъемлемой частью контракта, а Заказчик обязуется оплатить поставленный товар в соответствии с условиями настоящего контракта.</w:t>
      </w:r>
    </w:p>
    <w:p>
      <w:pPr>
        <w:numPr>
          <w:ilvl w:val="0"/>
          <w:numId w:val="1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pPr>
        <w:numPr>
          <w:ilvl w:val="0"/>
          <w:numId w:val="1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Право собственности на товар и риск случайной гибели товара переходят к Заказчику </w:t>
        <w:br/>
        <w:t xml:space="preserve">с момента подписания товарной накладной.</w:t>
      </w:r>
    </w:p>
    <w:p>
      <w:pPr>
        <w:numPr>
          <w:ilvl w:val="0"/>
          <w:numId w:val="1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обязуется передать Заказчику товар свободным от прав третьих лиц, а также не являющийся предметом залога, ареста или иного обременения.</w:t>
      </w:r>
    </w:p>
    <w:p>
      <w:pPr>
        <w:numPr>
          <w:ilvl w:val="0"/>
          <w:numId w:val="1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Место доставки товара: 644047, г. Омск, ул. 7-я Ремесленная, 77Б </w:t>
      </w:r>
    </w:p>
    <w:p>
      <w:pPr>
        <w:numPr>
          <w:ilvl w:val="0"/>
          <w:numId w:val="1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Срок поставки товара: поставка товара осуществляется в течение 1 (одного) рабочего дня со дня заключения государственного контракта, единовременно.</w:t>
      </w:r>
    </w:p>
    <w:p>
      <w:pPr>
        <w:spacing w:before="0" w:after="0" w:line="240"/>
        <w:ind w:right="0" w:left="567" w:firstLine="0"/>
        <w:jc w:val="both"/>
        <w:rPr>
          <w:rFonts w:ascii="Times New Roman" w:hAnsi="Times New Roman" w:cs="Times New Roman" w:eastAsia="Times New Roman"/>
          <w:b/>
          <w:color w:val="auto"/>
          <w:spacing w:val="0"/>
          <w:position w:val="0"/>
          <w:sz w:val="24"/>
          <w:shd w:fill="auto" w:val="clear"/>
        </w:rPr>
      </w:pPr>
    </w:p>
    <w:p>
      <w:pPr>
        <w:numPr>
          <w:ilvl w:val="0"/>
          <w:numId w:val="17"/>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Цена контракта и порядок расчетов</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Цена настоящего контракта составляет </w:t>
      </w:r>
      <w:r>
        <w:rPr>
          <w:rFonts w:ascii="Times New Roman" w:hAnsi="Times New Roman" w:cs="Times New Roman" w:eastAsia="Times New Roman"/>
          <w:b/>
          <w:i/>
          <w:color w:val="auto"/>
          <w:spacing w:val="0"/>
          <w:position w:val="0"/>
          <w:sz w:val="24"/>
          <w:shd w:fill="auto" w:val="clear"/>
        </w:rPr>
        <w:t xml:space="preserve">___(___)</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рублей 00 копеек, в т.ч. НДС ____. Цена настоящего контракта включает в себя все расходы Поставщика, связанные с поставкой товара, в том числе расходы на перевозку, доставку, сборку, погрузочно-разгрузочные работы, на страхование, уплату налогов, сборов и других обязательных платежей.</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Источник финансирования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i/>
          <w:color w:val="auto"/>
          <w:spacing w:val="0"/>
          <w:position w:val="0"/>
          <w:sz w:val="24"/>
          <w:shd w:fill="auto" w:val="clear"/>
        </w:rPr>
        <w:t xml:space="preserve">средства бюджетных учреждений.</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7 рабочих дней с даты подписания Заказчиком документа о приемке (универсального передаточного документа, УПД), на основании выставленного Поставщиком счета-фактуры (счета)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количеству товара исходя из установленной в настоящем контракте цены единицы товара, но не более чем на 10% цены настоящего контракта. При уменьшении предусмотренных настоящим контрактом количества товара Стороны настоящего контракта обязаны уменьшить цену настоящего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отражаться в товарной накладной Заказчиком при приемке поставленного товара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Сумма, подлежащая уплате Заказчиком Поставщику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numPr>
          <w:ilvl w:val="0"/>
          <w:numId w:val="17"/>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Качество и гарантийный срок на товар</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гарантирует наличие документов на товар, подтверждающих его качество и безопасность, оформленных в соответствии с законодательством.</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Гарантийный срок, предоставляемый Поставщиком, составляет 12 месяцев с даты подписания Заказчиком товарной накладной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 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период гарантийного срока Поставщик обязуется в срок не позднее 3 рабочих дней с даты получения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 </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pPr>
        <w:numPr>
          <w:ilvl w:val="0"/>
          <w:numId w:val="17"/>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Маркировка, упаковка и комплектность товара</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обязан передать Заказчику товар, соответствующий условиям настоящего контракта о комплектности.</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Обязательство Поставщика передать Заказчику определенный товар в комплекте считается исполненным с момента передачи всех товаров, включенных в комплект.</w:t>
      </w:r>
    </w:p>
    <w:p>
      <w:pPr>
        <w:numPr>
          <w:ilvl w:val="0"/>
          <w:numId w:val="1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обязан одновременно передать Заказчику все товары, входящие в комплект.</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numPr>
          <w:ilvl w:val="0"/>
          <w:numId w:val="24"/>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Права и обязанности Сторон</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вправе:</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Требовать от Поставщика:</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надлежащего исполнения обязательств в соответствии с условиями настоящего контракта;</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представления надлежащим образом оформленных документов, предусмотренных настоящим контрактом.</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обязан:</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Сообщать Поставщику обо всех выявленных недостатках переданного товара.</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Оплатить товар на условиях, установленных настоящим контрактом.</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вправе: </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Требовать оплаты поставленного товара на условиях, установленных настоящим контрактом.</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обязан:</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Поставить товар в соответствии с условиями настоящего контракта.</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Предоставлять своевременно:</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сведения и/или документы, в соответствии с письменными запросами уполномоченных представителей Заказчика;</w:t>
      </w:r>
    </w:p>
    <w:p>
      <w:pPr>
        <w:numPr>
          <w:ilvl w:val="0"/>
          <w:numId w:val="24"/>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информация).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собственной инициативе Поставщика.</w:t>
      </w:r>
    </w:p>
    <w:p>
      <w:pPr>
        <w:numPr>
          <w:ilvl w:val="0"/>
          <w:numId w:val="2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Нести расходы, связанные с заменой товара, устранением недостатков товара, поставкой недопоставленного товара.</w:t>
      </w:r>
    </w:p>
    <w:p>
      <w:pPr>
        <w:numPr>
          <w:ilvl w:val="0"/>
          <w:numId w:val="2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невозможности исполнения обязательств по настоящему контракту незамедлительно информировать об этом Заказчика.</w:t>
      </w:r>
    </w:p>
    <w:p>
      <w:pPr>
        <w:numPr>
          <w:ilvl w:val="0"/>
          <w:numId w:val="2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передаче товара передать Заказчику товарную накладную, счет-фактуру (счет) или иные документы, которые содержат все обязательные реквизиты, предусмотренные законодательством и для счетов-фактур (счетов), и для первичных учетных документов, документы, подтверждающие качество товара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pPr>
        <w:numPr>
          <w:ilvl w:val="0"/>
          <w:numId w:val="27"/>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Порядок приемки поставленных товаров</w:t>
      </w:r>
    </w:p>
    <w:p>
      <w:pPr>
        <w:numPr>
          <w:ilvl w:val="0"/>
          <w:numId w:val="27"/>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w:t>
      </w:r>
    </w:p>
    <w:p>
      <w:pPr>
        <w:numPr>
          <w:ilvl w:val="0"/>
          <w:numId w:val="31"/>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numPr>
          <w:ilvl w:val="0"/>
          <w:numId w:val="31"/>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Приемка поставленного товара, а также оформление результатов такой приемки осуществляется в следующем порядке и в сроки:</w:t>
      </w:r>
    </w:p>
    <w:p>
      <w:pPr>
        <w:numPr>
          <w:ilvl w:val="0"/>
          <w:numId w:val="31"/>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осуществляет приемку поставленного товара в течение 5 рабочих дней со дня поставки товара и предоставления документов, предусмотренных пунктом 5.4.6 настоящего контракта.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 приемки поставленного товара в этот же срок отражается в товарной накладной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 или иных документов, которые содержат все обязательные реквизиты, предусмотренные законодательством и для счетов-фактур (счетов), и для первичных учетных документов, настоящем контракте.</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наличии замечаний по качеству и (или) количеству поставленного товара Заказчик делает отметку в товарной накладной или иных документах, которые содержат все обязательные реквизиты, предусмотренные законодательством и для счетов-фактур (счетов), и для первичных учетных документов. Поставщик обязан устранить замечания по качеству и (или) количеству в течение 5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Поставщика.</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отсутствии замечаний к поставленному товару Заказчик в срок, установленный пунктом 6.3.1 настоящего контракта, подписывает товарную накладную (в случае создания приемочной комиссии товарная накладная подписывается всеми членами приемочной комиссии и утверждается Заказчиком) или иные документы, которые содержат все обязательные реквизиты, предусмотренные законодательством и для счетов-фактур (счетов), и для первичных учетных документов. </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вправе:</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установленный пунктом 6.3.1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pPr>
        <w:numPr>
          <w:ilvl w:val="0"/>
          <w:numId w:val="33"/>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35"/>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Ответственность Сторон</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Размер штрафа устанавливается контрактом в порядке, установленном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Правилами</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1042  (</w:t>
      </w:r>
      <w:r>
        <w:rPr>
          <w:rFonts w:ascii="Times New Roman" w:hAnsi="Times New Roman" w:cs="Times New Roman" w:eastAsia="Times New Roman"/>
          <w:color w:val="auto"/>
          <w:spacing w:val="0"/>
          <w:position w:val="0"/>
          <w:sz w:val="24"/>
          <w:shd w:fill="auto" w:val="clear"/>
        </w:rPr>
        <w:t xml:space="preserve">далее - Правила определения размера штрафа).</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1000,00 рублей.</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настоящего контракта</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 </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размер штрафа устанавливается в сумме 1000,00 руб.</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иное не предусмотрено законом или контрактом,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pPr>
        <w:numPr>
          <w:ilvl w:val="0"/>
          <w:numId w:val="35"/>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Сторона, для которой в связи с названными обстоятельствами создалась невозможность выполнения принятых обязательств по контракту,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pPr>
        <w:spacing w:before="0" w:after="0" w:line="240"/>
        <w:ind w:right="0" w:left="567" w:firstLine="0"/>
        <w:jc w:val="both"/>
        <w:rPr>
          <w:rFonts w:ascii="Times New Roman" w:hAnsi="Times New Roman" w:cs="Times New Roman" w:eastAsia="Times New Roman"/>
          <w:color w:val="auto"/>
          <w:spacing w:val="0"/>
          <w:position w:val="0"/>
          <w:sz w:val="24"/>
          <w:shd w:fill="auto" w:val="clear"/>
        </w:rPr>
      </w:pPr>
    </w:p>
    <w:p>
      <w:pPr>
        <w:numPr>
          <w:ilvl w:val="0"/>
          <w:numId w:val="38"/>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Заключительные положения</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Настоящий контракт вступает в силу со дня его подписания Сторонами и действует по </w:t>
        <w:br/>
        <w:t xml:space="preserve">20 декабря 2026 года, но в любом случае до полного исполнения Сторонами принятых на себя обязательств. </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перемены Заказчика права и обязанности Заказчика, предусмотренные настоящим контрактом, переходят к новому Заказчику.</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изменения сведений о почтовом адресе, месте нахождения и банковских реквизитов (далее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всем иным вопросам, не урегулированным в настоящем контракте, Стороны будут руководствоваться нормами законодательства Российской Федерации.</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 споры, возникающие в связи с исполнением настоящего контракта, разрешаются Сторонами путем переговоров, а при недостижении согласия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pPr>
        <w:numPr>
          <w:ilvl w:val="0"/>
          <w:numId w:val="38"/>
        </w:num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являющееся неотъемлемой частью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Спецификация на поставку товара.</w:t>
      </w:r>
    </w:p>
    <w:p>
      <w:pPr>
        <w:spacing w:before="0" w:after="0" w:line="240"/>
        <w:ind w:right="0" w:left="567" w:firstLine="0"/>
        <w:jc w:val="both"/>
        <w:rPr>
          <w:rFonts w:ascii="Times New Roman" w:hAnsi="Times New Roman" w:cs="Times New Roman" w:eastAsia="Times New Roman"/>
          <w:color w:val="auto"/>
          <w:spacing w:val="0"/>
          <w:position w:val="0"/>
          <w:sz w:val="24"/>
          <w:shd w:fill="auto" w:val="clear"/>
        </w:rPr>
      </w:pPr>
    </w:p>
    <w:p>
      <w:pPr>
        <w:numPr>
          <w:ilvl w:val="0"/>
          <w:numId w:val="41"/>
        </w:num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Адреса, реквизиты и подписи Сторон</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tbl>
      <w:tblPr>
        <w:tblInd w:w="57" w:type="dxa"/>
      </w:tblPr>
      <w:tblGrid>
        <w:gridCol w:w="5102"/>
        <w:gridCol w:w="5247"/>
      </w:tblGrid>
      <w:tr>
        <w:trPr>
          <w:trHeight w:val="5652" w:hRule="auto"/>
          <w:jc w:val="left"/>
        </w:trPr>
        <w:tc>
          <w:tcPr>
            <w:tcW w:w="5102"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Заказчик</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Федеральное государственное бюджетное профессиональное образовательное учреждение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Омское специальное учебно-воспитательное учреждение закрытого типа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Омское СУВУ)</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Адрес местонахождения: 644047, г. Омск, </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ул. 7-я Ремесленная д. 77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Эл. почта: specpu_buh@mail.ru</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ОГРН 1025500739626</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ИНН 5503009577</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КПП 550301001</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БИК 015209001</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Отделение Омск Банка России//УФК </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Омской области г. Омск</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л/сч 20526X43810</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Р/сч: 03214643000000015200</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Телефон: 8 (3812) 78-48-92, 78-49-96</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tabs>
                <w:tab w:val="left" w:pos="992" w:leader="none"/>
              </w:tabs>
              <w:spacing w:before="0" w:after="0" w:line="240"/>
              <w:ind w:right="0" w:left="0" w:firstLine="0"/>
              <w:jc w:val="left"/>
              <w:rPr>
                <w:color w:val="auto"/>
                <w:spacing w:val="0"/>
                <w:position w:val="0"/>
                <w:shd w:fill="auto" w:val="clear"/>
              </w:rPr>
            </w:pPr>
          </w:p>
        </w:tc>
        <w:tc>
          <w:tcPr>
            <w:tcW w:w="5247"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keepNext w:val="true"/>
              <w:keepLines w:val="true"/>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Поставщик</w:t>
            </w:r>
          </w:p>
          <w:p>
            <w:pPr>
              <w:keepNext w:val="true"/>
              <w:keepLines w:val="true"/>
              <w:tabs>
                <w:tab w:val="left" w:pos="992" w:leader="none"/>
              </w:tabs>
              <w:spacing w:before="0" w:after="0" w:line="240"/>
              <w:ind w:right="0" w:left="0" w:firstLine="0"/>
              <w:jc w:val="left"/>
              <w:rPr>
                <w:color w:val="auto"/>
                <w:spacing w:val="0"/>
                <w:position w:val="0"/>
                <w:shd w:fill="auto" w:val="clear"/>
              </w:rPr>
            </w:pPr>
          </w:p>
        </w:tc>
      </w:tr>
      <w:tr>
        <w:trPr>
          <w:trHeight w:val="70" w:hRule="auto"/>
          <w:jc w:val="left"/>
        </w:trPr>
        <w:tc>
          <w:tcPr>
            <w:tcW w:w="5102"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Директор</w:t>
            </w:r>
          </w:p>
          <w:p>
            <w:pPr>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992" w:leader="none"/>
              </w:tabs>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__________________ </w:t>
            </w:r>
            <w:r>
              <w:rPr>
                <w:rFonts w:ascii="Times New Roman" w:hAnsi="Times New Roman" w:cs="Times New Roman" w:eastAsia="Times New Roman"/>
                <w:b/>
                <w:color w:val="auto"/>
                <w:spacing w:val="0"/>
                <w:position w:val="0"/>
                <w:sz w:val="24"/>
                <w:shd w:fill="auto" w:val="clear"/>
              </w:rPr>
              <w:t xml:space="preserve">С.А. Руденко   </w:t>
            </w:r>
          </w:p>
        </w:tc>
        <w:tc>
          <w:tcPr>
            <w:tcW w:w="5247"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tabs>
                <w:tab w:val="left" w:pos="992" w:leader="none"/>
              </w:tabs>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w:t>
            </w:r>
          </w:p>
        </w:tc>
      </w:tr>
    </w:tbl>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tabs>
          <w:tab w:val="left" w:pos="1254" w:leader="none"/>
          <w:tab w:val="left" w:pos="1368" w:leader="none"/>
        </w:tabs>
        <w:spacing w:before="0" w:after="0" w:line="240"/>
        <w:ind w:right="0" w:left="0" w:firstLine="4842"/>
        <w:jc w:val="right"/>
        <w:rPr>
          <w:rFonts w:ascii="Times New Roman" w:hAnsi="Times New Roman" w:cs="Times New Roman" w:eastAsia="Times New Roman"/>
          <w:color w:val="auto"/>
          <w:spacing w:val="0"/>
          <w:position w:val="0"/>
          <w:sz w:val="24"/>
          <w:shd w:fill="auto" w:val="clear"/>
        </w:rPr>
      </w:pPr>
    </w:p>
    <w:p>
      <w:pPr>
        <w:tabs>
          <w:tab w:val="left" w:pos="1254" w:leader="none"/>
          <w:tab w:val="left" w:pos="1368" w:leader="none"/>
        </w:tabs>
        <w:spacing w:before="0" w:after="0" w:line="240"/>
        <w:ind w:right="0" w:left="0" w:firstLine="4842"/>
        <w:jc w:val="right"/>
        <w:rPr>
          <w:rFonts w:ascii="Times New Roman" w:hAnsi="Times New Roman" w:cs="Times New Roman" w:eastAsia="Times New Roman"/>
          <w:color w:val="auto"/>
          <w:spacing w:val="0"/>
          <w:position w:val="0"/>
          <w:sz w:val="24"/>
          <w:shd w:fill="auto" w:val="clear"/>
        </w:rPr>
      </w:pPr>
    </w:p>
    <w:p>
      <w:pPr>
        <w:tabs>
          <w:tab w:val="left" w:pos="1254" w:leader="none"/>
          <w:tab w:val="left" w:pos="1368" w:leader="none"/>
        </w:tabs>
        <w:spacing w:before="0" w:after="0" w:line="240"/>
        <w:ind w:right="0" w:left="0" w:firstLine="4842"/>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к контракту</w:t>
      </w:r>
    </w:p>
    <w:p>
      <w:pPr>
        <w:tabs>
          <w:tab w:val="left" w:pos="1254" w:leader="none"/>
          <w:tab w:val="left" w:pos="1368" w:leader="none"/>
        </w:tabs>
        <w:spacing w:before="0" w:after="0" w:line="240"/>
        <w:ind w:right="0" w:left="0" w:firstLine="4842"/>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поставку товара </w:t>
      </w:r>
    </w:p>
    <w:p>
      <w:pPr>
        <w:tabs>
          <w:tab w:val="left" w:pos="1254" w:leader="none"/>
          <w:tab w:val="left" w:pos="1368" w:leader="none"/>
        </w:tabs>
        <w:spacing w:before="0" w:after="0" w:line="240"/>
        <w:ind w:right="0" w:left="0" w:firstLine="4842"/>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w:t>
      </w:r>
      <w:r>
        <w:rPr>
          <w:rFonts w:ascii="Times New Roman" w:hAnsi="Times New Roman" w:cs="Times New Roman" w:eastAsia="Times New Roman"/>
          <w:color w:val="auto"/>
          <w:spacing w:val="0"/>
          <w:position w:val="0"/>
          <w:sz w:val="24"/>
          <w:shd w:fill="auto" w:val="clear"/>
        </w:rPr>
        <w:t xml:space="preserve">«____» _____ 2026 </w:t>
      </w:r>
      <w:r>
        <w:rPr>
          <w:rFonts w:ascii="Times New Roman" w:hAnsi="Times New Roman" w:cs="Times New Roman" w:eastAsia="Times New Roman"/>
          <w:color w:val="auto"/>
          <w:spacing w:val="0"/>
          <w:position w:val="0"/>
          <w:sz w:val="24"/>
          <w:shd w:fill="auto" w:val="clear"/>
        </w:rPr>
        <w:t xml:space="preserve">года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Спецификация на поставку товара</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tbl>
      <w:tblPr/>
      <w:tblGrid>
        <w:gridCol w:w="564"/>
        <w:gridCol w:w="2409"/>
        <w:gridCol w:w="7230"/>
        <w:gridCol w:w="708"/>
        <w:gridCol w:w="1560"/>
        <w:gridCol w:w="1559"/>
        <w:gridCol w:w="1495"/>
      </w:tblGrid>
      <w:tr>
        <w:trPr>
          <w:trHeight w:val="550" w:hRule="auto"/>
          <w:jc w:val="center"/>
        </w:trPr>
        <w:tc>
          <w:tcPr>
            <w:tcW w:w="564" w:type="dxa"/>
            <w:tcBorders>
              <w:top w:val="single" w:color="00000a" w:sz="4"/>
              <w:left w:val="single" w:color="00000a" w:sz="4"/>
              <w:bottom w:val="single" w:color="00000a" w:sz="4"/>
              <w:right w:val="single" w:color="000000" w:sz="0"/>
            </w:tcBorders>
            <w:shd w:color="000000" w:fill="ffffff" w:val="clear"/>
            <w:tcMar>
              <w:left w:w="10" w:type="dxa"/>
              <w:right w:w="10" w:type="dxa"/>
            </w:tcMar>
            <w:vAlign w:val="center"/>
          </w:tcPr>
          <w:p>
            <w:pPr>
              <w:suppressLineNumbers w:val="true"/>
              <w:suppressAutoHyphens w:val="true"/>
              <w:spacing w:before="0" w:after="0" w:line="240"/>
              <w:ind w:right="0" w:left="0" w:firstLine="0"/>
              <w:jc w:val="center"/>
              <w:rPr>
                <w:color w:val="auto"/>
                <w:spacing w:val="0"/>
                <w:position w:val="0"/>
                <w:shd w:fill="auto" w:val="clear"/>
              </w:rPr>
            </w:pP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п/п</w:t>
            </w:r>
          </w:p>
        </w:tc>
        <w:tc>
          <w:tcPr>
            <w:tcW w:w="2409"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Наименование товара</w:t>
            </w:r>
          </w:p>
        </w:tc>
        <w:tc>
          <w:tcPr>
            <w:tcW w:w="7230"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Характеристики</w:t>
            </w:r>
          </w:p>
        </w:tc>
        <w:tc>
          <w:tcPr>
            <w:tcW w:w="708"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Ед. изм.</w:t>
            </w:r>
          </w:p>
        </w:tc>
        <w:tc>
          <w:tcPr>
            <w:tcW w:w="1560"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Количество</w:t>
            </w:r>
          </w:p>
        </w:tc>
        <w:tc>
          <w:tcPr>
            <w:tcW w:w="1559"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Цена, в т.ч. НДС </w:t>
            </w:r>
          </w:p>
        </w:tc>
        <w:tc>
          <w:tcPr>
            <w:tcW w:w="1495"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Сумма, в т.ч. НДС </w:t>
            </w:r>
          </w:p>
        </w:tc>
      </w:tr>
      <w:tr>
        <w:trPr>
          <w:trHeight w:val="550" w:hRule="auto"/>
          <w:jc w:val="center"/>
        </w:trPr>
        <w:tc>
          <w:tcPr>
            <w:tcW w:w="564" w:type="dxa"/>
            <w:tcBorders>
              <w:top w:val="single" w:color="00000a" w:sz="4"/>
              <w:left w:val="single" w:color="00000a" w:sz="4"/>
              <w:bottom w:val="single" w:color="00000a" w:sz="4"/>
              <w:right w:val="single" w:color="000000" w:sz="0"/>
            </w:tcBorders>
            <w:shd w:color="000000" w:fill="ffffff" w:val="clear"/>
            <w:tcMar>
              <w:left w:w="10" w:type="dxa"/>
              <w:right w:w="10" w:type="dxa"/>
            </w:tcMar>
            <w:vAlign w:val="center"/>
          </w:tcPr>
          <w:p>
            <w:pPr>
              <w:suppressLineNumbers w:val="true"/>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2409"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LineNumbers w:val="true"/>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Автоматизированное рабочее место</w:t>
            </w:r>
          </w:p>
        </w:tc>
        <w:tc>
          <w:tcPr>
            <w:tcW w:w="7230"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pacing w:before="0" w:after="60" w:line="240"/>
              <w:ind w:right="0" w:left="0" w:firstLine="0"/>
              <w:jc w:val="both"/>
              <w:rPr>
                <w:rFonts w:ascii="Calibri" w:hAnsi="Calibri" w:cs="Calibri" w:eastAsia="Calibri"/>
                <w:color w:val="auto"/>
                <w:spacing w:val="0"/>
                <w:position w:val="0"/>
                <w:sz w:val="22"/>
                <w:shd w:fill="auto" w:val="clear"/>
              </w:rPr>
            </w:pPr>
          </w:p>
        </w:tc>
        <w:tc>
          <w:tcPr>
            <w:tcW w:w="708"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шт</w:t>
            </w:r>
          </w:p>
        </w:tc>
        <w:tc>
          <w:tcPr>
            <w:tcW w:w="1560"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1559"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c>
          <w:tcPr>
            <w:tcW w:w="1495"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50" w:hRule="auto"/>
          <w:jc w:val="center"/>
        </w:trPr>
        <w:tc>
          <w:tcPr>
            <w:tcW w:w="14030" w:type="dxa"/>
            <w:gridSpan w:val="6"/>
            <w:tcBorders>
              <w:top w:val="single" w:color="00000a" w:sz="4"/>
              <w:left w:val="single" w:color="00000a" w:sz="4"/>
              <w:bottom w:val="single" w:color="00000a" w:sz="4"/>
              <w:right w:val="single" w:color="00000a" w:sz="4"/>
            </w:tcBorders>
            <w:shd w:color="000000" w:fill="ffffff" w:val="clear"/>
            <w:tcMar>
              <w:left w:w="10" w:type="dxa"/>
              <w:right w:w="10" w:type="dxa"/>
            </w:tcMar>
            <w:vAlign w:val="top"/>
          </w:tcPr>
          <w:p>
            <w:pPr>
              <w:suppressAutoHyphens w:val="true"/>
              <w:spacing w:before="0" w:after="0" w:line="240"/>
              <w:ind w:right="0" w:left="0" w:firstLine="0"/>
              <w:jc w:val="righ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ИТОГО, рублей:</w:t>
            </w:r>
          </w:p>
          <w:p>
            <w:pPr>
              <w:suppressAutoHyphens w:val="true"/>
              <w:spacing w:before="0" w:after="0" w:line="240"/>
              <w:ind w:right="0" w:left="0" w:firstLine="0"/>
              <w:jc w:val="right"/>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i/>
                <w:color w:val="auto"/>
                <w:spacing w:val="0"/>
                <w:position w:val="0"/>
                <w:sz w:val="24"/>
                <w:shd w:fill="auto" w:val="clear"/>
              </w:rPr>
              <w:t xml:space="preserve">в том числе НДС 5%</w:t>
            </w:r>
          </w:p>
        </w:tc>
        <w:tc>
          <w:tcPr>
            <w:tcW w:w="1495" w:type="dxa"/>
            <w:tcBorders>
              <w:top w:val="single" w:color="00000a" w:sz="4"/>
              <w:left w:val="single" w:color="00000a" w:sz="4"/>
              <w:bottom w:val="single" w:color="00000a" w:sz="4"/>
              <w:right w:val="single" w:color="00000a" w:sz="4"/>
            </w:tcBorders>
            <w:shd w:color="000000" w:fill="ffffff" w:val="clear"/>
            <w:tcMar>
              <w:left w:w="10" w:type="dxa"/>
              <w:right w:w="10" w:type="dxa"/>
            </w:tcMar>
            <w:vAlign w:val="center"/>
          </w:tcPr>
          <w:p>
            <w:pPr>
              <w:suppressAutoHyphens w:val="true"/>
              <w:spacing w:before="0" w:after="0" w:line="240"/>
              <w:ind w:right="0" w:left="0" w:firstLine="0"/>
              <w:jc w:val="center"/>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74 500,00</w:t>
            </w:r>
          </w:p>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b/>
                <w:i/>
                <w:color w:val="auto"/>
                <w:spacing w:val="0"/>
                <w:position w:val="0"/>
                <w:sz w:val="24"/>
                <w:shd w:fill="auto" w:val="clear"/>
              </w:rPr>
              <w:t xml:space="preserve">3 547,62</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84" w:firstLine="284"/>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Всего наименований по контракту 1, на сумму </w:t>
      </w:r>
      <w:r>
        <w:rPr>
          <w:rFonts w:ascii="Times New Roman" w:hAnsi="Times New Roman" w:cs="Times New Roman" w:eastAsia="Times New Roman"/>
          <w:b/>
          <w:i/>
          <w:color w:val="auto"/>
          <w:spacing w:val="0"/>
          <w:position w:val="0"/>
          <w:sz w:val="24"/>
          <w:shd w:fill="auto" w:val="clear"/>
        </w:rPr>
        <w:t xml:space="preserve">_ (___) рублей __ копеек, в т.ч. НДС (__%) ___ рублей __ копейки.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tbl>
      <w:tblPr>
        <w:tblInd w:w="57" w:type="dxa"/>
      </w:tblPr>
      <w:tblGrid>
        <w:gridCol w:w="7514"/>
        <w:gridCol w:w="7371"/>
      </w:tblGrid>
      <w:tr>
        <w:trPr>
          <w:trHeight w:val="180" w:hRule="auto"/>
          <w:jc w:val="left"/>
        </w:trPr>
        <w:tc>
          <w:tcPr>
            <w:tcW w:w="7514"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Заказчик</w:t>
            </w:r>
          </w:p>
          <w:p>
            <w:pPr>
              <w:keepNext w:val="true"/>
              <w:keepLines w:val="true"/>
              <w:tabs>
                <w:tab w:val="left" w:pos="992"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Федеральное государственное бюджетное профессиональное образовательное учреждение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Омское специальное учебно-воспитательное учреждение закрытого типа</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Омское СУВУ)</w:t>
            </w:r>
          </w:p>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Директор</w:t>
            </w:r>
          </w:p>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keepNext w:val="true"/>
              <w:keepLines w:val="true"/>
              <w:tabs>
                <w:tab w:val="left" w:pos="992"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_________________ </w:t>
            </w:r>
            <w:r>
              <w:rPr>
                <w:rFonts w:ascii="Times New Roman" w:hAnsi="Times New Roman" w:cs="Times New Roman" w:eastAsia="Times New Roman"/>
                <w:b/>
                <w:color w:val="auto"/>
                <w:spacing w:val="0"/>
                <w:position w:val="0"/>
                <w:sz w:val="24"/>
                <w:shd w:fill="auto" w:val="clear"/>
              </w:rPr>
              <w:t xml:space="preserve">С.А. Руденко   </w:t>
            </w:r>
          </w:p>
        </w:tc>
        <w:tc>
          <w:tcPr>
            <w:tcW w:w="7371" w:type="dxa"/>
            <w:tcBorders>
              <w:top w:val="single" w:color="000000" w:sz="4"/>
              <w:left w:val="single" w:color="000000" w:sz="4"/>
              <w:bottom w:val="single" w:color="000000" w:sz="4"/>
              <w:right w:val="single" w:color="000000" w:sz="4"/>
            </w:tcBorders>
            <w:shd w:color="000000" w:fill="ffffff" w:val="clear"/>
            <w:tcMar>
              <w:left w:w="56" w:type="dxa"/>
              <w:right w:w="56" w:type="dxa"/>
            </w:tcMar>
            <w:vAlign w:val="top"/>
          </w:tcPr>
          <w:p>
            <w:pPr>
              <w:keepNext w:val="true"/>
              <w:keepLines w:val="true"/>
              <w:tabs>
                <w:tab w:val="left" w:pos="992" w:leader="none"/>
              </w:tabs>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Поставщик</w:t>
            </w:r>
          </w:p>
          <w:p>
            <w:pPr>
              <w:keepNext w:val="true"/>
              <w:keepLines w:val="true"/>
              <w:tabs>
                <w:tab w:val="left" w:pos="992"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w:t>
            </w:r>
          </w:p>
        </w:tc>
      </w:tr>
    </w:tbl>
    <w:p>
      <w:pPr>
        <w:tabs>
          <w:tab w:val="left" w:pos="1254" w:leader="none"/>
          <w:tab w:val="left" w:pos="1368"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13">
    <w:abstractNumId w:val="48"/>
  </w:num>
  <w:num w:numId="17">
    <w:abstractNumId w:val="42"/>
  </w:num>
  <w:num w:numId="24">
    <w:abstractNumId w:val="36"/>
  </w:num>
  <w:num w:numId="27">
    <w:abstractNumId w:val="30"/>
  </w:num>
  <w:num w:numId="31">
    <w:abstractNumId w:val="24"/>
  </w:num>
  <w:num w:numId="33">
    <w:abstractNumId w:val="18"/>
  </w:num>
  <w:num w:numId="35">
    <w:abstractNumId w:val="12"/>
  </w:num>
  <w:num w:numId="38">
    <w:abstractNumId w:val="6"/>
  </w:num>
  <w:num w:numId="4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consultantplus://offline/ref=2CD0A4820D6DBA7C5FC141154CA8C6FEEDF8D42187821EDF46B6A561C9AFAC9DF32E2C6A512184F5DA5665EC593322151E8941793C8B5B0FHDg5C"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