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72"/>
        <w:ind w:firstLine="709"/>
        <w:jc w:val="center"/>
        <w:rPr>
          <w:b/>
          <w:szCs w:val="24"/>
        </w:rPr>
      </w:pPr>
      <w:r>
        <w:rPr>
          <w:b/>
          <w:szCs w:val="24"/>
        </w:rPr>
        <w:t xml:space="preserve">Начальная (максимальная) цена государственного контракта,</w:t>
      </w:r>
      <w:r>
        <w:rPr>
          <w:b/>
          <w:szCs w:val="24"/>
        </w:rPr>
      </w:r>
      <w:r>
        <w:rPr>
          <w:b/>
          <w:szCs w:val="24"/>
        </w:rPr>
      </w:r>
    </w:p>
    <w:p>
      <w:pPr>
        <w:pStyle w:val="872"/>
        <w:ind w:firstLine="709"/>
        <w:jc w:val="center"/>
        <w:rPr>
          <w:b/>
          <w:szCs w:val="24"/>
        </w:rPr>
      </w:pPr>
      <w:r>
        <w:rPr>
          <w:b/>
          <w:szCs w:val="24"/>
        </w:rPr>
        <w:t xml:space="preserve">обоснование начальной максимальной цены государственного контракта</w:t>
      </w:r>
      <w:r>
        <w:rPr>
          <w:b/>
          <w:szCs w:val="24"/>
        </w:rPr>
      </w:r>
      <w:r>
        <w:rPr>
          <w:b/>
          <w:szCs w:val="24"/>
        </w:rPr>
      </w:r>
    </w:p>
    <w:p>
      <w:pPr>
        <w:pStyle w:val="872"/>
        <w:ind w:firstLine="709"/>
        <w:jc w:val="center"/>
        <w:rPr>
          <w:b/>
          <w:szCs w:val="24"/>
        </w:rPr>
      </w:pPr>
      <w:r>
        <w:rPr>
          <w:b/>
          <w:szCs w:val="24"/>
        </w:rPr>
      </w:r>
      <w:r>
        <w:rPr>
          <w:b/>
          <w:szCs w:val="24"/>
        </w:rPr>
      </w:r>
      <w:r>
        <w:rPr>
          <w:b/>
          <w:szCs w:val="24"/>
        </w:rPr>
      </w:r>
    </w:p>
    <w:tbl>
      <w:tblPr>
        <w:tblW w:w="15026" w:type="dxa"/>
        <w:tblInd w:w="28" w:type="dxa"/>
        <w:tblLayout w:type="fixed"/>
        <w:tblCellMar>
          <w:left w:w="28" w:type="dxa"/>
          <w:top w:w="0" w:type="dxa"/>
          <w:right w:w="28" w:type="dxa"/>
          <w:bottom w:w="0" w:type="dxa"/>
        </w:tblCellMar>
        <w:tblLook w:val="04A0" w:firstRow="1" w:lastRow="0" w:firstColumn="1" w:lastColumn="0" w:noHBand="0" w:noVBand="1"/>
      </w:tblPr>
      <w:tblGrid>
        <w:gridCol w:w="3896"/>
        <w:gridCol w:w="11130"/>
      </w:tblGrid>
      <w:tr>
        <w:trPr>
          <w:trHeight w:val="443"/>
        </w:trPr>
        <w:tblPrEx/>
        <w:tc>
          <w:tcPr>
            <w:tcW w:w="3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6"/>
              <w:ind w:left="57" w:right="57" w:hanging="57"/>
            </w:pPr>
            <w:r>
              <w:rPr>
                <w:b/>
                <w:bCs/>
              </w:rPr>
              <w:t xml:space="preserve">Основные характеристики объекта закупки</w:t>
            </w:r>
          </w:p>
        </w:tc>
        <w:tc>
          <w:tcPr>
            <w:tcW w:w="1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tabs>
                <w:tab w:val="left" w:pos="389" w:leader="none"/>
              </w:tabs>
              <w:spacing w:line="276" w:lineRule="auto"/>
              <w:rPr>
                <w:rFonts w:ascii="PT Astra Serif" w:hAnsi="PT Astra Serif" w:eastAsia="PT Astra Serif" w:cs="PT Astra Serif"/>
                <w:b w:val="0"/>
                <w:bCs w:val="0"/>
                <w:i w:val="0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iCs w:val="0"/>
                <w:sz w:val="20"/>
                <w:szCs w:val="20"/>
                <w:highlight w:val="green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white"/>
              </w:rPr>
              <w:t xml:space="preserve">Оказание услуг по обязательному страхованию гражданской ответственности владельца 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white"/>
              </w:rPr>
              <w:t xml:space="preserve">опасного объекта (подъёмная платформа для инвалидов) за причинение вреда в результате аварии на опасном объекте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color w:val="000000"/>
                <w:sz w:val="20"/>
                <w:szCs w:val="20"/>
                <w:highlight w:val="none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color w:val="000000"/>
                <w:sz w:val="20"/>
                <w:szCs w:val="20"/>
                <w:highlight w:val="none"/>
              </w:rPr>
            </w:r>
          </w:p>
        </w:tc>
      </w:tr>
      <w:tr>
        <w:trPr/>
        <w:tblPrEx/>
        <w:tc>
          <w:tcPr>
            <w:tcW w:w="3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6"/>
              <w:ind w:right="57"/>
            </w:pPr>
            <w:r>
              <w:rPr>
                <w:b/>
                <w:bCs/>
              </w:rPr>
              <w:t xml:space="preserve">Используемый метод определения НМЦК с обоснованием:</w:t>
            </w:r>
          </w:p>
        </w:tc>
        <w:tc>
          <w:tcPr>
            <w:tcW w:w="1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846"/>
              <w:ind w:left="57" w:firstLine="11"/>
            </w:pPr>
            <w:r>
              <w:t xml:space="preserve">Метод сопоставимых рыночных цен (анализ рынка) на основании</w:t>
            </w:r>
            <w:r>
              <w:t xml:space="preserve"> ценовой информации</w:t>
            </w:r>
          </w:p>
        </w:tc>
      </w:tr>
      <w:tr>
        <w:trPr>
          <w:trHeight w:val="3299"/>
        </w:trPr>
        <w:tblPrEx/>
        <w:tc>
          <w:tcPr>
            <w:tcW w:w="3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6"/>
              <w:ind w:left="57" w:right="57" w:hanging="57"/>
            </w:pPr>
            <w:r>
              <w:rPr>
                <w:b/>
                <w:bCs/>
              </w:rPr>
              <w:t xml:space="preserve">Расчет НМЦК</w:t>
            </w:r>
          </w:p>
        </w:tc>
        <w:tc>
          <w:tcPr>
            <w:tcW w:w="1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6"/>
              <w:ind w:right="114" w:firstLine="312"/>
              <w:jc w:val="both"/>
            </w:pPr>
            <w:r>
              <w:t xml:space="preserve">Для определения НМЦК Заказчиком использован метод сопоставимых рыночных цен (</w:t>
            </w:r>
            <w:r>
              <w:t xml:space="preserve">ст</w:t>
            </w:r>
            <w:r>
              <w:t xml:space="preserve">. 22 Федерального закона от 05.</w:t>
            </w:r>
            <w:r>
              <w:t xml:space="preserve">04.2013 № 44-ФЗ «О контрактной системе в сфере закупок товаров, работ, услуг для обеспечения государственных и муниципальных нужд»). Расчёт НМЦК произведён с учётом методических рекомендаций, утверждённых Приказом Министерства экономического развития РФ от</w:t>
            </w:r>
            <w:r>
              <w:t xml:space="preserve"> 02.10.2013 № 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 (далее – Методические рекомендации).</w:t>
            </w:r>
          </w:p>
          <w:p>
            <w:pPr>
              <w:pStyle w:val="846"/>
              <w:ind w:right="114" w:firstLine="312"/>
              <w:jc w:val="both"/>
            </w:pPr>
            <w:r>
              <w:t xml:space="preserve">В соответствии с пп. 3.7.1 части III Методических рекомендаций направлены запросы о предоставлении ценовой </w:t>
            </w:r>
            <w:r>
              <w:t xml:space="preserve">информации семи</w:t>
            </w:r>
            <w:r>
              <w:t xml:space="preserve"> поставщикам</w:t>
            </w:r>
            <w:r>
              <w:t xml:space="preserve">, обладающих опытом оказания подобных услуг. В результате, получен ответ, содержащи</w:t>
            </w:r>
            <w:r>
              <w:t xml:space="preserve">й запрашиваемую информацию, от </w:t>
            </w:r>
            <w:r>
              <w:t xml:space="preserve">трёх</w:t>
            </w:r>
            <w:r>
              <w:t xml:space="preserve"> поставщик</w:t>
            </w:r>
            <w:r>
              <w:t xml:space="preserve">ов</w:t>
            </w:r>
            <w:r>
              <w:t xml:space="preserve">.</w:t>
            </w:r>
          </w:p>
          <w:p>
            <w:pPr>
              <w:pStyle w:val="846"/>
              <w:ind w:right="-28" w:firstLine="312"/>
              <w:jc w:val="both"/>
            </w:pPr>
            <w:r>
              <w:t xml:space="preserve">НМЦК на предоставление услуг, полученная расчётным путём как ср</w:t>
            </w:r>
            <w:r>
              <w:t xml:space="preserve">еднеарифметическое на основании</w:t>
            </w:r>
            <w:r>
              <w:t xml:space="preserve"> имеющейся ценовой информации</w:t>
            </w:r>
            <w:r>
              <w:t xml:space="preserve">, </w:t>
            </w:r>
            <w:r>
              <w:t xml:space="preserve">составляет </w:t>
            </w:r>
            <w:r>
              <w:rPr>
                <w:b/>
                <w:bCs/>
              </w:rPr>
              <w:t xml:space="preserve">3 000,00</w:t>
            </w:r>
            <w:r>
              <w:rPr>
                <w:b/>
              </w:rPr>
              <w:t xml:space="preserve"> </w:t>
            </w:r>
            <w:r>
              <w:rPr>
                <w:b/>
                <w:bCs/>
              </w:rPr>
              <w:t xml:space="preserve">руб</w:t>
            </w:r>
            <w:r>
              <w:t xml:space="preserve">.</w:t>
            </w:r>
            <w:r>
              <w:t xml:space="preserve"> </w:t>
            </w:r>
          </w:p>
          <w:p>
            <w:pPr>
              <w:pStyle w:val="846"/>
              <w:ind w:right="151" w:firstLine="312"/>
              <w:jc w:val="both"/>
            </w:pPr>
            <w:r>
              <w:t xml:space="preserve">Информация о валюте, используемой для формирования цены контракта и расчётов с поставщиком (подрядчиком, исполнителем): рубль российский</w:t>
            </w:r>
          </w:p>
          <w:p>
            <w:pPr>
              <w:pStyle w:val="846"/>
              <w:ind w:right="151" w:firstLine="312"/>
              <w:jc w:val="both"/>
            </w:pPr>
            <w:r>
              <w:t xml:space="preserve">Расчёт представлен ниже </w:t>
            </w:r>
          </w:p>
        </w:tc>
      </w:tr>
      <w:tr>
        <w:trPr/>
        <w:tblPrEx/>
        <w:tc>
          <w:tcPr>
            <w:tcW w:w="150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6"/>
              <w:ind w:left="57" w:right="-28" w:firstLine="11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846"/>
              <w:ind w:left="57" w:right="-28" w:firstLine="11"/>
              <w:rPr>
                <w:b/>
              </w:rPr>
            </w:pPr>
            <w:r>
              <w:rPr>
                <w:b/>
              </w:rPr>
              <w:t xml:space="preserve">Дата подготовки обоснования: 25.08.2026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846"/>
              <w:ind w:left="57" w:right="-28" w:firstLine="11"/>
            </w:pPr>
          </w:p>
        </w:tc>
      </w:tr>
    </w:tbl>
    <w:p>
      <w:pPr>
        <w:pStyle w:val="846"/>
        <w:tabs>
          <w:tab w:val="left" w:pos="13438" w:leader="none"/>
        </w:tabs>
        <w:ind w:right="8250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</w:r>
      <w:r>
        <w:rPr>
          <w:b/>
          <w:bCs/>
          <w:sz w:val="16"/>
          <w:szCs w:val="16"/>
        </w:rPr>
      </w:r>
      <w:r>
        <w:rPr>
          <w:b/>
          <w:bCs/>
          <w:sz w:val="16"/>
          <w:szCs w:val="16"/>
        </w:rPr>
      </w:r>
    </w:p>
    <w:p>
      <w:pPr>
        <w:pStyle w:val="846"/>
        <w:tabs>
          <w:tab w:val="left" w:pos="13438" w:leader="none"/>
        </w:tabs>
        <w:ind w:right="8250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</w:r>
      <w:r>
        <w:rPr>
          <w:b/>
          <w:bCs/>
          <w:sz w:val="16"/>
          <w:szCs w:val="16"/>
        </w:rPr>
      </w:r>
      <w:r>
        <w:rPr>
          <w:b/>
          <w:bCs/>
          <w:sz w:val="16"/>
          <w:szCs w:val="16"/>
        </w:rPr>
      </w:r>
    </w:p>
    <w:tbl>
      <w:tblPr>
        <w:tblW w:w="15023" w:type="dxa"/>
        <w:tblInd w:w="108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85"/>
        <w:gridCol w:w="2024"/>
        <w:gridCol w:w="1701"/>
        <w:gridCol w:w="709"/>
        <w:gridCol w:w="1701"/>
        <w:gridCol w:w="1701"/>
        <w:gridCol w:w="1559"/>
        <w:gridCol w:w="1276"/>
        <w:gridCol w:w="1134"/>
        <w:gridCol w:w="1276"/>
        <w:gridCol w:w="1559"/>
      </w:tblGrid>
      <w:tr>
        <w:trPr>
          <w:trHeight w:val="309"/>
        </w:trPr>
        <w:tblPrEx/>
        <w:tc>
          <w:tcPr>
            <w:tcW w:w="3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846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№ п/п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20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846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Наименование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pStyle w:val="846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8"/>
                <w:szCs w:val="18"/>
              </w:rPr>
              <w:t xml:space="preserve">услуги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W w:w="170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846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Основные характеристики услуги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846"/>
              <w:ind w:right="-12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Кол-во/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pStyle w:val="846"/>
              <w:ind w:right="-12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шт.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49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846"/>
              <w:ind w:right="-107" w:firstLine="1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Наименование источника информации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27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highlight w:val="none"/>
              </w:rPr>
            </w:r>
          </w:p>
          <w:p>
            <w:pPr>
              <w:pStyle w:val="846"/>
              <w:jc w:val="center"/>
              <w:rPr>
                <w:rFonts w:ascii="Times New Roman" w:hAnsi="Times New Roman" w:eastAsia="Times New Roman" w:cs="Times New Roman"/>
                <w:highlight w:val="none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Средняя цена, руб.</w:t>
            </w:r>
            <w:r>
              <w:rPr>
                <w:rFonts w:ascii="Times New Roman" w:hAnsi="Times New Roman" w:eastAsia="Times New Roman" w:cs="Times New Roman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3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84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Среднее квадратич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ное отклоне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ние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27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Коэффици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ент вариации</w:t>
            </w:r>
            <w:r>
              <w:rPr>
                <w:rFonts w:ascii="Times New Roman" w:hAnsi="Times New Roman" w:eastAsia="Times New Roman" w:cs="Times New Roman"/>
              </w:rPr>
              <w:t xml:space="preserve">, %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55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846"/>
              <w:ind w:right="-107" w:firstLine="18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Начальная (максимальная) (руб)</w:t>
            </w:r>
            <w:r>
              <w:rPr>
                <w:b/>
                <w:color w:val="000000"/>
                <w:sz w:val="18"/>
                <w:szCs w:val="18"/>
              </w:rPr>
            </w:r>
            <w:r>
              <w:rPr>
                <w:b/>
                <w:color w:val="000000"/>
                <w:sz w:val="18"/>
                <w:szCs w:val="18"/>
              </w:rPr>
            </w:r>
          </w:p>
        </w:tc>
      </w:tr>
      <w:tr>
        <w:trPr>
          <w:trHeight w:val="840"/>
        </w:trPr>
        <w:tblPrEx/>
        <w:tc>
          <w:tcPr>
            <w:tcW w:w="3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846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20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846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7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846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846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6"/>
              <w:ind w:right="-128"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</w:r>
            <w:r>
              <w:rPr>
                <w:color w:val="000000"/>
                <w:sz w:val="10"/>
                <w:szCs w:val="10"/>
              </w:rPr>
            </w:r>
            <w:r>
              <w:rPr>
                <w:color w:val="000000"/>
                <w:sz w:val="10"/>
                <w:szCs w:val="10"/>
              </w:rPr>
            </w:r>
          </w:p>
          <w:p>
            <w:pPr>
              <w:pStyle w:val="846"/>
              <w:ind w:right="-12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Коммерческое предложение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ind w:right="-12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№ 1, руб.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6"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</w:r>
            <w:r>
              <w:rPr>
                <w:color w:val="000000"/>
                <w:sz w:val="10"/>
                <w:szCs w:val="10"/>
              </w:rPr>
            </w:r>
            <w:r>
              <w:rPr>
                <w:color w:val="000000"/>
                <w:sz w:val="10"/>
                <w:szCs w:val="10"/>
              </w:rPr>
            </w:r>
          </w:p>
          <w:p>
            <w:pPr>
              <w:pStyle w:val="846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Коммерческое предложение 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№ </w:t>
            </w:r>
            <w:r>
              <w:rPr>
                <w:color w:val="000000"/>
                <w:sz w:val="18"/>
                <w:szCs w:val="18"/>
              </w:rPr>
              <w:t xml:space="preserve">2</w:t>
            </w:r>
            <w:r>
              <w:rPr>
                <w:color w:val="000000"/>
                <w:sz w:val="18"/>
                <w:szCs w:val="18"/>
              </w:rPr>
              <w:t xml:space="preserve">, руб.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6"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</w:r>
            <w:r>
              <w:rPr>
                <w:color w:val="000000"/>
                <w:sz w:val="10"/>
                <w:szCs w:val="10"/>
              </w:rPr>
            </w:r>
            <w:r>
              <w:rPr>
                <w:color w:val="000000"/>
                <w:sz w:val="10"/>
                <w:szCs w:val="10"/>
              </w:rPr>
            </w:r>
          </w:p>
          <w:p>
            <w:pPr>
              <w:pStyle w:val="846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Коммерческое предложение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№ </w:t>
            </w:r>
            <w:r>
              <w:rPr>
                <w:color w:val="000000"/>
                <w:sz w:val="18"/>
                <w:szCs w:val="18"/>
              </w:rPr>
              <w:t xml:space="preserve">3, руб.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27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/>
        </w:tc>
        <w:tc>
          <w:tcPr>
            <w:tcW w:w="113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/>
        </w:tc>
        <w:tc>
          <w:tcPr>
            <w:tcW w:w="127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/>
        </w:tc>
        <w:tc>
          <w:tcPr>
            <w:tcW w:w="155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846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rPr>
          <w:trHeight w:val="299"/>
        </w:trPr>
        <w:tblPrEx/>
        <w:tc>
          <w:tcPr>
            <w:tcW w:w="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6"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</w:r>
            <w:r>
              <w:rPr>
                <w:color w:val="000000"/>
                <w:shd w:val="clear" w:color="auto" w:fill="ffffff"/>
              </w:rPr>
            </w:r>
            <w:r>
              <w:rPr>
                <w:color w:val="000000"/>
                <w:shd w:val="clear" w:color="auto" w:fill="ffffff"/>
              </w:rPr>
            </w:r>
          </w:p>
          <w:p>
            <w:pPr>
              <w:pStyle w:val="846"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</w:r>
            <w:r>
              <w:rPr>
                <w:color w:val="000000"/>
                <w:shd w:val="clear" w:color="auto" w:fill="ffffff"/>
              </w:rPr>
            </w:r>
            <w:r>
              <w:rPr>
                <w:color w:val="000000"/>
                <w:shd w:val="clear" w:color="auto" w:fill="ffffff"/>
              </w:rPr>
            </w:r>
          </w:p>
          <w:p>
            <w:pPr>
              <w:pStyle w:val="846"/>
              <w:jc w:val="center"/>
            </w:pPr>
            <w:r>
              <w:rPr>
                <w:color w:val="000000"/>
                <w:shd w:val="clear" w:color="auto" w:fill="ffffff"/>
              </w:rPr>
              <w:t xml:space="preserve">1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center"/>
          </w:tcPr>
          <w:p>
            <w:pPr>
              <w:tabs>
                <w:tab w:val="left" w:pos="389" w:leader="none"/>
              </w:tabs>
              <w:spacing w:line="276" w:lineRule="auto"/>
              <w:rPr>
                <w:rFonts w:ascii="PT Astra Serif" w:hAnsi="PT Astra Serif" w:cs="PT Astra Serif"/>
                <w:b w:val="0"/>
                <w:bCs w:val="0"/>
                <w:i w:val="0"/>
                <w:sz w:val="20"/>
                <w:szCs w:val="2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iCs w:val="0"/>
                <w:sz w:val="20"/>
                <w:szCs w:val="20"/>
                <w:highlight w:val="white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white"/>
              </w:rPr>
              <w:t xml:space="preserve">Оказание 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white"/>
              </w:rPr>
              <w:t xml:space="preserve">услуг по обязательному страхованию гражданской ответственности владельца опасного объекта (подъёмная платформа для инвалидов) за причинение вреда в результате аварии на опасном объекте</w:t>
            </w:r>
            <w:r>
              <w:rPr>
                <w:rFonts w:ascii="PT Astra Serif" w:hAnsi="PT Astra Serif" w:cs="PT Astra Serif"/>
                <w:b w:val="0"/>
                <w:bCs w:val="0"/>
                <w:i w:val="0"/>
                <w:sz w:val="20"/>
                <w:szCs w:val="20"/>
                <w:highlight w:val="white"/>
              </w:rPr>
            </w:r>
            <w:r>
              <w:rPr>
                <w:rFonts w:ascii="PT Astra Serif" w:hAnsi="PT Astra Serif" w:cs="PT Astra Serif"/>
                <w:b w:val="0"/>
                <w:bCs w:val="0"/>
                <w:i w:val="0"/>
                <w:sz w:val="20"/>
                <w:szCs w:val="20"/>
                <w:highlight w:val="white"/>
              </w:rPr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6"/>
              <w:spacing w:line="276" w:lineRule="auto"/>
              <w:jc w:val="both"/>
            </w:pPr>
            <w:r>
              <w:t xml:space="preserve">   </w:t>
            </w:r>
            <w:r>
              <w:t xml:space="preserve"> </w:t>
            </w:r>
            <w:r>
              <w:t xml:space="preserve"> </w:t>
            </w:r>
            <w:r>
              <w:t xml:space="preserve">Период оказания услуг: </w:t>
            </w:r>
            <w:r>
              <w:rPr>
                <w:rFonts w:ascii="Tinos" w:hAnsi="Tinos" w:eastAsia="Tinos" w:cs="Tinos"/>
                <w:b/>
                <w:bCs/>
                <w:sz w:val="20"/>
                <w:szCs w:val="20"/>
                <w:lang w:eastAsia="ru-RU"/>
              </w:rPr>
              <w:t xml:space="preserve">в срок </w:t>
            </w:r>
            <w:r>
              <w:rPr>
                <w:rFonts w:ascii="Tinos" w:hAnsi="Tinos" w:eastAsia="Tinos" w:cs="Tinos"/>
                <w:b/>
                <w:bCs/>
                <w:sz w:val="20"/>
                <w:szCs w:val="20"/>
                <w:lang w:eastAsia="ru-RU"/>
              </w:rPr>
              <w:t xml:space="preserve">с</w:t>
            </w:r>
            <w:r>
              <w:rPr>
                <w:rFonts w:ascii="Tinos" w:hAnsi="Tinos" w:eastAsia="Tinos" w:cs="Tinos"/>
                <w:b/>
                <w:bCs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nos" w:hAnsi="Tinos" w:eastAsia="Tinos" w:cs="Tinos"/>
                <w:b/>
                <w:bCs/>
                <w:sz w:val="20"/>
                <w:szCs w:val="20"/>
                <w:lang w:eastAsia="ru-RU"/>
              </w:rPr>
              <w:t xml:space="preserve">2</w:t>
            </w:r>
            <w:r>
              <w:rPr>
                <w:rFonts w:ascii="Tinos" w:hAnsi="Tinos" w:eastAsia="Tinos" w:cs="Tinos"/>
                <w:b/>
                <w:bCs/>
                <w:sz w:val="20"/>
                <w:szCs w:val="20"/>
                <w:lang w:eastAsia="ru-RU"/>
              </w:rPr>
              <w:t xml:space="preserve">6</w:t>
            </w:r>
            <w:r>
              <w:rPr>
                <w:rFonts w:ascii="Tinos" w:hAnsi="Tinos" w:eastAsia="Tinos" w:cs="Tinos"/>
                <w:b/>
                <w:bCs/>
                <w:sz w:val="20"/>
                <w:szCs w:val="20"/>
                <w:lang w:eastAsia="ru-RU"/>
              </w:rPr>
              <w:t xml:space="preserve"> января 20</w:t>
            </w:r>
            <w:r>
              <w:rPr>
                <w:rFonts w:ascii="Tinos" w:hAnsi="Tinos" w:eastAsia="Tinos" w:cs="Tinos"/>
                <w:b/>
                <w:bCs/>
                <w:sz w:val="20"/>
                <w:szCs w:val="20"/>
                <w:lang w:eastAsia="ru-RU"/>
              </w:rPr>
              <w:t xml:space="preserve">27</w:t>
            </w:r>
            <w:r>
              <w:rPr>
                <w:rFonts w:ascii="Tinos" w:hAnsi="Tinos" w:eastAsia="Tinos" w:cs="Tinos"/>
                <w:b/>
                <w:bCs/>
                <w:sz w:val="20"/>
                <w:szCs w:val="20"/>
                <w:lang w:eastAsia="ru-RU"/>
              </w:rPr>
              <w:t xml:space="preserve"> г. по </w:t>
            </w:r>
            <w:r>
              <w:rPr>
                <w:rFonts w:ascii="Tinos" w:hAnsi="Tinos" w:eastAsia="Tinos" w:cs="Tinos"/>
                <w:b/>
                <w:bCs/>
                <w:sz w:val="20"/>
                <w:szCs w:val="20"/>
                <w:lang w:eastAsia="ru-RU"/>
              </w:rPr>
              <w:t xml:space="preserve">2</w:t>
            </w:r>
            <w:r>
              <w:rPr>
                <w:rFonts w:ascii="Tinos" w:hAnsi="Tinos" w:eastAsia="Tinos" w:cs="Tinos"/>
                <w:b/>
                <w:bCs/>
                <w:sz w:val="20"/>
                <w:szCs w:val="20"/>
                <w:lang w:eastAsia="ru-RU"/>
              </w:rPr>
              <w:t xml:space="preserve">5</w:t>
            </w:r>
            <w:r>
              <w:rPr>
                <w:rFonts w:ascii="Tinos" w:hAnsi="Tinos" w:eastAsia="Tinos" w:cs="Tinos"/>
                <w:b/>
                <w:bCs/>
                <w:sz w:val="20"/>
                <w:szCs w:val="20"/>
                <w:lang w:eastAsia="ru-RU"/>
              </w:rPr>
              <w:t xml:space="preserve"> января</w:t>
            </w:r>
            <w:r>
              <w:rPr>
                <w:rFonts w:ascii="Tinos" w:hAnsi="Tinos" w:eastAsia="Tinos" w:cs="Tinos"/>
                <w:b/>
                <w:bCs/>
                <w:sz w:val="20"/>
                <w:szCs w:val="20"/>
                <w:lang w:eastAsia="ru-RU"/>
              </w:rPr>
              <w:t xml:space="preserve"> 20</w:t>
            </w:r>
            <w:r>
              <w:rPr>
                <w:rFonts w:ascii="Tinos" w:hAnsi="Tinos" w:eastAsia="Tinos" w:cs="Tinos"/>
                <w:b/>
                <w:bCs/>
                <w:sz w:val="20"/>
                <w:szCs w:val="20"/>
                <w:lang w:eastAsia="ru-RU"/>
              </w:rPr>
              <w:t xml:space="preserve">2</w:t>
            </w:r>
            <w:r>
              <w:rPr>
                <w:rFonts w:ascii="Tinos" w:hAnsi="Tinos" w:eastAsia="Tinos" w:cs="Tinos"/>
                <w:b/>
                <w:bCs/>
                <w:sz w:val="20"/>
                <w:szCs w:val="20"/>
                <w:lang w:eastAsia="ru-RU"/>
              </w:rPr>
              <w:t xml:space="preserve">8</w:t>
            </w:r>
            <w:r>
              <w:rPr>
                <w:highlight w:val="yellow"/>
              </w:rPr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846"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Style w:val="846"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Style w:val="846"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Style w:val="846"/>
              <w:jc w:val="center"/>
              <w:rPr>
                <w:bCs/>
                <w:sz w:val="10"/>
                <w:szCs w:val="10"/>
              </w:rPr>
            </w:pPr>
            <w:r>
              <w:rPr>
                <w:bCs/>
                <w:sz w:val="10"/>
                <w:szCs w:val="10"/>
              </w:rPr>
            </w:r>
            <w:r>
              <w:rPr>
                <w:bCs/>
                <w:sz w:val="10"/>
                <w:szCs w:val="10"/>
              </w:rPr>
            </w:r>
            <w:r>
              <w:rPr>
                <w:bCs/>
                <w:sz w:val="10"/>
                <w:szCs w:val="10"/>
              </w:rPr>
            </w:r>
          </w:p>
          <w:p>
            <w:pPr>
              <w:pStyle w:val="846"/>
              <w:jc w:val="center"/>
              <w:rPr>
                <w:bCs/>
                <w:sz w:val="10"/>
                <w:szCs w:val="10"/>
              </w:rPr>
            </w:pPr>
            <w:r>
              <w:rPr>
                <w:bCs/>
                <w:sz w:val="10"/>
                <w:szCs w:val="10"/>
              </w:rPr>
            </w:r>
            <w:r>
              <w:rPr>
                <w:bCs/>
                <w:sz w:val="10"/>
                <w:szCs w:val="10"/>
              </w:rPr>
            </w:r>
            <w:r>
              <w:rPr>
                <w:bCs/>
                <w:sz w:val="10"/>
                <w:szCs w:val="10"/>
              </w:rPr>
            </w:r>
          </w:p>
          <w:p>
            <w:pPr>
              <w:pStyle w:val="846"/>
              <w:jc w:val="center"/>
              <w:rPr>
                <w:bCs/>
              </w:rPr>
            </w:pPr>
            <w:r>
              <w:rPr>
                <w:bCs/>
              </w:rPr>
              <w:t xml:space="preserve">1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Style w:val="846"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Style w:val="846"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Style w:val="846"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Style w:val="846"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Style w:val="846"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Style w:val="846"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Style w:val="846"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Style w:val="846"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Style w:val="846"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Style w:val="846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6"/>
              <w:ind w:right="-1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Style w:val="846"/>
              <w:ind w:right="-1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Style w:val="846"/>
              <w:ind w:right="-1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Style w:val="846"/>
              <w:ind w:right="-1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Style w:val="846"/>
              <w:ind w:right="-1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3 000,00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Style w:val="846"/>
              <w:ind w:right="-1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Style w:val="846"/>
              <w:ind w:right="-1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Style w:val="846"/>
              <w:ind w:right="-1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Style w:val="846"/>
              <w:ind w:right="-1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6"/>
              <w:jc w:val="center"/>
            </w:pPr>
          </w:p>
          <w:p>
            <w:pPr>
              <w:pStyle w:val="846"/>
              <w:jc w:val="center"/>
            </w:pPr>
          </w:p>
          <w:p>
            <w:pPr>
              <w:pStyle w:val="846"/>
              <w:jc w:val="center"/>
            </w:pPr>
          </w:p>
          <w:p>
            <w:pPr>
              <w:pStyle w:val="846"/>
              <w:jc w:val="center"/>
            </w:pPr>
          </w:p>
          <w:p>
            <w:pPr>
              <w:pStyle w:val="846"/>
              <w:jc w:val="center"/>
            </w:pPr>
            <w:r>
              <w:t xml:space="preserve">3 000,00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6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846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846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846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846"/>
              <w:jc w:val="center"/>
            </w:pPr>
            <w:r>
              <w:t xml:space="preserve">3 000,00</w:t>
            </w:r>
          </w:p>
          <w:p>
            <w:pPr>
              <w:pStyle w:val="846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jc w:val="center"/>
              <w:rPr>
                <w:b/>
                <w:bCs/>
                <w:highlight w:val="none"/>
              </w:rPr>
            </w:pPr>
            <w:r>
              <w:rPr>
                <w:b/>
                <w:bCs/>
              </w:rPr>
              <w:t xml:space="preserve">3 000,00</w:t>
            </w:r>
            <w:r>
              <w:rPr>
                <w:b/>
                <w:bCs/>
                <w:highlight w:val="none"/>
              </w:rPr>
            </w:r>
            <w:r>
              <w:rPr>
                <w:b/>
                <w:bCs/>
                <w:highlight w:val="none"/>
              </w:rPr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jc w:val="center"/>
              <w:rPr>
                <w:b/>
                <w:bCs/>
                <w:highlight w:val="none"/>
              </w:rPr>
            </w:pPr>
            <w:r>
              <w:rPr>
                <w:b/>
                <w:bCs/>
                <w:highlight w:val="none"/>
              </w:rPr>
            </w:r>
            <w:r>
              <w:rPr>
                <w:b/>
                <w:bCs/>
                <w:highlight w:val="none"/>
              </w:rPr>
            </w:r>
            <w:r>
              <w:rPr>
                <w:b/>
                <w:bCs/>
                <w:highlight w:val="none"/>
              </w:rPr>
            </w:r>
          </w:p>
          <w:p>
            <w:pPr>
              <w:jc w:val="center"/>
              <w:rPr>
                <w:b/>
                <w:bCs/>
                <w:highlight w:val="none"/>
              </w:rPr>
            </w:pPr>
            <w:r>
              <w:rPr>
                <w:b/>
                <w:bCs/>
              </w:rPr>
              <w:t xml:space="preserve">0</w:t>
            </w:r>
            <w:r>
              <w:rPr>
                <w:b/>
                <w:bCs/>
                <w:highlight w:val="none"/>
              </w:rPr>
            </w:r>
            <w:r>
              <w:rPr>
                <w:b/>
                <w:bCs/>
                <w:highlight w:val="none"/>
              </w:rPr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jc w:val="center"/>
              <w:rPr>
                <w:b/>
                <w:bCs/>
                <w:highlight w:val="none"/>
              </w:rPr>
            </w:pPr>
            <w:r>
              <w:rPr>
                <w:b/>
                <w:bCs/>
                <w:highlight w:val="none"/>
              </w:rPr>
            </w:r>
            <w:r>
              <w:rPr>
                <w:b/>
                <w:bCs/>
                <w:highlight w:val="none"/>
              </w:rPr>
            </w:r>
            <w:r>
              <w:rPr>
                <w:b/>
                <w:bCs/>
                <w:highlight w:val="none"/>
              </w:rPr>
            </w:r>
          </w:p>
          <w:p>
            <w:pPr>
              <w:jc w:val="center"/>
              <w:rPr>
                <w:b/>
                <w:bCs/>
                <w:highlight w:val="none"/>
              </w:rPr>
            </w:pPr>
            <w:r>
              <w:rPr>
                <w:b/>
                <w:bCs/>
              </w:rPr>
              <w:t xml:space="preserve">0</w:t>
            </w:r>
            <w:r>
              <w:rPr>
                <w:b/>
                <w:bCs/>
                <w:highlight w:val="none"/>
              </w:rPr>
            </w:r>
            <w:r>
              <w:rPr>
                <w:b/>
                <w:bCs/>
                <w:highlight w:val="none"/>
              </w:rPr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highlight w:val="none"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Style w:val="846"/>
              <w:jc w:val="center"/>
              <w:rPr>
                <w:b/>
                <w:bCs/>
                <w:highlight w:val="none"/>
              </w:rPr>
            </w:pPr>
            <w:r>
              <w:rPr>
                <w:b/>
              </w:rPr>
              <w:t xml:space="preserve">3 000,00</w:t>
            </w:r>
            <w:r>
              <w:rPr>
                <w:b/>
                <w:bCs/>
                <w:highlight w:val="none"/>
              </w:rPr>
            </w:r>
            <w:r>
              <w:rPr>
                <w:b/>
                <w:bCs/>
                <w:highlight w:val="none"/>
              </w:rPr>
            </w:r>
          </w:p>
        </w:tc>
      </w:tr>
    </w:tbl>
    <w:p>
      <w:pPr>
        <w:pStyle w:val="846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tbl>
      <w:tblPr>
        <w:tblW w:w="0" w:type="auto"/>
        <w:tblInd w:w="694" w:type="dxa"/>
        <w:tblLayout w:type="fixed"/>
        <w:tblCellMar>
          <w:left w:w="28" w:type="dxa"/>
          <w:top w:w="0" w:type="dxa"/>
          <w:right w:w="28" w:type="dxa"/>
          <w:bottom w:w="0" w:type="dxa"/>
        </w:tblCellMar>
        <w:tblLook w:val="04A0" w:firstRow="1" w:lastRow="0" w:firstColumn="1" w:lastColumn="0" w:noHBand="0" w:noVBand="1"/>
      </w:tblPr>
      <w:tblGrid>
        <w:gridCol w:w="4649"/>
      </w:tblGrid>
      <w:tr>
        <w:trPr/>
        <w:tblPrEx/>
        <w:tc>
          <w:tcPr>
            <w:tcW w:w="4649" w:type="dxa"/>
            <w:tcBorders>
              <w:bottom w:val="single" w:color="000000" w:sz="4" w:space="0"/>
            </w:tcBorders>
            <w:noWrap w:val="false"/>
            <w:textDirection w:val="lrTb"/>
            <w:vAlign w:val="bottom"/>
          </w:tcPr>
          <w:p>
            <w:pPr>
              <w:pStyle w:val="846"/>
              <w:spacing w:after="120"/>
              <w:ind w:hanging="28"/>
            </w:pPr>
            <w:r>
              <w:rPr>
                <w:b/>
              </w:rPr>
              <w:t xml:space="preserve">Работник контрактной службы</w:t>
            </w:r>
          </w:p>
          <w:p>
            <w:pPr>
              <w:pStyle w:val="846"/>
              <w:jc w:val="center"/>
            </w:pPr>
            <w:r>
              <w:t xml:space="preserve">Зам. </w:t>
            </w:r>
            <w:r>
              <w:t xml:space="preserve">начальника ФЭО</w:t>
            </w:r>
          </w:p>
        </w:tc>
      </w:tr>
      <w:tr>
        <w:trPr/>
        <w:tblPrEx/>
        <w:tc>
          <w:tcPr>
            <w:tcW w:w="4649" w:type="dxa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noWrap w:val="false"/>
            <w:textDirection w:val="lrTb"/>
            <w:vAlign w:val="top"/>
          </w:tcPr>
          <w:p>
            <w:pPr>
              <w:pStyle w:val="846"/>
              <w:jc w:val="center"/>
            </w:pPr>
            <w:r>
              <w:rPr>
                <w:sz w:val="18"/>
                <w:szCs w:val="18"/>
              </w:rPr>
              <w:t xml:space="preserve">(должность)</w:t>
            </w:r>
          </w:p>
        </w:tc>
      </w:tr>
    </w:tbl>
    <w:p>
      <w:pPr>
        <w:pStyle w:val="846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tbl>
      <w:tblPr>
        <w:tblW w:w="0" w:type="auto"/>
        <w:tblInd w:w="606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170"/>
        <w:gridCol w:w="397"/>
        <w:gridCol w:w="255"/>
        <w:gridCol w:w="198"/>
        <w:gridCol w:w="170"/>
        <w:gridCol w:w="1617"/>
        <w:gridCol w:w="397"/>
        <w:gridCol w:w="369"/>
        <w:gridCol w:w="225"/>
        <w:gridCol w:w="172"/>
        <w:gridCol w:w="681"/>
      </w:tblGrid>
      <w:tr>
        <w:trPr/>
        <w:tblPrEx/>
        <w:tc>
          <w:tcPr>
            <w:tcW w:w="1020" w:type="dxa"/>
            <w:gridSpan w:val="4"/>
            <w:tcBorders>
              <w:bottom w:val="single" w:color="000000" w:sz="4" w:space="0"/>
            </w:tcBorders>
            <w:noWrap w:val="false"/>
            <w:textDirection w:val="lrTb"/>
            <w:vAlign w:val="bottom"/>
          </w:tcPr>
          <w:p>
            <w:pPr>
              <w:pStyle w:val="84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70" w:type="dxa"/>
            <w:noWrap w:val="false"/>
            <w:textDirection w:val="lrTb"/>
            <w:vAlign w:val="bottom"/>
          </w:tcPr>
          <w:p>
            <w:pPr>
              <w:pStyle w:val="846"/>
              <w:jc w:val="right"/>
            </w:pPr>
            <w:r>
              <w:t xml:space="preserve">/</w:t>
            </w:r>
          </w:p>
        </w:tc>
        <w:tc>
          <w:tcPr>
            <w:tcW w:w="2608" w:type="dxa"/>
            <w:gridSpan w:val="4"/>
            <w:tcBorders>
              <w:bottom w:val="single" w:color="000000" w:sz="4" w:space="0"/>
            </w:tcBorders>
            <w:noWrap w:val="false"/>
            <w:textDirection w:val="lrTb"/>
            <w:vAlign w:val="bottom"/>
          </w:tcPr>
          <w:p>
            <w:pPr>
              <w:pStyle w:val="846"/>
              <w:jc w:val="center"/>
            </w:pPr>
            <w:r>
              <w:t xml:space="preserve">Н.А.Максимова</w:t>
            </w:r>
          </w:p>
        </w:tc>
        <w:tc>
          <w:tcPr>
            <w:tcW w:w="172" w:type="dxa"/>
            <w:noWrap w:val="false"/>
            <w:textDirection w:val="lrTb"/>
            <w:vAlign w:val="bottom"/>
          </w:tcPr>
          <w:p>
            <w:pPr>
              <w:pStyle w:val="846"/>
            </w:pPr>
            <w:r>
              <w:t xml:space="preserve">/</w:t>
            </w:r>
          </w:p>
        </w:tc>
        <w:tc>
          <w:tcPr>
            <w:tcW w:w="681" w:type="dxa"/>
            <w:noWrap w:val="false"/>
            <w:textDirection w:val="lrTb"/>
            <w:vAlign w:val="top"/>
          </w:tcPr>
          <w:p>
            <w:pPr>
              <w:pStyle w:val="846"/>
            </w:pPr>
          </w:p>
        </w:tc>
      </w:tr>
      <w:tr>
        <w:trPr/>
        <w:tblPrEx/>
        <w:tc>
          <w:tcPr>
            <w:tcW w:w="4651" w:type="dxa"/>
            <w:gridSpan w:val="11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noWrap w:val="false"/>
            <w:textDirection w:val="lrTb"/>
            <w:vAlign w:val="top"/>
          </w:tcPr>
          <w:p>
            <w:pPr>
              <w:pStyle w:val="846"/>
              <w:jc w:val="center"/>
            </w:pPr>
            <w:r>
              <w:rPr>
                <w:sz w:val="18"/>
                <w:szCs w:val="18"/>
              </w:rPr>
              <w:t xml:space="preserve">(подпись/расшифровка подписи)</w:t>
            </w:r>
          </w:p>
        </w:tc>
      </w:tr>
      <w:tr>
        <w:trPr/>
        <w:tblPrEx/>
        <w:tc>
          <w:tcPr>
            <w:tcW w:w="170" w:type="dxa"/>
            <w:noWrap w:val="false"/>
            <w:textDirection w:val="lrTb"/>
            <w:vAlign w:val="bottom"/>
          </w:tcPr>
          <w:p>
            <w:pPr>
              <w:pStyle w:val="84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97" w:type="dxa"/>
            <w:tcBorders>
              <w:bottom w:val="single" w:color="000000" w:sz="4" w:space="0"/>
            </w:tcBorders>
            <w:noWrap w:val="false"/>
            <w:textDirection w:val="lrTb"/>
            <w:vAlign w:val="bottom"/>
          </w:tcPr>
          <w:p>
            <w:pPr>
              <w:pStyle w:val="84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" w:type="dxa"/>
            <w:noWrap w:val="false"/>
            <w:textDirection w:val="lrTb"/>
            <w:vAlign w:val="bottom"/>
          </w:tcPr>
          <w:p>
            <w:pPr>
              <w:pStyle w:val="8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985" w:type="dxa"/>
            <w:gridSpan w:val="3"/>
            <w:tcBorders>
              <w:bottom w:val="single" w:color="000000" w:sz="4" w:space="0"/>
            </w:tcBorders>
            <w:noWrap w:val="false"/>
            <w:textDirection w:val="lrTb"/>
            <w:vAlign w:val="bottom"/>
          </w:tcPr>
          <w:p>
            <w:pPr>
              <w:pStyle w:val="84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97" w:type="dxa"/>
            <w:noWrap w:val="false"/>
            <w:textDirection w:val="lrTb"/>
            <w:vAlign w:val="bottom"/>
          </w:tcPr>
          <w:p>
            <w:pPr>
              <w:pStyle w:val="84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69" w:type="dxa"/>
            <w:tcBorders>
              <w:bottom w:val="single" w:color="000000" w:sz="4" w:space="0"/>
            </w:tcBorders>
            <w:noWrap w:val="false"/>
            <w:textDirection w:val="lrTb"/>
            <w:vAlign w:val="bottom"/>
          </w:tcPr>
          <w:p>
            <w:pPr>
              <w:pStyle w:val="8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97" w:type="dxa"/>
            <w:gridSpan w:val="2"/>
            <w:noWrap w:val="false"/>
            <w:textDirection w:val="lrTb"/>
            <w:vAlign w:val="bottom"/>
          </w:tcPr>
          <w:p>
            <w:pPr>
              <w:pStyle w:val="846"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681" w:type="dxa"/>
            <w:noWrap w:val="false"/>
            <w:textDirection w:val="lrTb"/>
            <w:vAlign w:val="top"/>
          </w:tcPr>
          <w:p>
            <w:pPr>
              <w:pStyle w:val="846"/>
            </w:pPr>
          </w:p>
        </w:tc>
      </w:tr>
    </w:tbl>
    <w:p/>
    <w:sectPr>
      <w:footnotePr/>
      <w:endnotePr/>
      <w:type w:val="nextPage"/>
      <w:pgSz w:w="16838" w:h="11906" w:orient="landscape"/>
      <w:pgMar w:top="851" w:right="1134" w:bottom="902" w:left="1134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nos">
    <w:panose1 w:val="02020603050405020304"/>
  </w:font>
  <w:font w:name="Times New Roman">
    <w:panose1 w:val="02020603050405020304"/>
  </w:font>
  <w:font w:name="Verdana">
    <w:panose1 w:val="020B0604030504040204"/>
  </w:font>
  <w:font w:name="Tahoma">
    <w:panose1 w:val="020B0604030504040204"/>
  </w:font>
  <w:font w:name="Wingdings">
    <w:panose1 w:val="05010000000000000000"/>
  </w:font>
  <w:font w:name="Mangal">
    <w:panose1 w:val="02040503050306020203"/>
  </w:font>
  <w:font w:name="Courier New">
    <w:panose1 w:val="02070409020205020404"/>
  </w:font>
  <w:font w:name="Symbol">
    <w:panose1 w:val="05010000000000000000"/>
  </w:font>
  <w:font w:name="PT Astra Serif">
    <w:panose1 w:val="020A0603040505020204"/>
  </w:font>
  <w:font w:name="Arial Unicode MS">
    <w:panose1 w:val="020B0604020202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tabs>
          <w:tab w:val="num" w:pos="0" w:leader="none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tabs>
          <w:tab w:val="num" w:pos="0" w:leader="none"/>
        </w:tabs>
        <w:ind w:left="360" w:hanging="360"/>
      </w:pPr>
      <w:rPr>
        <w:bCs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decimal"/>
      <w:isLgl w:val="false"/>
      <w:suff w:val="nothing"/>
      <w:lvlText w:val=""/>
      <w:lvlJc w:val="left"/>
      <w:pPr>
        <w:tabs>
          <w:tab w:val="num" w:pos="432" w:leader="none"/>
        </w:tabs>
        <w:ind w:left="432" w:hanging="432"/>
      </w:pPr>
    </w:lvl>
    <w:lvl w:ilvl="1">
      <w:start w:val="1"/>
      <w:numFmt w:val="decimal"/>
      <w:isLgl w:val="false"/>
      <w:suff w:val="nothing"/>
      <w:lvlText w:val=""/>
      <w:lvlJc w:val="left"/>
      <w:pPr>
        <w:tabs>
          <w:tab w:val="num" w:pos="576" w:leader="none"/>
        </w:tabs>
        <w:ind w:left="576" w:hanging="576"/>
      </w:pPr>
    </w:lvl>
    <w:lvl w:ilvl="2">
      <w:start w:val="1"/>
      <w:numFmt w:val="decimal"/>
      <w:isLgl w:val="false"/>
      <w:suff w:val="nothing"/>
      <w:lvlText w:val=""/>
      <w:lvlJc w:val="left"/>
      <w:pPr>
        <w:tabs>
          <w:tab w:val="num" w:pos="720" w:leader="none"/>
        </w:tabs>
        <w:ind w:left="720" w:hanging="720"/>
      </w:pPr>
    </w:lvl>
    <w:lvl w:ilvl="3">
      <w:start w:val="1"/>
      <w:numFmt w:val="decimal"/>
      <w:isLgl w:val="false"/>
      <w:suff w:val="nothing"/>
      <w:lvlText w:val=""/>
      <w:lvlJc w:val="left"/>
      <w:pPr>
        <w:tabs>
          <w:tab w:val="num" w:pos="864" w:leader="none"/>
        </w:tabs>
        <w:ind w:left="864" w:hanging="864"/>
      </w:pPr>
    </w:lvl>
    <w:lvl w:ilvl="4">
      <w:start w:val="1"/>
      <w:numFmt w:val="decimal"/>
      <w:isLgl w:val="false"/>
      <w:suff w:val="nothing"/>
      <w:lvlText w:val=""/>
      <w:lvlJc w:val="left"/>
      <w:pPr>
        <w:tabs>
          <w:tab w:val="num" w:pos="1008" w:leader="none"/>
        </w:tabs>
        <w:ind w:left="1008" w:hanging="1008"/>
      </w:pPr>
    </w:lvl>
    <w:lvl w:ilvl="5">
      <w:start w:val="1"/>
      <w:numFmt w:val="decimal"/>
      <w:isLgl w:val="false"/>
      <w:suff w:val="nothing"/>
      <w:lvlText w:val=""/>
      <w:lvlJc w:val="left"/>
      <w:pPr>
        <w:tabs>
          <w:tab w:val="num" w:pos="1152" w:leader="none"/>
        </w:tabs>
        <w:ind w:left="1152" w:hanging="1152"/>
      </w:pPr>
    </w:lvl>
    <w:lvl w:ilvl="6">
      <w:start w:val="1"/>
      <w:numFmt w:val="decimal"/>
      <w:isLgl w:val="false"/>
      <w:suff w:val="nothing"/>
      <w:lvlText w:val=""/>
      <w:lvlJc w:val="left"/>
      <w:pPr>
        <w:tabs>
          <w:tab w:val="num" w:pos="1296" w:leader="none"/>
        </w:tabs>
        <w:ind w:left="1296" w:hanging="1296"/>
      </w:pPr>
    </w:lvl>
    <w:lvl w:ilvl="7">
      <w:start w:val="1"/>
      <w:numFmt w:val="decimal"/>
      <w:isLgl w:val="false"/>
      <w:suff w:val="nothing"/>
      <w:lvlText w:val=""/>
      <w:lvlJc w:val="left"/>
      <w:pPr>
        <w:tabs>
          <w:tab w:val="num" w:pos="1440" w:leader="none"/>
        </w:tabs>
        <w:ind w:left="1440" w:hanging="1440"/>
      </w:pPr>
    </w:lvl>
    <w:lvl w:ilvl="8">
      <w:start w:val="1"/>
      <w:numFmt w:val="decimal"/>
      <w:isLgl w:val="false"/>
      <w:suff w:val="nothing"/>
      <w:lvlText w:val=""/>
      <w:lvlJc w:val="left"/>
      <w:pPr>
        <w:tabs>
          <w:tab w:val="num" w:pos="1584" w:leader="none"/>
        </w:tabs>
        <w:ind w:left="1584" w:hanging="1584"/>
      </w:p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440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80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520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88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60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32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68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400" w:hanging="2160"/>
      </w:pPr>
    </w:lvl>
  </w:abstractNum>
  <w:abstractNum w:abstractNumId="6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987" w:hanging="720"/>
      </w:pPr>
    </w:lvl>
    <w:lvl w:ilvl="1">
      <w:start w:val="1"/>
      <w:numFmt w:val="lowerLetter"/>
      <w:isLgl w:val="false"/>
      <w:suff w:val="tab"/>
      <w:lvlText w:val="%2."/>
      <w:lvlJc w:val="left"/>
      <w:pPr>
        <w:ind w:left="13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0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7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2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9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6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3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6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8">
    <w:name w:val="Heading 1"/>
    <w:basedOn w:val="846"/>
    <w:next w:val="846"/>
    <w:link w:val="669"/>
    <w:uiPriority w:val="9"/>
    <w:qFormat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9">
    <w:name w:val="Heading 1 Char"/>
    <w:link w:val="668"/>
    <w:uiPriority w:val="9"/>
    <w:rPr>
      <w:rFonts w:ascii="Arial" w:hAnsi="Arial" w:eastAsia="Arial" w:cs="Arial"/>
      <w:sz w:val="40"/>
      <w:szCs w:val="40"/>
    </w:rPr>
  </w:style>
  <w:style w:type="paragraph" w:styleId="670">
    <w:name w:val="Heading 2"/>
    <w:basedOn w:val="846"/>
    <w:next w:val="846"/>
    <w:link w:val="671"/>
    <w:uiPriority w:val="9"/>
    <w:unhideWhenUsed/>
    <w:qFormat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71">
    <w:name w:val="Heading 2 Char"/>
    <w:link w:val="670"/>
    <w:uiPriority w:val="9"/>
    <w:rPr>
      <w:rFonts w:ascii="Arial" w:hAnsi="Arial" w:eastAsia="Arial" w:cs="Arial"/>
      <w:sz w:val="34"/>
    </w:rPr>
  </w:style>
  <w:style w:type="paragraph" w:styleId="672">
    <w:name w:val="Heading 3"/>
    <w:basedOn w:val="846"/>
    <w:next w:val="846"/>
    <w:link w:val="673"/>
    <w:uiPriority w:val="9"/>
    <w:unhideWhenUsed/>
    <w:qFormat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73">
    <w:name w:val="Heading 3 Char"/>
    <w:link w:val="672"/>
    <w:uiPriority w:val="9"/>
    <w:rPr>
      <w:rFonts w:ascii="Arial" w:hAnsi="Arial" w:eastAsia="Arial" w:cs="Arial"/>
      <w:sz w:val="30"/>
      <w:szCs w:val="30"/>
    </w:rPr>
  </w:style>
  <w:style w:type="paragraph" w:styleId="674">
    <w:name w:val="Heading 4"/>
    <w:basedOn w:val="846"/>
    <w:next w:val="846"/>
    <w:link w:val="675"/>
    <w:uiPriority w:val="9"/>
    <w:unhideWhenUsed/>
    <w:qFormat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75">
    <w:name w:val="Heading 4 Char"/>
    <w:link w:val="674"/>
    <w:uiPriority w:val="9"/>
    <w:rPr>
      <w:rFonts w:ascii="Arial" w:hAnsi="Arial" w:eastAsia="Arial" w:cs="Arial"/>
      <w:b/>
      <w:bCs/>
      <w:sz w:val="26"/>
      <w:szCs w:val="26"/>
    </w:rPr>
  </w:style>
  <w:style w:type="paragraph" w:styleId="676">
    <w:name w:val="Heading 5"/>
    <w:basedOn w:val="846"/>
    <w:next w:val="846"/>
    <w:link w:val="677"/>
    <w:uiPriority w:val="9"/>
    <w:unhideWhenUsed/>
    <w:qFormat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77">
    <w:name w:val="Heading 5 Char"/>
    <w:link w:val="676"/>
    <w:uiPriority w:val="9"/>
    <w:rPr>
      <w:rFonts w:ascii="Arial" w:hAnsi="Arial" w:eastAsia="Arial" w:cs="Arial"/>
      <w:b/>
      <w:bCs/>
      <w:sz w:val="24"/>
      <w:szCs w:val="24"/>
    </w:rPr>
  </w:style>
  <w:style w:type="paragraph" w:styleId="678">
    <w:name w:val="Heading 6"/>
    <w:basedOn w:val="846"/>
    <w:next w:val="846"/>
    <w:link w:val="679"/>
    <w:uiPriority w:val="9"/>
    <w:unhideWhenUsed/>
    <w:qFormat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9">
    <w:name w:val="Heading 6 Char"/>
    <w:link w:val="678"/>
    <w:uiPriority w:val="9"/>
    <w:rPr>
      <w:rFonts w:ascii="Arial" w:hAnsi="Arial" w:eastAsia="Arial" w:cs="Arial"/>
      <w:b/>
      <w:bCs/>
      <w:sz w:val="22"/>
      <w:szCs w:val="22"/>
    </w:rPr>
  </w:style>
  <w:style w:type="paragraph" w:styleId="680">
    <w:name w:val="Heading 7"/>
    <w:basedOn w:val="846"/>
    <w:next w:val="846"/>
    <w:link w:val="681"/>
    <w:uiPriority w:val="9"/>
    <w:unhideWhenUsed/>
    <w:qFormat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81">
    <w:name w:val="Heading 7 Char"/>
    <w:link w:val="68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82">
    <w:name w:val="Heading 8"/>
    <w:basedOn w:val="846"/>
    <w:next w:val="846"/>
    <w:link w:val="683"/>
    <w:uiPriority w:val="9"/>
    <w:unhideWhenUsed/>
    <w:qFormat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83">
    <w:name w:val="Heading 8 Char"/>
    <w:link w:val="682"/>
    <w:uiPriority w:val="9"/>
    <w:rPr>
      <w:rFonts w:ascii="Arial" w:hAnsi="Arial" w:eastAsia="Arial" w:cs="Arial"/>
      <w:i/>
      <w:iCs/>
      <w:sz w:val="22"/>
      <w:szCs w:val="22"/>
    </w:rPr>
  </w:style>
  <w:style w:type="paragraph" w:styleId="684">
    <w:name w:val="Heading 9"/>
    <w:basedOn w:val="846"/>
    <w:next w:val="846"/>
    <w:link w:val="685"/>
    <w:uiPriority w:val="9"/>
    <w:unhideWhenUsed/>
    <w:qFormat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5">
    <w:name w:val="Heading 9 Char"/>
    <w:link w:val="684"/>
    <w:uiPriority w:val="9"/>
    <w:rPr>
      <w:rFonts w:ascii="Arial" w:hAnsi="Arial" w:eastAsia="Arial" w:cs="Arial"/>
      <w:i/>
      <w:iCs/>
      <w:sz w:val="21"/>
      <w:szCs w:val="21"/>
    </w:rPr>
  </w:style>
  <w:style w:type="paragraph" w:styleId="686">
    <w:name w:val="List Paragraph"/>
    <w:basedOn w:val="846"/>
    <w:uiPriority w:val="34"/>
    <w:qFormat/>
    <w:pPr>
      <w:ind w:left="720"/>
      <w:contextualSpacing/>
    </w:pPr>
  </w:style>
  <w:style w:type="paragraph" w:styleId="687">
    <w:name w:val="No Spacing"/>
    <w:uiPriority w:val="1"/>
    <w:qFormat/>
    <w:pPr>
      <w:spacing w:before="0" w:after="0" w:line="240" w:lineRule="auto"/>
    </w:pPr>
  </w:style>
  <w:style w:type="paragraph" w:styleId="688">
    <w:name w:val="Title"/>
    <w:basedOn w:val="846"/>
    <w:next w:val="846"/>
    <w:link w:val="689"/>
    <w:uiPriority w:val="10"/>
    <w:qFormat/>
    <w:pPr>
      <w:spacing w:before="300" w:after="200"/>
      <w:contextualSpacing/>
    </w:pPr>
    <w:rPr>
      <w:sz w:val="48"/>
      <w:szCs w:val="48"/>
    </w:rPr>
  </w:style>
  <w:style w:type="character" w:styleId="689">
    <w:name w:val="Title Char"/>
    <w:link w:val="688"/>
    <w:uiPriority w:val="10"/>
    <w:rPr>
      <w:sz w:val="48"/>
      <w:szCs w:val="48"/>
    </w:rPr>
  </w:style>
  <w:style w:type="paragraph" w:styleId="690">
    <w:name w:val="Subtitle"/>
    <w:basedOn w:val="846"/>
    <w:next w:val="846"/>
    <w:link w:val="691"/>
    <w:uiPriority w:val="11"/>
    <w:qFormat/>
    <w:pPr>
      <w:spacing w:before="200" w:after="200"/>
    </w:pPr>
    <w:rPr>
      <w:sz w:val="24"/>
      <w:szCs w:val="24"/>
    </w:rPr>
  </w:style>
  <w:style w:type="character" w:styleId="691">
    <w:name w:val="Subtitle Char"/>
    <w:link w:val="690"/>
    <w:uiPriority w:val="11"/>
    <w:rPr>
      <w:sz w:val="24"/>
      <w:szCs w:val="24"/>
    </w:rPr>
  </w:style>
  <w:style w:type="paragraph" w:styleId="692">
    <w:name w:val="Quote"/>
    <w:basedOn w:val="846"/>
    <w:next w:val="846"/>
    <w:link w:val="693"/>
    <w:uiPriority w:val="29"/>
    <w:qFormat/>
    <w:pPr>
      <w:ind w:left="720" w:right="720"/>
    </w:pPr>
    <w:rPr>
      <w:i/>
    </w:rPr>
  </w:style>
  <w:style w:type="character" w:styleId="693">
    <w:name w:val="Quote Char"/>
    <w:link w:val="692"/>
    <w:uiPriority w:val="29"/>
    <w:rPr>
      <w:i/>
    </w:rPr>
  </w:style>
  <w:style w:type="paragraph" w:styleId="694">
    <w:name w:val="Intense Quote"/>
    <w:basedOn w:val="846"/>
    <w:next w:val="846"/>
    <w:link w:val="695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styleId="695">
    <w:name w:val="Intense Quote Char"/>
    <w:link w:val="694"/>
    <w:uiPriority w:val="30"/>
    <w:rPr>
      <w:i/>
    </w:rPr>
  </w:style>
  <w:style w:type="paragraph" w:styleId="696">
    <w:name w:val="Header"/>
    <w:basedOn w:val="846"/>
    <w:link w:val="697"/>
    <w:uiPriority w:val="99"/>
    <w:unhideWhenUsed/>
    <w:pPr>
      <w:tabs>
        <w:tab w:val="center" w:pos="7143" w:leader="none"/>
        <w:tab w:val="right" w:pos="14287" w:leader="none"/>
      </w:tabs>
      <w:spacing w:after="0" w:line="240" w:lineRule="auto"/>
    </w:pPr>
  </w:style>
  <w:style w:type="character" w:styleId="697">
    <w:name w:val="Header Char"/>
    <w:link w:val="696"/>
    <w:uiPriority w:val="99"/>
  </w:style>
  <w:style w:type="paragraph" w:styleId="698">
    <w:name w:val="Footer"/>
    <w:basedOn w:val="846"/>
    <w:link w:val="699"/>
    <w:uiPriority w:val="99"/>
    <w:unhideWhenUsed/>
    <w:pPr>
      <w:tabs>
        <w:tab w:val="center" w:pos="7143" w:leader="none"/>
        <w:tab w:val="right" w:pos="14287" w:leader="none"/>
      </w:tabs>
      <w:spacing w:after="0" w:line="240" w:lineRule="auto"/>
    </w:pPr>
  </w:style>
  <w:style w:type="character" w:styleId="699">
    <w:name w:val="Footer Char"/>
    <w:link w:val="698"/>
    <w:uiPriority w:val="99"/>
  </w:style>
  <w:style w:type="paragraph" w:styleId="700">
    <w:name w:val="Caption"/>
    <w:basedOn w:val="846"/>
    <w:next w:val="846"/>
    <w:link w:val="70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1">
    <w:name w:val="Caption Char"/>
    <w:link w:val="700"/>
    <w:uiPriority w:val="35"/>
    <w:rPr>
      <w:b/>
      <w:bCs/>
      <w:color w:val="4f81bd" w:themeColor="accent1"/>
      <w:sz w:val="18"/>
      <w:szCs w:val="18"/>
    </w:rPr>
  </w:style>
  <w:style w:type="table" w:styleId="702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3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4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5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6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7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  <w:color w:val="404040"/>
      </w:rPr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09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1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2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3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7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8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9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20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21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22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23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24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25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26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27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28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29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0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1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  <w:shd w:val="clear" w:color="ffffff" w:themeColor="accent1" w:themeTint="EA" w:fill="5d8dc2" w:themeFill="accent1" w:themeFillTint="E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2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3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  <w:shd w:val="clear" w:color="ffffff" w:themeColor="accent3" w:themeTint="FE" w:fill="9bba59" w:themeFill="accent3" w:themeFillTint="FE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34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35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6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7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text1" w:fill="000000" w:themeFill="text1"/>
      </w:tcPr>
    </w:tblStylePr>
  </w:style>
  <w:style w:type="table" w:styleId="738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1" w:fill="4f81bd" w:themeFill="accent1"/>
      </w:tcPr>
    </w:tblStylePr>
  </w:style>
  <w:style w:type="table" w:styleId="739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2" w:fill="c0504d" w:themeFill="accent2"/>
      </w:tcPr>
    </w:tblStylePr>
  </w:style>
  <w:style w:type="table" w:styleId="740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3" w:fill="9bbb59" w:themeFill="accent3"/>
      </w:tcPr>
    </w:tblStylePr>
  </w:style>
  <w:style w:type="table" w:styleId="741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4" w:fill="8064a2" w:themeFill="accent4"/>
      </w:tcPr>
    </w:tblStylePr>
  </w:style>
  <w:style w:type="table" w:styleId="742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5" w:fill="4bacc6" w:themeFill="accent5"/>
      </w:tcPr>
    </w:tblStylePr>
  </w:style>
  <w:style w:type="table" w:styleId="743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6" w:fill="f79646" w:themeFill="accent6"/>
      </w:tcPr>
    </w:tblStylePr>
  </w:style>
  <w:style w:type="table" w:styleId="744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45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46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47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8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9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0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1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  <w:shd w:val="clear" w:color="ffffff"/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52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  <w:shd w:val="clear" w:color="ffffff"/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53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  <w:shd w:val="clear" w:color="ffffff"/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54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  <w:shd w:val="clear" w:color="ffffff"/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55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  <w:shd w:val="clear" w:color="ffffff"/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56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  <w:shd w:val="clear" w:color="ffffff"/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57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  <w:shd w:val="clear" w:color="ffffff"/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58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6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7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8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9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0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1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2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text1" w:themeTint="80" w:sz="32" w:space="0"/>
          <w:bottom w:val="single" w:color="000000" w:themeColor="light1" w:sz="12" w:space="0"/>
        </w:tcBorders>
        <w:shd w:val="clear" w:color="ffffff" w:themeColor="text1" w:themeTint="80" w:fill="7f7f7f" w:themeFill="text1" w:themeFillTint="80"/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7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4f81bd" w:themeFill="accent1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1" w:fill="4f81bd" w:themeFill="accent1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4f81bd" w:themeFill="accent1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themeColor="accent1" w:fill="4f81bd" w:themeFill="accent1"/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8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d99694" w:themeFill="accent2" w:themeFillTint="97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2" w:themeTint="97" w:fill="d99694" w:themeFill="accent2" w:themeFillTint="97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d99694" w:themeFill="accent2" w:themeFillTint="97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2" w:themeTint="97" w:sz="32" w:space="0"/>
          <w:bottom w:val="single" w:color="000000" w:themeColor="light1" w:sz="12" w:space="0"/>
        </w:tcBorders>
        <w:shd w:val="clear" w:color="ffffff" w:themeColor="accent2" w:themeTint="97" w:fill="d99694" w:themeFill="accent2" w:themeFillTint="97"/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9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3d69b" w:themeFill="accent3" w:themeFillTint="98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3" w:themeTint="98" w:fill="c3d69b" w:themeFill="accent3" w:themeFillTint="98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3d69b" w:themeFill="accent3" w:themeFillTint="98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3" w:themeTint="98" w:sz="32" w:space="0"/>
          <w:bottom w:val="single" w:color="000000" w:themeColor="light1" w:sz="12" w:space="0"/>
        </w:tcBorders>
        <w:shd w:val="clear" w:color="ffffff" w:themeColor="accent3" w:themeTint="98" w:fill="c3d69b" w:themeFill="accent3" w:themeFillTint="98"/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0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b2a1c6" w:themeFill="accent4" w:themeFillTint="9A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4" w:themeTint="9A" w:fill="b2a1c6" w:themeFill="accent4" w:themeFillTint="9A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b2a1c6" w:themeFill="accent4" w:themeFillTint="9A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4" w:themeTint="9A" w:sz="32" w:space="0"/>
          <w:bottom w:val="single" w:color="000000" w:themeColor="light1" w:sz="12" w:space="0"/>
        </w:tcBorders>
        <w:shd w:val="clear" w:color="ffffff" w:themeColor="accent4" w:themeTint="9A" w:fill="b2a1c6" w:themeFill="accent4" w:themeFillTint="9A"/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1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91cddc" w:themeFill="accent5" w:themeFillTint="9A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5" w:themeTint="9A" w:fill="91cddc" w:themeFill="accent5" w:themeFillTint="9A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91cddc" w:themeFill="accent5" w:themeFillTint="9A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5" w:themeTint="9A" w:sz="32" w:space="0"/>
          <w:bottom w:val="single" w:color="000000" w:themeColor="light1" w:sz="12" w:space="0"/>
        </w:tcBorders>
        <w:shd w:val="clear" w:color="ffffff" w:themeColor="accent5" w:themeTint="9A" w:fill="91cddc" w:themeFill="accent5" w:themeFillTint="9A"/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2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f9bf90" w:themeFill="accent6" w:themeFillTint="98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6" w:themeTint="98" w:fill="f9bf90" w:themeFill="accent6" w:themeFillTint="98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f9bf90" w:themeFill="accent6" w:themeFillTint="98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6" w:themeTint="98" w:sz="32" w:space="0"/>
          <w:bottom w:val="single" w:color="000000" w:themeColor="light1" w:sz="12" w:space="0"/>
        </w:tcBorders>
        <w:shd w:val="clear" w:color="ffffff" w:themeColor="accent6" w:themeTint="98" w:fill="f9bf90" w:themeFill="accent6" w:themeFillTint="98"/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3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94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95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6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7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8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9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0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  <w:shd w:val="clear" w:color="ffffff"/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1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02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  <w:shd w:val="clear" w:color="ffffff"/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03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  <w:shd w:val="clear" w:color="ffffff"/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04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  <w:shd w:val="clear" w:color="ffffff"/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05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  <w:shd w:val="clear" w:color="ffffff"/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06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  <w:shd w:val="clear" w:color="ffffff"/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07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8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9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0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1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2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3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4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5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6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7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8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9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0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1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2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3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24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25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6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7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28">
    <w:name w:val="Hyperlink"/>
    <w:uiPriority w:val="99"/>
    <w:unhideWhenUsed/>
    <w:rPr>
      <w:color w:val="0000ff" w:themeColor="hyperlink"/>
      <w:u w:val="single"/>
    </w:rPr>
  </w:style>
  <w:style w:type="paragraph" w:styleId="829">
    <w:name w:val="footnote text"/>
    <w:basedOn w:val="846"/>
    <w:link w:val="830"/>
    <w:uiPriority w:val="99"/>
    <w:semiHidden/>
    <w:unhideWhenUsed/>
    <w:pPr>
      <w:spacing w:after="40" w:line="240" w:lineRule="auto"/>
    </w:pPr>
    <w:rPr>
      <w:sz w:val="18"/>
    </w:rPr>
  </w:style>
  <w:style w:type="character" w:styleId="830">
    <w:name w:val="Footnote Text Char"/>
    <w:link w:val="829"/>
    <w:uiPriority w:val="99"/>
    <w:rPr>
      <w:sz w:val="18"/>
    </w:rPr>
  </w:style>
  <w:style w:type="character" w:styleId="831">
    <w:name w:val="footnote reference"/>
    <w:uiPriority w:val="99"/>
    <w:unhideWhenUsed/>
    <w:rPr>
      <w:vertAlign w:val="superscript"/>
    </w:rPr>
  </w:style>
  <w:style w:type="paragraph" w:styleId="832">
    <w:name w:val="endnote text"/>
    <w:basedOn w:val="846"/>
    <w:link w:val="833"/>
    <w:uiPriority w:val="99"/>
    <w:semiHidden/>
    <w:unhideWhenUsed/>
    <w:pPr>
      <w:spacing w:after="0" w:line="240" w:lineRule="auto"/>
    </w:pPr>
    <w:rPr>
      <w:sz w:val="20"/>
    </w:rPr>
  </w:style>
  <w:style w:type="character" w:styleId="833">
    <w:name w:val="Endnote Text Char"/>
    <w:link w:val="832"/>
    <w:uiPriority w:val="99"/>
    <w:rPr>
      <w:sz w:val="20"/>
    </w:rPr>
  </w:style>
  <w:style w:type="character" w:styleId="834">
    <w:name w:val="endnote reference"/>
    <w:uiPriority w:val="99"/>
    <w:semiHidden/>
    <w:unhideWhenUsed/>
    <w:rPr>
      <w:vertAlign w:val="superscript"/>
    </w:rPr>
  </w:style>
  <w:style w:type="paragraph" w:styleId="835">
    <w:name w:val="toc 1"/>
    <w:basedOn w:val="846"/>
    <w:next w:val="846"/>
    <w:uiPriority w:val="39"/>
    <w:unhideWhenUsed/>
    <w:pPr>
      <w:spacing w:after="57"/>
      <w:ind w:left="0" w:right="0" w:firstLine="0"/>
    </w:pPr>
  </w:style>
  <w:style w:type="paragraph" w:styleId="836">
    <w:name w:val="toc 2"/>
    <w:basedOn w:val="846"/>
    <w:next w:val="846"/>
    <w:uiPriority w:val="39"/>
    <w:unhideWhenUsed/>
    <w:pPr>
      <w:spacing w:after="57"/>
      <w:ind w:left="283" w:right="0" w:firstLine="0"/>
    </w:pPr>
  </w:style>
  <w:style w:type="paragraph" w:styleId="837">
    <w:name w:val="toc 3"/>
    <w:basedOn w:val="846"/>
    <w:next w:val="846"/>
    <w:uiPriority w:val="39"/>
    <w:unhideWhenUsed/>
    <w:pPr>
      <w:spacing w:after="57"/>
      <w:ind w:left="567" w:right="0" w:firstLine="0"/>
    </w:pPr>
  </w:style>
  <w:style w:type="paragraph" w:styleId="838">
    <w:name w:val="toc 4"/>
    <w:basedOn w:val="846"/>
    <w:next w:val="846"/>
    <w:uiPriority w:val="39"/>
    <w:unhideWhenUsed/>
    <w:pPr>
      <w:spacing w:after="57"/>
      <w:ind w:left="850" w:right="0" w:firstLine="0"/>
    </w:pPr>
  </w:style>
  <w:style w:type="paragraph" w:styleId="839">
    <w:name w:val="toc 5"/>
    <w:basedOn w:val="846"/>
    <w:next w:val="846"/>
    <w:uiPriority w:val="39"/>
    <w:unhideWhenUsed/>
    <w:pPr>
      <w:spacing w:after="57"/>
      <w:ind w:left="1134" w:right="0" w:firstLine="0"/>
    </w:pPr>
  </w:style>
  <w:style w:type="paragraph" w:styleId="840">
    <w:name w:val="toc 6"/>
    <w:basedOn w:val="846"/>
    <w:next w:val="846"/>
    <w:uiPriority w:val="39"/>
    <w:unhideWhenUsed/>
    <w:pPr>
      <w:spacing w:after="57"/>
      <w:ind w:left="1417" w:right="0" w:firstLine="0"/>
    </w:pPr>
  </w:style>
  <w:style w:type="paragraph" w:styleId="841">
    <w:name w:val="toc 7"/>
    <w:basedOn w:val="846"/>
    <w:next w:val="846"/>
    <w:uiPriority w:val="39"/>
    <w:unhideWhenUsed/>
    <w:pPr>
      <w:spacing w:after="57"/>
      <w:ind w:left="1701" w:right="0" w:firstLine="0"/>
    </w:pPr>
  </w:style>
  <w:style w:type="paragraph" w:styleId="842">
    <w:name w:val="toc 8"/>
    <w:basedOn w:val="846"/>
    <w:next w:val="846"/>
    <w:uiPriority w:val="39"/>
    <w:unhideWhenUsed/>
    <w:pPr>
      <w:spacing w:after="57"/>
      <w:ind w:left="1984" w:right="0" w:firstLine="0"/>
    </w:pPr>
  </w:style>
  <w:style w:type="paragraph" w:styleId="843">
    <w:name w:val="toc 9"/>
    <w:basedOn w:val="846"/>
    <w:next w:val="846"/>
    <w:uiPriority w:val="39"/>
    <w:unhideWhenUsed/>
    <w:pPr>
      <w:spacing w:after="57"/>
      <w:ind w:left="2268" w:right="0" w:firstLine="0"/>
    </w:pPr>
  </w:style>
  <w:style w:type="paragraph" w:styleId="844">
    <w:name w:val="TOC Heading"/>
    <w:uiPriority w:val="39"/>
    <w:unhideWhenUsed/>
  </w:style>
  <w:style w:type="paragraph" w:styleId="845">
    <w:name w:val="table of figures"/>
    <w:basedOn w:val="846"/>
    <w:next w:val="846"/>
    <w:uiPriority w:val="99"/>
    <w:unhideWhenUsed/>
    <w:pPr>
      <w:spacing w:after="0" w:afterAutospacing="0"/>
    </w:pPr>
  </w:style>
  <w:style w:type="paragraph" w:styleId="846" w:default="1">
    <w:name w:val="Normal"/>
    <w:next w:val="846"/>
    <w:link w:val="846"/>
    <w:qFormat/>
    <w:rPr>
      <w:lang w:val="ru-RU" w:eastAsia="ar-SA" w:bidi="ar-SA"/>
    </w:rPr>
  </w:style>
  <w:style w:type="character" w:styleId="847">
    <w:name w:val="Основной шрифт абзаца"/>
    <w:next w:val="847"/>
    <w:link w:val="846"/>
    <w:semiHidden/>
  </w:style>
  <w:style w:type="table" w:styleId="848">
    <w:name w:val="Обычная таблица"/>
    <w:next w:val="848"/>
    <w:link w:val="846"/>
    <w:semiHidden/>
    <w:tblPr/>
  </w:style>
  <w:style w:type="numbering" w:styleId="849">
    <w:name w:val="Нет списка"/>
    <w:next w:val="849"/>
    <w:link w:val="846"/>
    <w:semiHidden/>
  </w:style>
  <w:style w:type="character" w:styleId="850">
    <w:name w:val="WW8Num1z0"/>
    <w:next w:val="850"/>
    <w:link w:val="846"/>
    <w:rPr>
      <w:rFonts w:ascii="Symbol" w:hAnsi="Symbol" w:cs="Symbol"/>
    </w:rPr>
  </w:style>
  <w:style w:type="character" w:styleId="851">
    <w:name w:val="WW8Num1z1"/>
    <w:next w:val="851"/>
    <w:link w:val="846"/>
    <w:rPr>
      <w:rFonts w:ascii="Courier New" w:hAnsi="Courier New" w:cs="Courier New"/>
    </w:rPr>
  </w:style>
  <w:style w:type="character" w:styleId="852">
    <w:name w:val="WW8Num1z2"/>
    <w:next w:val="852"/>
    <w:link w:val="846"/>
    <w:rPr>
      <w:rFonts w:ascii="Wingdings" w:hAnsi="Wingdings" w:cs="Wingdings"/>
    </w:rPr>
  </w:style>
  <w:style w:type="character" w:styleId="853">
    <w:name w:val="WW8Num2z0"/>
    <w:next w:val="853"/>
    <w:link w:val="846"/>
    <w:rPr>
      <w:bCs/>
    </w:rPr>
  </w:style>
  <w:style w:type="character" w:styleId="854">
    <w:name w:val="WW8Num2z1"/>
    <w:next w:val="854"/>
    <w:link w:val="846"/>
  </w:style>
  <w:style w:type="character" w:styleId="855">
    <w:name w:val="WW8Num2z2"/>
    <w:next w:val="855"/>
    <w:link w:val="846"/>
  </w:style>
  <w:style w:type="character" w:styleId="856">
    <w:name w:val="WW8Num2z3"/>
    <w:next w:val="856"/>
    <w:link w:val="846"/>
  </w:style>
  <w:style w:type="character" w:styleId="857">
    <w:name w:val="WW8Num2z4"/>
    <w:next w:val="857"/>
    <w:link w:val="846"/>
  </w:style>
  <w:style w:type="character" w:styleId="858">
    <w:name w:val="WW8Num2z5"/>
    <w:next w:val="858"/>
    <w:link w:val="846"/>
  </w:style>
  <w:style w:type="character" w:styleId="859">
    <w:name w:val="WW8Num2z6"/>
    <w:next w:val="859"/>
    <w:link w:val="846"/>
  </w:style>
  <w:style w:type="character" w:styleId="860">
    <w:name w:val="WW8Num2z7"/>
    <w:next w:val="860"/>
    <w:link w:val="846"/>
  </w:style>
  <w:style w:type="character" w:styleId="861">
    <w:name w:val="WW8Num2z8"/>
    <w:next w:val="861"/>
    <w:link w:val="846"/>
  </w:style>
  <w:style w:type="character" w:styleId="862">
    <w:name w:val="Основной шрифт абзаца2"/>
    <w:next w:val="862"/>
    <w:link w:val="846"/>
  </w:style>
  <w:style w:type="character" w:styleId="863">
    <w:name w:val="Основной шрифт абзаца1"/>
    <w:next w:val="863"/>
    <w:link w:val="846"/>
  </w:style>
  <w:style w:type="character" w:styleId="864">
    <w:name w:val="apple-converted-space"/>
    <w:basedOn w:val="863"/>
    <w:next w:val="864"/>
    <w:link w:val="846"/>
  </w:style>
  <w:style w:type="paragraph" w:styleId="865">
    <w:name w:val="Заголовок"/>
    <w:basedOn w:val="846"/>
    <w:next w:val="866"/>
    <w:link w:val="846"/>
    <w:pPr>
      <w:keepNext/>
      <w:spacing w:before="240" w:after="120"/>
    </w:pPr>
    <w:rPr>
      <w:rFonts w:ascii="Arial" w:hAnsi="Arial" w:eastAsia="Arial Unicode MS" w:cs="Mangal"/>
      <w:sz w:val="28"/>
      <w:szCs w:val="28"/>
    </w:rPr>
  </w:style>
  <w:style w:type="paragraph" w:styleId="866">
    <w:name w:val="Основной текст"/>
    <w:basedOn w:val="846"/>
    <w:next w:val="866"/>
    <w:link w:val="846"/>
    <w:pPr>
      <w:spacing w:before="0" w:after="120"/>
    </w:pPr>
  </w:style>
  <w:style w:type="paragraph" w:styleId="867">
    <w:name w:val="Список"/>
    <w:basedOn w:val="866"/>
    <w:next w:val="867"/>
    <w:link w:val="846"/>
    <w:rPr>
      <w:rFonts w:cs="Mangal"/>
    </w:rPr>
  </w:style>
  <w:style w:type="paragraph" w:styleId="868">
    <w:name w:val="Название2"/>
    <w:basedOn w:val="846"/>
    <w:next w:val="868"/>
    <w:link w:val="84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869">
    <w:name w:val="Указатель2"/>
    <w:basedOn w:val="846"/>
    <w:next w:val="869"/>
    <w:link w:val="846"/>
    <w:pPr>
      <w:suppressLineNumbers/>
    </w:pPr>
    <w:rPr>
      <w:rFonts w:cs="Mangal"/>
    </w:rPr>
  </w:style>
  <w:style w:type="paragraph" w:styleId="870">
    <w:name w:val="Название1"/>
    <w:basedOn w:val="846"/>
    <w:next w:val="870"/>
    <w:link w:val="84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871">
    <w:name w:val="Указатель1"/>
    <w:basedOn w:val="846"/>
    <w:next w:val="871"/>
    <w:link w:val="846"/>
    <w:pPr>
      <w:suppressLineNumbers/>
    </w:pPr>
    <w:rPr>
      <w:rFonts w:cs="Mangal"/>
    </w:rPr>
  </w:style>
  <w:style w:type="paragraph" w:styleId="872">
    <w:name w:val="Normal1"/>
    <w:next w:val="872"/>
    <w:link w:val="846"/>
    <w:rPr>
      <w:sz w:val="24"/>
      <w:lang w:val="ru-RU" w:eastAsia="ar-SA" w:bidi="ar-SA"/>
    </w:rPr>
  </w:style>
  <w:style w:type="paragraph" w:styleId="873">
    <w:name w:val="Текст выноски"/>
    <w:basedOn w:val="846"/>
    <w:next w:val="873"/>
    <w:link w:val="846"/>
    <w:rPr>
      <w:rFonts w:ascii="Tahoma" w:hAnsi="Tahoma" w:cs="Tahoma"/>
      <w:sz w:val="16"/>
      <w:szCs w:val="16"/>
    </w:rPr>
  </w:style>
  <w:style w:type="paragraph" w:styleId="874">
    <w:name w:val=" Знак Знак Знак Знак"/>
    <w:basedOn w:val="846"/>
    <w:next w:val="874"/>
    <w:link w:val="846"/>
    <w:rPr>
      <w:rFonts w:ascii="Verdana" w:hAnsi="Verdana" w:cs="Verdana"/>
      <w:lang w:val="en-US"/>
    </w:rPr>
  </w:style>
  <w:style w:type="paragraph" w:styleId="875">
    <w:name w:val="Содержимое таблицы"/>
    <w:basedOn w:val="846"/>
    <w:next w:val="875"/>
    <w:link w:val="846"/>
    <w:pPr>
      <w:suppressLineNumbers/>
    </w:pPr>
  </w:style>
  <w:style w:type="paragraph" w:styleId="876">
    <w:name w:val="Заголовок таблицы"/>
    <w:basedOn w:val="875"/>
    <w:next w:val="876"/>
    <w:link w:val="846"/>
    <w:pPr>
      <w:suppressLineNumbers/>
      <w:jc w:val="center"/>
    </w:pPr>
    <w:rPr>
      <w:b/>
      <w:bCs/>
    </w:rPr>
  </w:style>
  <w:style w:type="character" w:styleId="877" w:default="1">
    <w:name w:val="Default Paragraph Font"/>
    <w:uiPriority w:val="1"/>
    <w:semiHidden/>
    <w:unhideWhenUsed/>
  </w:style>
  <w:style w:type="numbering" w:styleId="878" w:default="1">
    <w:name w:val="No List"/>
    <w:uiPriority w:val="99"/>
    <w:semiHidden/>
    <w:unhideWhenUsed/>
  </w:style>
  <w:style w:type="table" w:styleId="879" w:default="1">
    <w:name w:val="Normal Table"/>
    <w:uiPriority w:val="99"/>
    <w:semiHidden/>
    <w:unhideWhenUsed/>
    <w:tblPr/>
  </w:style>
  <w:style w:type="paragraph" w:styleId="880" w:customStyle="1">
    <w:name w:val="ConsNormal"/>
    <w:pPr>
      <w:keepNext w:val="0"/>
      <w:keepLines w:val="0"/>
      <w:pageBreakBefore w:val="0"/>
      <w:widowControl/>
      <w:suppressLineNumbers w:val="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/>
      <w:spacing w:before="0" w:beforeAutospacing="0" w:after="0" w:afterAutospacing="0" w:line="240" w:lineRule="auto"/>
      <w:ind w:left="0" w:right="0" w:firstLine="720"/>
      <w:contextualSpacing w:val="0"/>
      <w:jc w:val="left"/>
    </w:pPr>
    <w:rPr>
      <w:rFonts w:ascii="Arial" w:hAnsi="Arial" w:eastAsia="Arial" w:cs="Ari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ar-SA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Начальная (максимальная) цена государственного контракта,</dc:title>
  <dc:creator>NickOn</dc:creator>
  <cp:revision>59</cp:revision>
  <dcterms:created xsi:type="dcterms:W3CDTF">2015-10-15T10:51:00Z</dcterms:created>
  <dcterms:modified xsi:type="dcterms:W3CDTF">2026-08-26T05:13:48Z</dcterms:modified>
  <cp:version>983040</cp:version>
</cp:coreProperties>
</file>